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203835</wp:posOffset>
            </wp:positionH>
            <wp:positionV relativeFrom="page">
              <wp:posOffset>280670</wp:posOffset>
            </wp:positionV>
            <wp:extent cx="714184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312420</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N-CSR</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CERTIFIED SHAREHOLDER REPORT OF REGISTERED MANAGEMENT INVESTMENT COMPANIES</w:t>
      </w:r>
    </w:p>
    <w:p>
      <w:pPr>
        <w:spacing w:after="0" w:line="21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7"/>
          <w:szCs w:val="17"/>
          <w:color w:val="auto"/>
        </w:rPr>
        <w:t>Investment Company Act file number 811-22853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3909695</wp:posOffset>
            </wp:positionH>
            <wp:positionV relativeFrom="paragraph">
              <wp:posOffset>-9525</wp:posOffset>
            </wp:positionV>
            <wp:extent cx="9620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color w:val="auto"/>
        </w:rPr>
        <w:t>ArrowMark Financial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1807845</wp:posOffset>
            </wp:positionH>
            <wp:positionV relativeFrom="paragraph">
              <wp:posOffset>-10160</wp:posOffset>
            </wp:positionV>
            <wp:extent cx="3526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26790"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charter)</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100 Fillmore Street, Suite 325</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Denver, CO 80206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2292985</wp:posOffset>
            </wp:positionH>
            <wp:positionV relativeFrom="paragraph">
              <wp:posOffset>-19685</wp:posOffset>
            </wp:positionV>
            <wp:extent cx="2557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Sanjai Bhonsle, CEO</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ArrowMark Asset Management, LLC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100 Fillmore Street, Suite 325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Denver, CO 80206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2292985</wp:posOffset>
            </wp:positionH>
            <wp:positionV relativeFrom="paragraph">
              <wp:posOffset>-19685</wp:posOffset>
            </wp:positionV>
            <wp:extent cx="255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color w:val="auto"/>
        </w:rPr>
        <w:t>(Name and address of agent for service)</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Copies of Communications to:</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John M. Ford, Esq.</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Troutman Pepper Hamilton Sanders LLP</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3000 Two Logan Square / Eighteenth and Arch Streets</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Philadelphia, PA 19103-2799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(215) 981-4659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u w:val="single" w:color="auto"/>
          <w:color w:val="auto"/>
        </w:rPr>
        <w:t>(303) 398-2929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fiscal year end: </w:t>
      </w:r>
      <w:r>
        <w:rPr>
          <w:rFonts w:ascii="Times New Roman" w:cs="Times New Roman" w:eastAsia="Times New Roman" w:hAnsi="Times New Roman"/>
          <w:sz w:val="17"/>
          <w:szCs w:val="17"/>
          <w:u w:val="single" w:color="auto"/>
          <w:color w:val="auto"/>
        </w:rPr>
        <w:t>December 31</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reporting period: </w:t>
      </w:r>
      <w:r>
        <w:rPr>
          <w:rFonts w:ascii="Times New Roman" w:cs="Times New Roman" w:eastAsia="Times New Roman" w:hAnsi="Times New Roman"/>
          <w:sz w:val="17"/>
          <w:szCs w:val="17"/>
          <w:u w:val="single" w:color="auto"/>
          <w:color w:val="auto"/>
        </w:rPr>
        <w:t>December 31, 2025</w:t>
      </w:r>
    </w:p>
    <w:p>
      <w:pPr>
        <w:spacing w:after="0" w:line="207"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Form N-CSR is to be used by management investment companies to file reports with the Commission not later than 10 days after the transmission to stockholders of any report that is required to be transmitted to stockholders under Rule 30e-1 under the Investment Company Act of 1940 (17 CFR 270.30e-1). The Commission may use the information provided on Form N-CSR in its regulatory, disclosure review, inspection, and policymaking roles.</w:t>
      </w:r>
    </w:p>
    <w:p>
      <w:pPr>
        <w:spacing w:after="0" w:line="169"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 registrant is required to disclose the information specified by Form N-CSR, and the Commission will make this information public. A registrant is not required to respond to the collection of information contained in Form N-CSR unless the Form displays a currently valid Office of Management and Budget (“OMB”) control number. Please direct comments concerning the accuracy of the information collection burden estimate and any suggestions for reducing the burden to Secretary, Securities and Exchange Commission, 100 F Street, NE, Washington, DC 20549-1090. The OMB has reviewed this collection of information under the clearance requirements of 44 U.S.C. § 3507.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41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146050</wp:posOffset>
            </wp:positionV>
            <wp:extent cx="714184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845"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544830</wp:posOffset>
            </wp:positionV>
            <wp:extent cx="7141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 Reports to Stockholders.</w:t>
      </w:r>
    </w:p>
    <w:p>
      <w:pPr>
        <w:spacing w:after="0" w:line="211" w:lineRule="exact"/>
        <w:rPr>
          <w:sz w:val="20"/>
          <w:szCs w:val="20"/>
          <w:color w:val="auto"/>
        </w:rPr>
      </w:pPr>
    </w:p>
    <w:p>
      <w:pPr>
        <w:ind w:left="600" w:right="1859" w:hanging="298"/>
        <w:spacing w:after="0" w:line="520" w:lineRule="auto"/>
        <w:tabs>
          <w:tab w:leader="none" w:pos="6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a copy of the report transmitted to stockholders pursuant to Rule 30e-1 under the Act (17 CFR 270.30e-1). The Report to Shareholders is attached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238760</wp:posOffset>
            </wp:positionV>
            <wp:extent cx="7141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32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969645</wp:posOffset>
            </wp:positionH>
            <wp:positionV relativeFrom="page">
              <wp:posOffset>216535</wp:posOffset>
            </wp:positionV>
            <wp:extent cx="5585460" cy="1212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585460" cy="121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32"/>
          <w:szCs w:val="32"/>
          <w:b w:val="1"/>
          <w:bCs w:val="1"/>
          <w:color w:val="296B38"/>
        </w:rPr>
        <w:t>Annual Report</w:t>
      </w:r>
    </w:p>
    <w:p>
      <w:pPr>
        <w:spacing w:after="0" w:line="54" w:lineRule="exact"/>
        <w:rPr>
          <w:sz w:val="20"/>
          <w:szCs w:val="20"/>
          <w:color w:val="auto"/>
        </w:rPr>
      </w:pPr>
    </w:p>
    <w:p>
      <w:pPr>
        <w:ind w:left="5620"/>
        <w:spacing w:after="0"/>
        <w:rPr>
          <w:sz w:val="20"/>
          <w:szCs w:val="20"/>
          <w:color w:val="auto"/>
        </w:rPr>
      </w:pPr>
      <w:r>
        <w:rPr>
          <w:rFonts w:ascii="Arial" w:cs="Arial" w:eastAsia="Arial" w:hAnsi="Arial"/>
          <w:sz w:val="18"/>
          <w:szCs w:val="18"/>
          <w:color w:val="296B38"/>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1187450</wp:posOffset>
            </wp:positionV>
            <wp:extent cx="714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254000</wp:posOffset>
            </wp:positionV>
            <wp:extent cx="6782435" cy="646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2435" cy="6464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00" w:type="dxa"/>
            <w:vAlign w:val="bottom"/>
            <w:gridSpan w:val="2"/>
          </w:tcPr>
          <w:p>
            <w:pPr>
              <w:jc w:val="center"/>
              <w:ind w:right="1639"/>
              <w:spacing w:after="0"/>
              <w:rPr>
                <w:sz w:val="20"/>
                <w:szCs w:val="20"/>
                <w:color w:val="auto"/>
              </w:rPr>
            </w:pPr>
            <w:r>
              <w:rPr>
                <w:rFonts w:ascii="Times New Roman" w:cs="Times New Roman" w:eastAsia="Times New Roman" w:hAnsi="Times New Roman"/>
                <w:sz w:val="20"/>
                <w:szCs w:val="20"/>
                <w:b w:val="1"/>
                <w:bCs w:val="1"/>
                <w:color w:val="296B38"/>
              </w:rPr>
              <w:t>ARROWMARK FINANCIAL CORP.</w:t>
            </w: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6"/>
        </w:trPr>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40" w:type="dxa"/>
            <w:vAlign w:val="bottom"/>
          </w:tcPr>
          <w:p>
            <w:pPr>
              <w:jc w:val="center"/>
              <w:ind w:right="1899"/>
              <w:spacing w:after="0"/>
              <w:rPr>
                <w:sz w:val="20"/>
                <w:szCs w:val="20"/>
                <w:color w:val="auto"/>
              </w:rPr>
            </w:pPr>
            <w:r>
              <w:rPr>
                <w:rFonts w:ascii="Arial" w:cs="Arial" w:eastAsia="Arial" w:hAnsi="Arial"/>
                <w:sz w:val="20"/>
                <w:szCs w:val="20"/>
                <w:b w:val="1"/>
                <w:bCs w:val="1"/>
                <w:color w:val="auto"/>
                <w:w w:val="99"/>
              </w:rPr>
              <w:t>Table of Contents</w:t>
            </w:r>
          </w:p>
        </w:tc>
        <w:tc>
          <w:tcPr>
            <w:tcW w:w="2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11"/>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rPr>
              <w:t>Page</w:t>
            </w:r>
          </w:p>
        </w:tc>
      </w:tr>
      <w:tr>
        <w:trPr>
          <w:trHeight w:val="369"/>
        </w:trPr>
        <w:tc>
          <w:tcPr>
            <w:tcW w:w="9040" w:type="dxa"/>
            <w:vAlign w:val="bottom"/>
            <w:gridSpan w:val="16"/>
          </w:tcPr>
          <w:p>
            <w:pPr>
              <w:spacing w:after="0"/>
              <w:rPr>
                <w:sz w:val="20"/>
                <w:szCs w:val="20"/>
                <w:color w:val="auto"/>
              </w:rPr>
            </w:pPr>
            <w:r>
              <w:rPr>
                <w:rFonts w:ascii="Arial" w:cs="Arial" w:eastAsia="Arial" w:hAnsi="Arial"/>
                <w:sz w:val="18"/>
                <w:szCs w:val="18"/>
                <w:color w:val="0000EE"/>
              </w:rPr>
              <w:t>Letter to Shareholders</w:t>
            </w:r>
          </w:p>
        </w:tc>
        <w:tc>
          <w:tcPr>
            <w:tcW w:w="2200" w:type="dxa"/>
            <w:vAlign w:val="bottom"/>
            <w:gridSpan w:val="4"/>
          </w:tcPr>
          <w:p>
            <w:pPr>
              <w:jc w:val="right"/>
              <w:spacing w:after="0"/>
              <w:rPr>
                <w:sz w:val="20"/>
                <w:szCs w:val="20"/>
                <w:color w:val="auto"/>
              </w:rPr>
            </w:pPr>
            <w:r>
              <w:rPr>
                <w:rFonts w:ascii="Arial" w:cs="Arial" w:eastAsia="Arial" w:hAnsi="Arial"/>
                <w:sz w:val="18"/>
                <w:szCs w:val="18"/>
                <w:color w:val="0000EE"/>
              </w:rPr>
              <w:t>1</w:t>
            </w:r>
          </w:p>
        </w:tc>
      </w:tr>
      <w:tr>
        <w:trPr>
          <w:trHeight w:val="20"/>
        </w:trPr>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95"/>
        </w:trPr>
        <w:tc>
          <w:tcPr>
            <w:tcW w:w="27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rPr>
              <w:t>About ArrowMark Financial Corp.</w:t>
            </w:r>
          </w:p>
        </w:tc>
        <w:tc>
          <w:tcPr>
            <w:tcW w:w="6320" w:type="dxa"/>
            <w:vAlign w:val="bottom"/>
            <w:gridSpan w:val="8"/>
          </w:tcPr>
          <w:p>
            <w:pPr>
              <w:spacing w:after="0"/>
              <w:rPr>
                <w:sz w:val="24"/>
                <w:szCs w:val="24"/>
                <w:color w:val="auto"/>
              </w:rPr>
            </w:pPr>
          </w:p>
        </w:tc>
        <w:tc>
          <w:tcPr>
            <w:tcW w:w="210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3</w:t>
            </w:r>
          </w:p>
        </w:tc>
      </w:tr>
      <w:tr>
        <w:trPr>
          <w:trHeight w:val="395"/>
        </w:trPr>
        <w:tc>
          <w:tcPr>
            <w:tcW w:w="9040" w:type="dxa"/>
            <w:vAlign w:val="bottom"/>
            <w:gridSpan w:val="16"/>
          </w:tcPr>
          <w:p>
            <w:pPr>
              <w:spacing w:after="0"/>
              <w:rPr>
                <w:sz w:val="20"/>
                <w:szCs w:val="20"/>
                <w:color w:val="auto"/>
              </w:rPr>
            </w:pPr>
            <w:r>
              <w:rPr>
                <w:rFonts w:ascii="Arial" w:cs="Arial" w:eastAsia="Arial" w:hAnsi="Arial"/>
                <w:sz w:val="18"/>
                <w:szCs w:val="18"/>
                <w:color w:val="0000EE"/>
              </w:rPr>
              <w:t>Consolidated Schedule of Investments</w:t>
            </w:r>
          </w:p>
        </w:tc>
        <w:tc>
          <w:tcPr>
            <w:tcW w:w="2200" w:type="dxa"/>
            <w:vAlign w:val="bottom"/>
            <w:gridSpan w:val="4"/>
          </w:tcPr>
          <w:p>
            <w:pPr>
              <w:jc w:val="right"/>
              <w:spacing w:after="0"/>
              <w:rPr>
                <w:sz w:val="20"/>
                <w:szCs w:val="20"/>
                <w:color w:val="auto"/>
              </w:rPr>
            </w:pPr>
            <w:r>
              <w:rPr>
                <w:rFonts w:ascii="Arial" w:cs="Arial" w:eastAsia="Arial" w:hAnsi="Arial"/>
                <w:sz w:val="18"/>
                <w:szCs w:val="18"/>
                <w:color w:val="0000EE"/>
              </w:rPr>
              <w:t>7</w:t>
            </w:r>
          </w:p>
        </w:tc>
      </w:tr>
      <w:tr>
        <w:trPr>
          <w:trHeight w:val="20"/>
        </w:trPr>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95"/>
        </w:trPr>
        <w:tc>
          <w:tcPr>
            <w:tcW w:w="9040" w:type="dxa"/>
            <w:vAlign w:val="bottom"/>
            <w:gridSpan w:val="16"/>
          </w:tcPr>
          <w:p>
            <w:pPr>
              <w:spacing w:after="0"/>
              <w:rPr>
                <w:sz w:val="20"/>
                <w:szCs w:val="20"/>
                <w:color w:val="auto"/>
              </w:rPr>
            </w:pPr>
            <w:r>
              <w:rPr>
                <w:rFonts w:ascii="Arial" w:cs="Arial" w:eastAsia="Arial" w:hAnsi="Arial"/>
                <w:sz w:val="18"/>
                <w:szCs w:val="18"/>
                <w:color w:val="0000EE"/>
              </w:rPr>
              <w:t>Consolidated Statement of Assets and Liabilities</w:t>
            </w:r>
          </w:p>
        </w:tc>
        <w:tc>
          <w:tcPr>
            <w:tcW w:w="2200" w:type="dxa"/>
            <w:vAlign w:val="bottom"/>
            <w:gridSpan w:val="4"/>
          </w:tcPr>
          <w:p>
            <w:pPr>
              <w:jc w:val="right"/>
              <w:spacing w:after="0"/>
              <w:rPr>
                <w:sz w:val="20"/>
                <w:szCs w:val="20"/>
                <w:color w:val="auto"/>
              </w:rPr>
            </w:pPr>
            <w:r>
              <w:rPr>
                <w:rFonts w:ascii="Arial" w:cs="Arial" w:eastAsia="Arial" w:hAnsi="Arial"/>
                <w:sz w:val="18"/>
                <w:szCs w:val="18"/>
                <w:color w:val="0000EE"/>
              </w:rPr>
              <w:t>11</w:t>
            </w:r>
          </w:p>
        </w:tc>
      </w:tr>
      <w:tr>
        <w:trPr>
          <w:trHeight w:val="20"/>
        </w:trPr>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95"/>
        </w:trPr>
        <w:tc>
          <w:tcPr>
            <w:tcW w:w="3940" w:type="dxa"/>
            <w:vAlign w:val="bottom"/>
            <w:gridSpan w:val="14"/>
          </w:tcPr>
          <w:p>
            <w:pPr>
              <w:spacing w:after="0"/>
              <w:rPr>
                <w:sz w:val="20"/>
                <w:szCs w:val="20"/>
                <w:color w:val="auto"/>
              </w:rPr>
            </w:pPr>
            <w:r>
              <w:rPr>
                <w:rFonts w:ascii="Arial" w:cs="Arial" w:eastAsia="Arial" w:hAnsi="Arial"/>
                <w:sz w:val="18"/>
                <w:szCs w:val="18"/>
                <w:color w:val="0000EE"/>
              </w:rPr>
              <w:t>Consolidated Statement of Operations</w:t>
            </w:r>
          </w:p>
        </w:tc>
        <w:tc>
          <w:tcPr>
            <w:tcW w:w="5100" w:type="dxa"/>
            <w:vAlign w:val="bottom"/>
            <w:gridSpan w:val="2"/>
          </w:tcPr>
          <w:p>
            <w:pPr>
              <w:spacing w:after="0"/>
              <w:rPr>
                <w:sz w:val="24"/>
                <w:szCs w:val="24"/>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color w:val="0000EE"/>
              </w:rPr>
              <w:t>12</w:t>
            </w:r>
          </w:p>
        </w:tc>
      </w:tr>
      <w:tr>
        <w:trPr>
          <w:trHeight w:val="20"/>
        </w:trPr>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395"/>
        </w:trPr>
        <w:tc>
          <w:tcPr>
            <w:tcW w:w="42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rPr>
              <w:t>Consolidated Statements of Changes In Net Assets</w:t>
            </w:r>
          </w:p>
        </w:tc>
        <w:tc>
          <w:tcPr>
            <w:tcW w:w="4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13</w:t>
            </w:r>
          </w:p>
        </w:tc>
      </w:tr>
      <w:tr>
        <w:trPr>
          <w:trHeight w:val="395"/>
        </w:trPr>
        <w:tc>
          <w:tcPr>
            <w:tcW w:w="9040" w:type="dxa"/>
            <w:vAlign w:val="bottom"/>
            <w:gridSpan w:val="16"/>
          </w:tcPr>
          <w:p>
            <w:pPr>
              <w:spacing w:after="0"/>
              <w:rPr>
                <w:sz w:val="20"/>
                <w:szCs w:val="20"/>
                <w:color w:val="auto"/>
              </w:rPr>
            </w:pPr>
            <w:r>
              <w:rPr>
                <w:rFonts w:ascii="Arial" w:cs="Arial" w:eastAsia="Arial" w:hAnsi="Arial"/>
                <w:sz w:val="18"/>
                <w:szCs w:val="18"/>
                <w:color w:val="0000EE"/>
              </w:rPr>
              <w:t>Consolidated Statement of Cash Flows</w:t>
            </w:r>
          </w:p>
        </w:tc>
        <w:tc>
          <w:tcPr>
            <w:tcW w:w="2200" w:type="dxa"/>
            <w:vAlign w:val="bottom"/>
            <w:gridSpan w:val="4"/>
          </w:tcPr>
          <w:p>
            <w:pPr>
              <w:jc w:val="right"/>
              <w:spacing w:after="0"/>
              <w:rPr>
                <w:sz w:val="20"/>
                <w:szCs w:val="20"/>
                <w:color w:val="auto"/>
              </w:rPr>
            </w:pPr>
            <w:r>
              <w:rPr>
                <w:rFonts w:ascii="Arial" w:cs="Arial" w:eastAsia="Arial" w:hAnsi="Arial"/>
                <w:sz w:val="18"/>
                <w:szCs w:val="18"/>
                <w:color w:val="0000EE"/>
              </w:rPr>
              <w:t>14</w:t>
            </w:r>
          </w:p>
        </w:tc>
      </w:tr>
      <w:tr>
        <w:trPr>
          <w:trHeight w:val="395"/>
        </w:trPr>
        <w:tc>
          <w:tcPr>
            <w:tcW w:w="31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Consolidated Financial Highlights</w:t>
            </w:r>
          </w:p>
        </w:tc>
        <w:tc>
          <w:tcPr>
            <w:tcW w:w="5860" w:type="dxa"/>
            <w:vAlign w:val="bottom"/>
            <w:gridSpan w:val="5"/>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Borders>
              <w:top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15</w:t>
            </w:r>
          </w:p>
        </w:tc>
      </w:tr>
      <w:tr>
        <w:trPr>
          <w:trHeight w:val="20"/>
        </w:trPr>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395"/>
        </w:trPr>
        <w:tc>
          <w:tcPr>
            <w:tcW w:w="9040" w:type="dxa"/>
            <w:vAlign w:val="bottom"/>
            <w:gridSpan w:val="16"/>
          </w:tcPr>
          <w:p>
            <w:pPr>
              <w:spacing w:after="0"/>
              <w:rPr>
                <w:sz w:val="20"/>
                <w:szCs w:val="20"/>
                <w:color w:val="auto"/>
              </w:rPr>
            </w:pPr>
            <w:r>
              <w:rPr>
                <w:rFonts w:ascii="Arial" w:cs="Arial" w:eastAsia="Arial" w:hAnsi="Arial"/>
                <w:sz w:val="18"/>
                <w:szCs w:val="18"/>
                <w:color w:val="0000EE"/>
              </w:rPr>
              <w:t>Notes to Consolidated Financial Statements</w:t>
            </w:r>
          </w:p>
        </w:tc>
        <w:tc>
          <w:tcPr>
            <w:tcW w:w="2200" w:type="dxa"/>
            <w:vAlign w:val="bottom"/>
            <w:gridSpan w:val="4"/>
          </w:tcPr>
          <w:p>
            <w:pPr>
              <w:jc w:val="right"/>
              <w:spacing w:after="0"/>
              <w:rPr>
                <w:sz w:val="20"/>
                <w:szCs w:val="20"/>
                <w:color w:val="auto"/>
              </w:rPr>
            </w:pPr>
            <w:r>
              <w:rPr>
                <w:rFonts w:ascii="Arial" w:cs="Arial" w:eastAsia="Arial" w:hAnsi="Arial"/>
                <w:sz w:val="18"/>
                <w:szCs w:val="18"/>
                <w:color w:val="0000EE"/>
              </w:rPr>
              <w:t>17</w:t>
            </w:r>
          </w:p>
        </w:tc>
      </w:tr>
      <w:tr>
        <w:trPr>
          <w:trHeight w:val="395"/>
        </w:trPr>
        <w:tc>
          <w:tcPr>
            <w:tcW w:w="358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Auditor’s Report</w:t>
            </w:r>
          </w:p>
        </w:tc>
        <w:tc>
          <w:tcPr>
            <w:tcW w:w="5460" w:type="dxa"/>
            <w:vAlign w:val="bottom"/>
            <w:gridSpan w:val="4"/>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Borders>
              <w:top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33</w:t>
            </w:r>
          </w:p>
        </w:tc>
      </w:tr>
      <w:tr>
        <w:trPr>
          <w:trHeight w:val="20"/>
        </w:trPr>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395"/>
        </w:trPr>
        <w:tc>
          <w:tcPr>
            <w:tcW w:w="22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rPr>
              <w:t>Dividends and Distributions</w:t>
            </w:r>
          </w:p>
        </w:tc>
        <w:tc>
          <w:tcPr>
            <w:tcW w:w="6800" w:type="dxa"/>
            <w:vAlign w:val="bottom"/>
            <w:gridSpan w:val="9"/>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34</w:t>
            </w:r>
          </w:p>
        </w:tc>
      </w:tr>
      <w:tr>
        <w:trPr>
          <w:trHeight w:val="395"/>
        </w:trPr>
        <w:tc>
          <w:tcPr>
            <w:tcW w:w="9040" w:type="dxa"/>
            <w:vAlign w:val="bottom"/>
            <w:gridSpan w:val="16"/>
          </w:tcPr>
          <w:p>
            <w:pPr>
              <w:spacing w:after="0"/>
              <w:rPr>
                <w:sz w:val="20"/>
                <w:szCs w:val="20"/>
                <w:color w:val="auto"/>
              </w:rPr>
            </w:pPr>
            <w:r>
              <w:rPr>
                <w:rFonts w:ascii="Arial" w:cs="Arial" w:eastAsia="Arial" w:hAnsi="Arial"/>
                <w:sz w:val="18"/>
                <w:szCs w:val="18"/>
                <w:color w:val="0000EE"/>
              </w:rPr>
              <w:t>Share Price Data</w:t>
            </w:r>
          </w:p>
        </w:tc>
        <w:tc>
          <w:tcPr>
            <w:tcW w:w="2200" w:type="dxa"/>
            <w:vAlign w:val="bottom"/>
            <w:gridSpan w:val="4"/>
          </w:tcPr>
          <w:p>
            <w:pPr>
              <w:jc w:val="right"/>
              <w:spacing w:after="0"/>
              <w:rPr>
                <w:sz w:val="20"/>
                <w:szCs w:val="20"/>
                <w:color w:val="auto"/>
              </w:rPr>
            </w:pPr>
            <w:r>
              <w:rPr>
                <w:rFonts w:ascii="Arial" w:cs="Arial" w:eastAsia="Arial" w:hAnsi="Arial"/>
                <w:sz w:val="18"/>
                <w:szCs w:val="18"/>
                <w:color w:val="0000EE"/>
              </w:rPr>
              <w:t>36</w:t>
            </w:r>
          </w:p>
        </w:tc>
      </w:tr>
      <w:tr>
        <w:trPr>
          <w:trHeight w:val="20"/>
        </w:trPr>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395"/>
        </w:trPr>
        <w:tc>
          <w:tcPr>
            <w:tcW w:w="19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rPr>
              <w:t>Fee Table and Example</w:t>
            </w:r>
          </w:p>
        </w:tc>
        <w:tc>
          <w:tcPr>
            <w:tcW w:w="7100" w:type="dxa"/>
            <w:vAlign w:val="bottom"/>
            <w:gridSpan w:val="10"/>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38</w:t>
            </w:r>
          </w:p>
        </w:tc>
      </w:tr>
      <w:tr>
        <w:trPr>
          <w:trHeight w:val="395"/>
        </w:trPr>
        <w:tc>
          <w:tcPr>
            <w:tcW w:w="13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rPr>
              <w:t>Tax Information</w:t>
            </w:r>
          </w:p>
        </w:tc>
        <w:tc>
          <w:tcPr>
            <w:tcW w:w="7720" w:type="dxa"/>
            <w:vAlign w:val="bottom"/>
            <w:gridSpan w:val="13"/>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40</w:t>
            </w:r>
          </w:p>
        </w:tc>
      </w:tr>
      <w:tr>
        <w:trPr>
          <w:trHeight w:val="395"/>
        </w:trPr>
        <w:tc>
          <w:tcPr>
            <w:tcW w:w="9040" w:type="dxa"/>
            <w:vAlign w:val="bottom"/>
            <w:gridSpan w:val="16"/>
          </w:tcPr>
          <w:p>
            <w:pPr>
              <w:spacing w:after="0"/>
              <w:rPr>
                <w:sz w:val="20"/>
                <w:szCs w:val="20"/>
                <w:color w:val="auto"/>
              </w:rPr>
            </w:pPr>
            <w:r>
              <w:rPr>
                <w:rFonts w:ascii="Arial" w:cs="Arial" w:eastAsia="Arial" w:hAnsi="Arial"/>
                <w:sz w:val="18"/>
                <w:szCs w:val="18"/>
                <w:color w:val="0000EE"/>
              </w:rPr>
              <w:t>Additional Information</w:t>
            </w:r>
          </w:p>
        </w:tc>
        <w:tc>
          <w:tcPr>
            <w:tcW w:w="2200" w:type="dxa"/>
            <w:vAlign w:val="bottom"/>
            <w:gridSpan w:val="4"/>
          </w:tcPr>
          <w:p>
            <w:pPr>
              <w:jc w:val="right"/>
              <w:spacing w:after="0"/>
              <w:rPr>
                <w:sz w:val="20"/>
                <w:szCs w:val="20"/>
                <w:color w:val="auto"/>
              </w:rPr>
            </w:pPr>
            <w:r>
              <w:rPr>
                <w:rFonts w:ascii="Arial" w:cs="Arial" w:eastAsia="Arial" w:hAnsi="Arial"/>
                <w:sz w:val="18"/>
                <w:szCs w:val="18"/>
                <w:color w:val="0000EE"/>
              </w:rPr>
              <w:t>40</w:t>
            </w:r>
          </w:p>
        </w:tc>
      </w:tr>
      <w:tr>
        <w:trPr>
          <w:trHeight w:val="20"/>
        </w:trPr>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395"/>
        </w:trPr>
        <w:tc>
          <w:tcPr>
            <w:tcW w:w="29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rPr>
              <w:t>Results of Meeting of Stockholders</w:t>
            </w:r>
          </w:p>
        </w:tc>
        <w:tc>
          <w:tcPr>
            <w:tcW w:w="6140" w:type="dxa"/>
            <w:vAlign w:val="bottom"/>
            <w:gridSpan w:val="7"/>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41</w:t>
            </w:r>
          </w:p>
        </w:tc>
      </w:tr>
      <w:tr>
        <w:trPr>
          <w:trHeight w:val="395"/>
        </w:trPr>
        <w:tc>
          <w:tcPr>
            <w:tcW w:w="9040" w:type="dxa"/>
            <w:vAlign w:val="bottom"/>
            <w:gridSpan w:val="16"/>
          </w:tcPr>
          <w:p>
            <w:pPr>
              <w:spacing w:after="0"/>
              <w:rPr>
                <w:sz w:val="20"/>
                <w:szCs w:val="20"/>
                <w:color w:val="auto"/>
              </w:rPr>
            </w:pPr>
            <w:r>
              <w:rPr>
                <w:rFonts w:ascii="Arial" w:cs="Arial" w:eastAsia="Arial" w:hAnsi="Arial"/>
                <w:sz w:val="18"/>
                <w:szCs w:val="18"/>
                <w:color w:val="0000EE"/>
              </w:rPr>
              <w:t>Board Approval of the Management Agreement</w:t>
            </w:r>
          </w:p>
        </w:tc>
        <w:tc>
          <w:tcPr>
            <w:tcW w:w="2200" w:type="dxa"/>
            <w:vAlign w:val="bottom"/>
            <w:gridSpan w:val="4"/>
          </w:tcPr>
          <w:p>
            <w:pPr>
              <w:jc w:val="right"/>
              <w:spacing w:after="0"/>
              <w:rPr>
                <w:sz w:val="20"/>
                <w:szCs w:val="20"/>
                <w:color w:val="auto"/>
              </w:rPr>
            </w:pPr>
            <w:r>
              <w:rPr>
                <w:rFonts w:ascii="Arial" w:cs="Arial" w:eastAsia="Arial" w:hAnsi="Arial"/>
                <w:sz w:val="18"/>
                <w:szCs w:val="18"/>
                <w:color w:val="0000EE"/>
              </w:rPr>
              <w:t>42</w:t>
            </w:r>
          </w:p>
        </w:tc>
      </w:tr>
      <w:tr>
        <w:trPr>
          <w:trHeight w:val="395"/>
        </w:trPr>
        <w:tc>
          <w:tcPr>
            <w:tcW w:w="10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rPr>
              <w:t>Management</w:t>
            </w:r>
          </w:p>
        </w:tc>
        <w:tc>
          <w:tcPr>
            <w:tcW w:w="2780" w:type="dxa"/>
            <w:vAlign w:val="bottom"/>
            <w:tcBorders>
              <w:top w:val="single" w:sz="8" w:color="0000EE"/>
            </w:tcBorders>
            <w:gridSpan w:val="12"/>
          </w:tcPr>
          <w:p>
            <w:pPr>
              <w:spacing w:after="0"/>
              <w:rPr>
                <w:sz w:val="24"/>
                <w:szCs w:val="24"/>
                <w:color w:val="auto"/>
              </w:rPr>
            </w:pPr>
          </w:p>
        </w:tc>
        <w:tc>
          <w:tcPr>
            <w:tcW w:w="5180" w:type="dxa"/>
            <w:vAlign w:val="bottom"/>
            <w:gridSpan w:val="3"/>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Borders>
              <w:top w:val="single" w:sz="8" w:color="0000EE"/>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45</w:t>
            </w:r>
          </w:p>
        </w:tc>
      </w:tr>
      <w:tr>
        <w:trPr>
          <w:trHeight w:val="395"/>
        </w:trPr>
        <w:tc>
          <w:tcPr>
            <w:tcW w:w="9040" w:type="dxa"/>
            <w:vAlign w:val="bottom"/>
            <w:gridSpan w:val="16"/>
          </w:tcPr>
          <w:p>
            <w:pPr>
              <w:spacing w:after="0"/>
              <w:rPr>
                <w:sz w:val="20"/>
                <w:szCs w:val="20"/>
                <w:color w:val="auto"/>
              </w:rPr>
            </w:pPr>
            <w:r>
              <w:rPr>
                <w:rFonts w:ascii="Arial" w:cs="Arial" w:eastAsia="Arial" w:hAnsi="Arial"/>
                <w:sz w:val="18"/>
                <w:szCs w:val="18"/>
                <w:color w:val="0000EE"/>
              </w:rPr>
              <w:t>Privacy Notice</w:t>
            </w:r>
          </w:p>
        </w:tc>
        <w:tc>
          <w:tcPr>
            <w:tcW w:w="2200" w:type="dxa"/>
            <w:vAlign w:val="bottom"/>
            <w:gridSpan w:val="4"/>
          </w:tcPr>
          <w:p>
            <w:pPr>
              <w:jc w:val="right"/>
              <w:spacing w:after="0"/>
              <w:rPr>
                <w:sz w:val="20"/>
                <w:szCs w:val="20"/>
                <w:color w:val="auto"/>
              </w:rPr>
            </w:pPr>
            <w:r>
              <w:rPr>
                <w:rFonts w:ascii="Arial" w:cs="Arial" w:eastAsia="Arial" w:hAnsi="Arial"/>
                <w:sz w:val="18"/>
                <w:szCs w:val="18"/>
                <w:color w:val="0000EE"/>
              </w:rPr>
              <w:t>50</w:t>
            </w:r>
          </w:p>
        </w:tc>
      </w:tr>
      <w:tr>
        <w:trPr>
          <w:trHeight w:val="797"/>
        </w:trPr>
        <w:tc>
          <w:tcPr>
            <w:tcW w:w="10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81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396240</wp:posOffset>
            </wp:positionV>
            <wp:extent cx="714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019"/>
          </w:cols>
          <w:pgMar w:left="1440" w:top="826"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535940</wp:posOffset>
            </wp:positionV>
            <wp:extent cx="6782435" cy="901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782435" cy="90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February 27, 2026</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Dear Shareholders,</w:t>
      </w:r>
    </w:p>
    <w:p>
      <w:pPr>
        <w:spacing w:after="0" w:line="179" w:lineRule="exact"/>
        <w:rPr>
          <w:sz w:val="20"/>
          <w:szCs w:val="20"/>
          <w:color w:val="auto"/>
        </w:rPr>
      </w:pPr>
    </w:p>
    <w:p>
      <w:pPr>
        <w:ind w:right="540"/>
        <w:spacing w:after="0" w:line="280" w:lineRule="auto"/>
        <w:rPr>
          <w:sz w:val="20"/>
          <w:szCs w:val="20"/>
          <w:color w:val="auto"/>
        </w:rPr>
      </w:pPr>
      <w:r>
        <w:rPr>
          <w:rFonts w:ascii="Arial" w:cs="Arial" w:eastAsia="Arial" w:hAnsi="Arial"/>
          <w:sz w:val="15"/>
          <w:szCs w:val="15"/>
          <w:color w:val="auto"/>
        </w:rPr>
        <w:t>We are pleased to provide you with the enclosed annual report for ArrowMark Financial Corp. (“ArrowMark Financial” or the “Fund”) for the twelve months ended December 31, 2025.</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Fund generated a +12.54% net total return during the year, outperforming the Bloomberg High Yield, Bloomberg Aggregate, and Morningstar Leveraged Loan, which returned 8.62%, 7.30%, and 7.24%, respectively. The Fund’s investments in regulatory capital relief securities showed resilience and outperformance resulting from strong income generation from floating-rate security coupons and the strength of underlying collateral fundamentals.</w:t>
      </w:r>
    </w:p>
    <w:p>
      <w:pPr>
        <w:spacing w:after="0" w:line="138" w:lineRule="exact"/>
        <w:rPr>
          <w:sz w:val="20"/>
          <w:szCs w:val="20"/>
          <w:color w:val="auto"/>
        </w:rPr>
      </w:pPr>
    </w:p>
    <w:p>
      <w:pPr>
        <w:jc w:val="both"/>
        <w:spacing w:after="0" w:line="215" w:lineRule="auto"/>
        <w:rPr>
          <w:sz w:val="20"/>
          <w:szCs w:val="20"/>
          <w:color w:val="auto"/>
        </w:rPr>
      </w:pPr>
      <w:r>
        <w:rPr>
          <w:rFonts w:ascii="Arial" w:cs="Arial" w:eastAsia="Arial" w:hAnsi="Arial"/>
          <w:sz w:val="15"/>
          <w:szCs w:val="15"/>
          <w:color w:val="auto"/>
        </w:rPr>
        <w:t>Regulatory capital relief, which comprises 85% of the portfolio, set a new record in 2025 issuance.</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The sustained, higher level of issuance underscores the increasing role of regulatory capital relief securities as a core balance sheet management tool for banks.</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While our investment strategy continues to include the entire banking sector, the Fund’s new investments of $47.7 million were made in regulatory capital relief securities. All of the new investments offered attractive yields and anticipated resilience in the event of capital market and/or macroeconomic volatility. The investment team will continue to emphasize return asymmetry and diversification as they reinvest Fund principal and income.</w:t>
      </w:r>
    </w:p>
    <w:p>
      <w:pPr>
        <w:spacing w:after="0" w:line="139"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The Fund’s Net Asset Value (“NAV”) increased year-over-year by 0.83% from $21.78 to $21.96. The Fund reports its NAV monthly, which we believe helps stabilize the stock price during periods of market volatility and creates pricing alignment with the underlying investments.</w:t>
      </w:r>
    </w:p>
    <w:p>
      <w:pPr>
        <w:spacing w:after="0" w:line="125"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During the year, the Fund declared quarterly distributions totaling $1.80 per share, plus two special distributions totaling $0.50 per share throughout the year. Since the fourth quarter 2019, the Fund has over-earned its stated distribution rate.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 Outlook</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maintain a constructive view of the regulatory capital relief market and our ability to achieve the Fund’s objectives. Security return profiles remain attractive on an absolute basis and represent a material premium to traditional public and private credit markets. In addition, diversification within individual transaction collateral pools and the Fund’s regulatory capital relief holdings should mitigate the impact of any idiosyncratic credit events. Moreover, while certain asset classes struggle with return of capital, contractual coupon income, and security paydowns/legal final maturities contribute to regular distributions to investors and provide visibility into future cash flows.</w:t>
      </w:r>
    </w:p>
    <w:p>
      <w:pPr>
        <w:spacing w:after="0" w:line="325"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On the following pages, we provide additional details on our 2025 financial and operational results. We appreciate your continued support of ArrowMark Financial. We look forward to updating you on our progress throughout the year.</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As always, we are grateful for your trust and partnership in the Fund and appreciate your continued confidence as we work to deliver long-term value for our investors.</w:t>
      </w:r>
    </w:p>
    <w:p>
      <w:pPr>
        <w:spacing w:after="0" w:line="195" w:lineRule="exact"/>
        <w:rPr>
          <w:sz w:val="20"/>
          <w:szCs w:val="20"/>
          <w:color w:val="auto"/>
        </w:rPr>
      </w:pPr>
    </w:p>
    <w:p>
      <w:pPr>
        <w:ind w:left="560" w:hanging="559"/>
        <w:spacing w:after="0"/>
        <w:tabs>
          <w:tab w:leader="none" w:pos="560" w:val="left"/>
        </w:tabs>
        <w:numPr>
          <w:ilvl w:val="0"/>
          <w:numId w:val="2"/>
        </w:numPr>
        <w:rPr>
          <w:rFonts w:ascii="Arial" w:cs="Arial" w:eastAsia="Arial" w:hAnsi="Arial"/>
          <w:sz w:val="15"/>
          <w:szCs w:val="15"/>
          <w:color w:val="296B38"/>
        </w:rPr>
      </w:pPr>
      <w:r>
        <w:rPr>
          <w:rFonts w:ascii="Arial" w:cs="Arial" w:eastAsia="Arial" w:hAnsi="Arial"/>
          <w:sz w:val="13"/>
          <w:szCs w:val="13"/>
          <w:color w:val="296B38"/>
        </w:rPr>
        <w:t>ArrowMark Financial Corp.</w:t>
      </w:r>
      <w:r>
        <w:rPr>
          <w:rFonts w:ascii="Arial" w:cs="Arial" w:eastAsia="Arial" w:hAnsi="Arial"/>
          <w:sz w:val="12"/>
          <w:szCs w:val="12"/>
          <w:b w:val="1"/>
          <w:bCs w:val="1"/>
          <w:color w:val="296B38"/>
        </w:rPr>
        <w:t>|</w:t>
      </w:r>
      <w:r>
        <w:rPr>
          <w:rFonts w:ascii="Arial" w:cs="Arial" w:eastAsia="Arial" w:hAnsi="Arial"/>
          <w:sz w:val="13"/>
          <w:szCs w:val="13"/>
          <w:color w:val="296B38"/>
        </w:rPr>
        <w:t xml:space="preserve"> </w:t>
      </w:r>
      <w:r>
        <w:rPr>
          <w:rFonts w:ascii="Arial" w:cs="Arial" w:eastAsia="Arial" w:hAnsi="Arial"/>
          <w:sz w:val="13"/>
          <w:szCs w:val="13"/>
          <w:b w:val="1"/>
          <w:bCs w:val="1"/>
          <w:color w:val="296B38"/>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71418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Sincerely,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Sanjai Bhonsle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Chairman &amp; CEO</w:t>
      </w:r>
    </w:p>
    <w:p>
      <w:pPr>
        <w:spacing w:after="0" w:line="167"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Based on ArrowMark’s estimate of market activity.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920" w:type="dxa"/>
            <w:vAlign w:val="bottom"/>
          </w:tcPr>
          <w:p>
            <w:pPr>
              <w:ind w:left="810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320" w:type="dxa"/>
            <w:vAlign w:val="bottom"/>
          </w:tcPr>
          <w:p>
            <w:pPr>
              <w:jc w:val="right"/>
              <w:spacing w:after="0"/>
              <w:rPr>
                <w:sz w:val="20"/>
                <w:szCs w:val="20"/>
                <w:color w:val="auto"/>
              </w:rPr>
            </w:pPr>
            <w:r>
              <w:rPr>
                <w:rFonts w:ascii="Arial" w:cs="Arial" w:eastAsia="Arial" w:hAnsi="Arial"/>
                <w:sz w:val="15"/>
                <w:szCs w:val="15"/>
                <w:color w:val="296B38"/>
              </w:rPr>
              <w:t>2</w:t>
            </w:r>
          </w:p>
        </w:tc>
      </w:tr>
      <w:tr>
        <w:trPr>
          <w:trHeight w:val="392"/>
        </w:trPr>
        <w:tc>
          <w:tcPr>
            <w:tcW w:w="10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9"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535940</wp:posOffset>
            </wp:positionV>
            <wp:extent cx="6743065" cy="686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743065" cy="6864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DISCUSSION AND SUMMARY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This report provides information on the financial performance for ArrowMark Financial Corp. ("ArrowMark Financial" or the "Fund") for the year ended December 31, 2025. ArrowMark Financial (BANX) is a closed-end management investment company listed on the NASDAQ Global Select Market.</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6"/>
          <w:szCs w:val="16"/>
          <w:color w:val="auto"/>
        </w:rPr>
        <w:t>As of year-end, the Fund had total assets of $203.7 million, consisting of total portfolio investments of $196.4 million and a cash and other assets of $7.4 million. Based on total investments of $196.4 million, the portfolio investments consisted of 4% term loans, 5.9% structured debt securities, 85.7% Regulatory Capital Securities in the form of credit-linked notes (“Regulatory Capital Securities”), 0.9% trust preferred and preferred securities, 3% common stock, and 0.5% of short- term or cash and cash equivalent investments.</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For the full year ended December 31, 2025, ArrowMark Financial had total investment income of $26.5 million and operating expenses of $10.2 million. This resulted in net investment income of $16.3 million or $2.29 per share based on average shares outstanding during the year. The Fund had realized and unrealized gains of $1.5 million or $0.19 per share. During the year, ArrowMark Financial declared distributions of $2.40 per share.</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fourth quarter 2025 declared dividend of $0.55 per share was comprised of a regular cash dividend of $0.45 per share and a special cash dividend of $0.10 per share. For the full year ended December 31, 2025, an investment in ArrowMark Financial resulted in a total annual return of 15.93%, including the reinvestment of distributions based on the closing market prices of ArrowMark Financial's stock.</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Net Asset Value at year end, December 31, 2025, was $21.96 per share, reflecting an increase of $0.16 per share from the prior year end. This was compromised of net investment income of $2.29 per share and net realized and unrealized gains of $0.19 per share, and cash distributions declared to shareholders of $2.30 per share, including the Fund’s two special cash distributions totaling $0.50 per share.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DISCUSSION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PORTFOLIO</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ArrowMark Financial makes long-term, non-control investments in banking-related assets including securities issued by community banks and global financial institutions for regulatory capital relief transactions which are issued by both U.S. and foreign issuers to assist a bank in managing its regulatory capital requirements.</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Over the course of 2025, ArrowMark Financial purchased securities totaling $47.7 million, which consisted of ten transactions. During the same period, the Fund executed redemptions totaling $55.3 million. This was comprised of call (redemption) notices of $10.2 million in seven transactions and received paydowns and partial paydowns of approximately $45 million.</w:t>
      </w:r>
    </w:p>
    <w:p>
      <w:pPr>
        <w:spacing w:after="0" w:line="163" w:lineRule="exact"/>
        <w:rPr>
          <w:sz w:val="20"/>
          <w:szCs w:val="20"/>
          <w:color w:val="auto"/>
        </w:rPr>
      </w:pPr>
    </w:p>
    <w:p>
      <w:pPr>
        <w:ind w:left="560" w:hanging="559"/>
        <w:spacing w:after="0"/>
        <w:tabs>
          <w:tab w:leader="none" w:pos="560" w:val="left"/>
        </w:tabs>
        <w:numPr>
          <w:ilvl w:val="0"/>
          <w:numId w:val="3"/>
        </w:numPr>
        <w:rPr>
          <w:rFonts w:ascii="Arial" w:cs="Arial" w:eastAsia="Arial" w:hAnsi="Arial"/>
          <w:sz w:val="15"/>
          <w:szCs w:val="15"/>
          <w:color w:val="296B38"/>
        </w:rPr>
      </w:pPr>
      <w:r>
        <w:rPr>
          <w:rFonts w:ascii="Arial" w:cs="Arial" w:eastAsia="Arial" w:hAnsi="Arial"/>
          <w:sz w:val="13"/>
          <w:szCs w:val="13"/>
          <w:color w:val="296B38"/>
        </w:rPr>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263525</wp:posOffset>
            </wp:positionV>
            <wp:extent cx="71418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2"/>
          <w:szCs w:val="12"/>
          <w:color w:val="auto"/>
        </w:rPr>
        <w:t>As of December 31, 2025, the Fund had a total investment portfolio of $196.4 million representing 96.3% of total assets and consisting of:</w:t>
      </w:r>
    </w:p>
    <w:p>
      <w:pPr>
        <w:spacing w:after="0" w:line="181" w:lineRule="exact"/>
        <w:rPr>
          <w:sz w:val="20"/>
          <w:szCs w:val="20"/>
          <w:color w:val="auto"/>
        </w:rPr>
      </w:pPr>
    </w:p>
    <w:tbl>
      <w:tblPr>
        <w:tblLayout w:type="fixed"/>
        <w:tblInd w:w="1820" w:type="dxa"/>
        <w:tblCellMar>
          <w:top w:w="0" w:type="dxa"/>
          <w:left w:w="0" w:type="dxa"/>
          <w:bottom w:w="0" w:type="dxa"/>
          <w:right w:w="0" w:type="dxa"/>
        </w:tblCellMar>
      </w:tblPr>
      <w:tr>
        <w:trPr>
          <w:trHeight w:val="262"/>
        </w:trPr>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Investment Type</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r>
              <w:rPr>
                <w:rFonts w:ascii="Arial" w:cs="Arial" w:eastAsia="Arial" w:hAnsi="Arial"/>
                <w:sz w:val="22"/>
                <w:szCs w:val="22"/>
                <w:b w:val="1"/>
                <w:bCs w:val="1"/>
                <w:color w:val="auto"/>
                <w:vertAlign w:val="superscript"/>
              </w:rPr>
              <w:t>1</w:t>
            </w:r>
          </w:p>
        </w:tc>
      </w:tr>
      <w:tr>
        <w:trPr>
          <w:trHeight w:val="168"/>
        </w:trPr>
        <w:tc>
          <w:tcPr>
            <w:tcW w:w="3700" w:type="dxa"/>
            <w:vAlign w:val="bottom"/>
          </w:tcPr>
          <w:p>
            <w:pPr>
              <w:spacing w:after="0"/>
              <w:rPr>
                <w:sz w:val="20"/>
                <w:szCs w:val="20"/>
                <w:color w:val="auto"/>
              </w:rPr>
            </w:pPr>
            <w:r>
              <w:rPr>
                <w:rFonts w:ascii="Arial" w:cs="Arial" w:eastAsia="Arial" w:hAnsi="Arial"/>
                <w:sz w:val="13"/>
                <w:szCs w:val="13"/>
                <w:color w:val="auto"/>
              </w:rPr>
              <w:t>Term Loans</w:t>
            </w:r>
          </w:p>
        </w:tc>
        <w:tc>
          <w:tcPr>
            <w:tcW w:w="19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219"/>
        </w:trPr>
        <w:tc>
          <w:tcPr>
            <w:tcW w:w="3700" w:type="dxa"/>
            <w:vAlign w:val="bottom"/>
          </w:tcPr>
          <w:p>
            <w:pPr>
              <w:spacing w:after="0"/>
              <w:rPr>
                <w:sz w:val="20"/>
                <w:szCs w:val="20"/>
                <w:color w:val="auto"/>
              </w:rPr>
            </w:pPr>
            <w:r>
              <w:rPr>
                <w:rFonts w:ascii="Arial" w:cs="Arial" w:eastAsia="Arial" w:hAnsi="Arial"/>
                <w:sz w:val="13"/>
                <w:szCs w:val="13"/>
                <w:color w:val="auto"/>
              </w:rPr>
              <w:t>Structured Debt Security</w:t>
            </w:r>
          </w:p>
        </w:tc>
        <w:tc>
          <w:tcPr>
            <w:tcW w:w="190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302"/>
        </w:trPr>
        <w:tc>
          <w:tcPr>
            <w:tcW w:w="3700" w:type="dxa"/>
            <w:vAlign w:val="bottom"/>
          </w:tcPr>
          <w:p>
            <w:pPr>
              <w:spacing w:after="0"/>
              <w:rPr>
                <w:sz w:val="20"/>
                <w:szCs w:val="20"/>
                <w:color w:val="auto"/>
              </w:rPr>
            </w:pPr>
            <w:r>
              <w:rPr>
                <w:rFonts w:ascii="Arial" w:cs="Arial" w:eastAsia="Arial" w:hAnsi="Arial"/>
                <w:sz w:val="13"/>
                <w:szCs w:val="13"/>
                <w:color w:val="auto"/>
              </w:rPr>
              <w:t>Regulatory Capital Relief Securities</w:t>
            </w:r>
            <w:r>
              <w:rPr>
                <w:rFonts w:ascii="Arial" w:cs="Arial" w:eastAsia="Arial" w:hAnsi="Arial"/>
                <w:sz w:val="22"/>
                <w:szCs w:val="22"/>
                <w:color w:val="auto"/>
                <w:vertAlign w:val="superscript"/>
              </w:rPr>
              <w:t>2</w:t>
            </w:r>
          </w:p>
        </w:tc>
        <w:tc>
          <w:tcPr>
            <w:tcW w:w="1900" w:type="dxa"/>
            <w:vAlign w:val="bottom"/>
          </w:tcPr>
          <w:p>
            <w:pPr>
              <w:jc w:val="right"/>
              <w:spacing w:after="0"/>
              <w:rPr>
                <w:sz w:val="20"/>
                <w:szCs w:val="20"/>
                <w:color w:val="auto"/>
              </w:rPr>
            </w:pPr>
            <w:r>
              <w:rPr>
                <w:rFonts w:ascii="Arial" w:cs="Arial" w:eastAsia="Arial" w:hAnsi="Arial"/>
                <w:sz w:val="13"/>
                <w:szCs w:val="13"/>
                <w:color w:val="auto"/>
              </w:rPr>
              <w:t>85.7%</w:t>
            </w:r>
          </w:p>
        </w:tc>
      </w:tr>
      <w:tr>
        <w:trPr>
          <w:trHeight w:val="175"/>
        </w:trPr>
        <w:tc>
          <w:tcPr>
            <w:tcW w:w="3700" w:type="dxa"/>
            <w:vAlign w:val="bottom"/>
          </w:tcPr>
          <w:p>
            <w:pPr>
              <w:spacing w:after="0"/>
              <w:rPr>
                <w:sz w:val="20"/>
                <w:szCs w:val="20"/>
                <w:color w:val="auto"/>
              </w:rPr>
            </w:pPr>
            <w:r>
              <w:rPr>
                <w:rFonts w:ascii="Arial" w:cs="Arial" w:eastAsia="Arial" w:hAnsi="Arial"/>
                <w:sz w:val="13"/>
                <w:szCs w:val="13"/>
                <w:color w:val="auto"/>
              </w:rPr>
              <w:t>Trust Preferred and Preferred Securities</w:t>
            </w:r>
          </w:p>
        </w:tc>
        <w:tc>
          <w:tcPr>
            <w:tcW w:w="1900" w:type="dxa"/>
            <w:vAlign w:val="bottom"/>
          </w:tcPr>
          <w:p>
            <w:pPr>
              <w:jc w:val="right"/>
              <w:spacing w:after="0"/>
              <w:rPr>
                <w:sz w:val="20"/>
                <w:szCs w:val="20"/>
                <w:color w:val="auto"/>
              </w:rPr>
            </w:pPr>
            <w:r>
              <w:rPr>
                <w:rFonts w:ascii="Arial" w:cs="Arial" w:eastAsia="Arial" w:hAnsi="Arial"/>
                <w:sz w:val="13"/>
                <w:szCs w:val="13"/>
                <w:color w:val="auto"/>
              </w:rPr>
              <w:t>0.9%</w:t>
            </w:r>
          </w:p>
        </w:tc>
      </w:tr>
      <w:tr>
        <w:trPr>
          <w:trHeight w:val="226"/>
        </w:trPr>
        <w:tc>
          <w:tcPr>
            <w:tcW w:w="3700" w:type="dxa"/>
            <w:vAlign w:val="bottom"/>
          </w:tcPr>
          <w:p>
            <w:pPr>
              <w:spacing w:after="0"/>
              <w:rPr>
                <w:sz w:val="20"/>
                <w:szCs w:val="20"/>
                <w:color w:val="auto"/>
              </w:rPr>
            </w:pPr>
            <w:r>
              <w:rPr>
                <w:rFonts w:ascii="Arial" w:cs="Arial" w:eastAsia="Arial" w:hAnsi="Arial"/>
                <w:sz w:val="13"/>
                <w:szCs w:val="13"/>
                <w:color w:val="auto"/>
              </w:rPr>
              <w:t>Common Stocks</w:t>
            </w:r>
          </w:p>
        </w:tc>
        <w:tc>
          <w:tcPr>
            <w:tcW w:w="19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26"/>
        </w:trPr>
        <w:tc>
          <w:tcPr>
            <w:tcW w:w="3700" w:type="dxa"/>
            <w:vAlign w:val="bottom"/>
          </w:tcPr>
          <w:p>
            <w:pPr>
              <w:spacing w:after="0"/>
              <w:rPr>
                <w:sz w:val="20"/>
                <w:szCs w:val="20"/>
                <w:color w:val="auto"/>
              </w:rPr>
            </w:pPr>
            <w:r>
              <w:rPr>
                <w:rFonts w:ascii="Arial" w:cs="Arial" w:eastAsia="Arial" w:hAnsi="Arial"/>
                <w:sz w:val="13"/>
                <w:szCs w:val="13"/>
                <w:color w:val="auto"/>
              </w:rPr>
              <w:t>Money Market (Short Term Investment)</w:t>
            </w:r>
          </w:p>
        </w:tc>
        <w:tc>
          <w:tcPr>
            <w:tcW w:w="1900" w:type="dxa"/>
            <w:vAlign w:val="bottom"/>
          </w:tcPr>
          <w:p>
            <w:pPr>
              <w:jc w:val="right"/>
              <w:spacing w:after="0"/>
              <w:rPr>
                <w:sz w:val="20"/>
                <w:szCs w:val="20"/>
                <w:color w:val="auto"/>
              </w:rPr>
            </w:pPr>
            <w:r>
              <w:rPr>
                <w:rFonts w:ascii="Arial" w:cs="Arial" w:eastAsia="Arial" w:hAnsi="Arial"/>
                <w:sz w:val="13"/>
                <w:szCs w:val="13"/>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156845</wp:posOffset>
            </wp:positionV>
            <wp:extent cx="1787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87" w:lineRule="exact"/>
        <w:rPr>
          <w:sz w:val="20"/>
          <w:szCs w:val="20"/>
          <w:color w:val="auto"/>
        </w:rPr>
      </w:pPr>
    </w:p>
    <w:p>
      <w:pPr>
        <w:ind w:left="160" w:hanging="159"/>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2"/>
          <w:szCs w:val="12"/>
          <w:color w:val="auto"/>
        </w:rPr>
        <w:t>Based on Total Investments of $196.4 million</w:t>
      </w:r>
    </w:p>
    <w:p>
      <w:pPr>
        <w:spacing w:after="0" w:line="76" w:lineRule="exact"/>
        <w:rPr>
          <w:sz w:val="20"/>
          <w:szCs w:val="20"/>
          <w:color w:val="auto"/>
        </w:rPr>
      </w:pPr>
    </w:p>
    <w:p>
      <w:pPr>
        <w:ind w:left="160" w:hanging="159"/>
        <w:spacing w:after="0"/>
        <w:tabs>
          <w:tab w:leader="none" w:pos="160" w:val="left"/>
        </w:tabs>
        <w:numPr>
          <w:ilvl w:val="0"/>
          <w:numId w:val="5"/>
        </w:numPr>
        <w:rPr>
          <w:rFonts w:ascii="Arial" w:cs="Arial" w:eastAsia="Arial" w:hAnsi="Arial"/>
          <w:sz w:val="10"/>
          <w:szCs w:val="10"/>
          <w:color w:val="auto"/>
        </w:rPr>
      </w:pPr>
      <w:r>
        <w:rPr>
          <w:rFonts w:ascii="Arial" w:cs="Arial" w:eastAsia="Arial" w:hAnsi="Arial"/>
          <w:sz w:val="12"/>
          <w:szCs w:val="12"/>
          <w:color w:val="auto"/>
        </w:rPr>
        <w:t>Regulatory Capital Securities in this category are in the form of Credit-Linked Notes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PORTFOLIO CONSIDERATIONS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ArrowMark Financial is steadfast in its pursuit of constructing a portfolio that we believe is able to generate long-term, risk-adjusted returns, primarily for income distribution. The Fund seeks to achieve this goal while maintaining high credit quality standards.</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Among the factors that affect the timing of capital deployment are: (i) a bank’s timeframe to obtain internal approvals to issue, (ii) the protracted nature of mergers and acquisitions, and (iii) an approval process from government regulators which must provide final regulatory approvals for a bank merger, capital issuances and capital redemptions (refinancing).</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Fund continues to source community banking debt, trust preferred and preferred securities and, Regulatory Capital Securities in the form of credit-linked notes. Regulatory Capital Securities are issued by both U.S. and foreign bank issuers to manage their regulatory capital requirements. All of the purchase transactions in 2025 were Regulatory Capital Securities. The second largest type of investment is Structured Debt Securities, solely consisting of Community Funding 2018, LLC. Community Funding 2018, LLC is comprised of community bank debt and trust preferred or preferred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PROCESS</w:t>
      </w:r>
    </w:p>
    <w:p>
      <w:pPr>
        <w:spacing w:after="0" w:line="16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ArrowMark Financial’s investment committee is focused on delivering on what we believe to be attractive risk-adjusted returns through in-depth fundamental research with an emphasis on risk mitigation for capital preservation. The Fund conducts due diligence on pending investments in several phases, and the assessment of downside risk is integrated into each phase of the process. Sourcing investments and access to new investment opportunities are a result of the Fund’s dedication to building and maintaining strong banking relationships, as well as working with intermediaries in the banking sector. The investment team provides in-depth analysis of security structure and underlying collateral to determine the financial integrity of the institution. The investment process includes both quantitative and qualitative reviews with investment decisions made by an experienced investment team that has worked together across the spectrum of banking-related assets for over 15 years. The investment team places a high value on its relationships with the underlying bank’s management teams, and conducts regular in person or teleconference reviews, with particular focus on the bank’s local markets. The Fund’s disciplined approach to due diligence and its commitment to credit quality reflects its long-term view of creating shareholder value. The Fund believes shareholders have high regard for this dedicated and disciplined approach to portfolio construction. We expect the investment process will serve to provide predictable cash flows and stable to growing net asset value over an extended timeframe.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920" w:type="dxa"/>
            <w:vAlign w:val="bottom"/>
          </w:tcPr>
          <w:p>
            <w:pPr>
              <w:ind w:left="810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320" w:type="dxa"/>
            <w:vAlign w:val="bottom"/>
          </w:tcPr>
          <w:p>
            <w:pPr>
              <w:jc w:val="right"/>
              <w:spacing w:after="0"/>
              <w:rPr>
                <w:sz w:val="20"/>
                <w:szCs w:val="20"/>
                <w:color w:val="auto"/>
              </w:rPr>
            </w:pPr>
            <w:r>
              <w:rPr>
                <w:rFonts w:ascii="Arial" w:cs="Arial" w:eastAsia="Arial" w:hAnsi="Arial"/>
                <w:sz w:val="15"/>
                <w:szCs w:val="15"/>
                <w:color w:val="296B38"/>
              </w:rPr>
              <w:t>4</w:t>
            </w:r>
          </w:p>
        </w:tc>
      </w:tr>
      <w:tr>
        <w:trPr>
          <w:trHeight w:val="404"/>
        </w:trPr>
        <w:tc>
          <w:tcPr>
            <w:tcW w:w="10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5" w:right="339" w:bottom="1440" w:gutter="0" w:footer="0" w:header="0"/>
        </w:sectPr>
      </w:pPr>
    </w:p>
    <w:bookmarkStart w:id="9" w:name="page10"/>
    <w:bookmarkEnd w:id="9"/>
    <w:p>
      <w:pPr>
        <w:jc w:val="both"/>
        <w:spacing w:after="0" w:line="246" w:lineRule="auto"/>
        <w:rPr>
          <w:sz w:val="20"/>
          <w:szCs w:val="20"/>
          <w:color w:val="auto"/>
        </w:rPr>
      </w:pPr>
      <w:r>
        <w:rPr>
          <w:rFonts w:ascii="Arial" w:cs="Arial" w:eastAsia="Arial" w:hAnsi="Arial"/>
          <w:sz w:val="16"/>
          <w:szCs w:val="16"/>
          <w:color w:val="auto"/>
        </w:rPr>
        <w:t>Under the ArrowMark Partners (“ArrowMark Partners”) platform, the breadth and the scope of personnel working on the investment portfolio and in the operations of ArrowMark Financial have been significantly expanded. We believe that the depth of expertise in banking-related assets across ArrowMark Partners platform offers a significant and intangible advantage to the Fund and to our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advice is provided to the Fund by ArrowMark Asset Management, LLC.</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FOCUS</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ArrowMark Financial typically pursues a range of investments in a bank’s capital structure. A bank’s capital structure includes senior and subordinated debt, Regulatory Capital Securities, preferred stock, and common equity. Bank holding company senior debt can also be absorbed at the bank level and become part of the bank’s capital structure. As a lender, a bank makes senior and mezzanine loans to borrowers. A bank’s common equity and the bank’s loan loss reserves offer a capital buffer to absorb credit losses from bank loans. Under normal circumstances, ArrowMark Financial would only incur a credit loss if the bank’s common equity plus loan loss reserves were exhausted.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Conclusion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ArrowMark Financial offers investors a unique opportunity to participate in a Fund focused on investing in banking-related assets.</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Fund will continue to work diligently for our shareholders by prudently managing the investment portfolio with the capital entrusted to us. ArrowMark Financial’s investment team works meticulously to deploy capital with a long-term focus on risk-adjusted returns, capital preservation, and credit quality. The Fund is focused on executing a disciplined and rigorous investment approach in the best interest of our stakeholders. ArrowMark Financial believes these investment considerations are paramount in its stewardship, and in the value that we offer to our shareholders.</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believe the strength of the management team and the Fund’s ability to nimbly respond to market opportunities will position the Fund for growth, as well as offer an attractive yield and risk-adjusted returns.</w:t>
      </w:r>
    </w:p>
    <w:p>
      <w:pPr>
        <w:spacing w:after="0" w:line="1"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Our mission is to create long-term value for our shareholders. We appreciate the recognition and the support over the past year, and we wish you a safe year ahead.</w:t>
      </w:r>
    </w:p>
    <w:p>
      <w:pPr>
        <w:spacing w:after="0" w:line="155" w:lineRule="exact"/>
        <w:rPr>
          <w:sz w:val="20"/>
          <w:szCs w:val="20"/>
          <w:color w:val="auto"/>
        </w:rPr>
      </w:pPr>
    </w:p>
    <w:p>
      <w:pPr>
        <w:ind w:left="560" w:hanging="559"/>
        <w:spacing w:after="0"/>
        <w:tabs>
          <w:tab w:leader="none" w:pos="560" w:val="left"/>
        </w:tabs>
        <w:numPr>
          <w:ilvl w:val="0"/>
          <w:numId w:val="6"/>
        </w:numPr>
        <w:rPr>
          <w:rFonts w:ascii="Arial" w:cs="Arial" w:eastAsia="Arial" w:hAnsi="Arial"/>
          <w:sz w:val="17"/>
          <w:szCs w:val="17"/>
          <w:color w:val="296B38"/>
        </w:rPr>
      </w:pPr>
      <w:r>
        <w:rPr>
          <w:rFonts w:ascii="Arial" w:cs="Arial" w:eastAsia="Arial" w:hAnsi="Arial"/>
          <w:sz w:val="13"/>
          <w:szCs w:val="13"/>
          <w:color w:val="296B38"/>
        </w:rPr>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382905</wp:posOffset>
            </wp:positionV>
            <wp:extent cx="71418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535940</wp:posOffset>
            </wp:positionV>
            <wp:extent cx="6782435" cy="901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782435" cy="90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b w:val="1"/>
          <w:bCs w:val="1"/>
          <w:color w:val="auto"/>
        </w:rPr>
        <w:t>Comparison of change in value of $10,000 investment in ArrowMark Financial Corp. vs. Bloomberg U.S. Aggregate Total Return Value Index and Bloomberg U.S. Corporate High Yield 2% Issuer Capped Index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87630</wp:posOffset>
            </wp:positionV>
            <wp:extent cx="6136640" cy="287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6640" cy="287020"/>
                    </a:xfrm>
                    <a:prstGeom prst="rect">
                      <a:avLst/>
                    </a:prstGeom>
                    <a:noFill/>
                  </pic:spPr>
                </pic:pic>
              </a:graphicData>
            </a:graphic>
          </wp:anchor>
        </w:drawing>
      </w:r>
    </w:p>
    <w:p>
      <w:pPr>
        <w:spacing w:after="0" w:line="188" w:lineRule="exact"/>
        <w:rPr>
          <w:sz w:val="20"/>
          <w:szCs w:val="20"/>
          <w:color w:val="auto"/>
        </w:rPr>
      </w:pPr>
    </w:p>
    <w:p>
      <w:pPr>
        <w:ind w:left="4000"/>
        <w:spacing w:after="0"/>
        <w:rPr>
          <w:sz w:val="20"/>
          <w:szCs w:val="20"/>
          <w:color w:val="auto"/>
        </w:rPr>
      </w:pPr>
      <w:r>
        <w:rPr>
          <w:rFonts w:ascii="Arial" w:cs="Arial" w:eastAsia="Arial" w:hAnsi="Arial"/>
          <w:sz w:val="12"/>
          <w:szCs w:val="12"/>
          <w:b w:val="1"/>
          <w:bCs w:val="1"/>
          <w:color w:val="auto"/>
        </w:rPr>
        <w:t>Average Annual Total Returns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80" w:type="dxa"/>
            <w:vAlign w:val="bottom"/>
            <w:tcBorders>
              <w:top w:val="single" w:sz="8" w:color="auto"/>
              <w:bottom w:val="single" w:sz="8" w:color="auto"/>
            </w:tcBorders>
            <w:shd w:val="clear" w:color="auto" w:fill="F0F5F1"/>
          </w:tcPr>
          <w:p>
            <w:pPr>
              <w:spacing w:after="0"/>
              <w:rPr>
                <w:sz w:val="17"/>
                <w:szCs w:val="17"/>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b w:val="1"/>
                <w:bCs w:val="1"/>
                <w:color w:val="auto"/>
              </w:rPr>
              <w:t>1 Year</w:t>
            </w:r>
          </w:p>
        </w:tc>
        <w:tc>
          <w:tcPr>
            <w:tcW w:w="11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3"/>
                <w:szCs w:val="13"/>
                <w:b w:val="1"/>
                <w:bCs w:val="1"/>
                <w:color w:val="auto"/>
              </w:rPr>
              <w:t>5 Year</w:t>
            </w:r>
          </w:p>
        </w:tc>
        <w:tc>
          <w:tcPr>
            <w:tcW w:w="13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b w:val="1"/>
                <w:bCs w:val="1"/>
                <w:color w:val="auto"/>
              </w:rPr>
              <w:t>10 Year</w:t>
            </w:r>
          </w:p>
        </w:tc>
      </w:tr>
      <w:tr>
        <w:trPr>
          <w:trHeight w:val="257"/>
        </w:trPr>
        <w:tc>
          <w:tcPr>
            <w:tcW w:w="6380" w:type="dxa"/>
            <w:vAlign w:val="bottom"/>
            <w:shd w:val="clear" w:color="auto" w:fill="F0F5F1"/>
          </w:tcPr>
          <w:p>
            <w:pPr>
              <w:ind w:left="100"/>
              <w:spacing w:after="0"/>
              <w:rPr>
                <w:sz w:val="20"/>
                <w:szCs w:val="20"/>
                <w:color w:val="auto"/>
              </w:rPr>
            </w:pPr>
            <w:r>
              <w:rPr>
                <w:rFonts w:ascii="Arial" w:cs="Arial" w:eastAsia="Arial" w:hAnsi="Arial"/>
                <w:sz w:val="13"/>
                <w:szCs w:val="13"/>
                <w:color w:val="auto"/>
              </w:rPr>
              <w:t>ArrowMark Financial Corp.</w:t>
            </w:r>
            <w:r>
              <w:rPr>
                <w:rFonts w:ascii="Arial" w:cs="Arial" w:eastAsia="Arial" w:hAnsi="Arial"/>
                <w:sz w:val="22"/>
                <w:szCs w:val="22"/>
                <w:color w:val="auto"/>
                <w:vertAlign w:val="superscript"/>
              </w:rPr>
              <w:t>1</w:t>
            </w:r>
          </w:p>
        </w:tc>
        <w:tc>
          <w:tcPr>
            <w:tcW w:w="780" w:type="dxa"/>
            <w:vAlign w:val="bottom"/>
            <w:shd w:val="clear" w:color="auto" w:fill="F0F5F1"/>
          </w:tcPr>
          <w:p>
            <w:pPr>
              <w:jc w:val="center"/>
              <w:spacing w:after="0"/>
              <w:rPr>
                <w:sz w:val="20"/>
                <w:szCs w:val="20"/>
                <w:color w:val="auto"/>
              </w:rPr>
            </w:pPr>
            <w:r>
              <w:rPr>
                <w:rFonts w:ascii="Arial" w:cs="Arial" w:eastAsia="Arial" w:hAnsi="Arial"/>
                <w:sz w:val="13"/>
                <w:szCs w:val="13"/>
                <w:color w:val="auto"/>
              </w:rPr>
              <w:t>15.93%</w:t>
            </w:r>
          </w:p>
        </w:tc>
        <w:tc>
          <w:tcPr>
            <w:tcW w:w="1160" w:type="dxa"/>
            <w:vAlign w:val="bottom"/>
            <w:shd w:val="clear" w:color="auto" w:fill="F0F5F1"/>
          </w:tcPr>
          <w:p>
            <w:pPr>
              <w:jc w:val="center"/>
              <w:spacing w:after="0"/>
              <w:rPr>
                <w:sz w:val="20"/>
                <w:szCs w:val="20"/>
                <w:color w:val="auto"/>
              </w:rPr>
            </w:pPr>
            <w:r>
              <w:rPr>
                <w:rFonts w:ascii="Arial" w:cs="Arial" w:eastAsia="Arial" w:hAnsi="Arial"/>
                <w:sz w:val="13"/>
                <w:szCs w:val="13"/>
                <w:color w:val="auto"/>
                <w:w w:val="99"/>
              </w:rPr>
              <w:t>13.38%</w:t>
            </w:r>
          </w:p>
        </w:tc>
        <w:tc>
          <w:tcPr>
            <w:tcW w:w="1340" w:type="dxa"/>
            <w:vAlign w:val="bottom"/>
            <w:shd w:val="clear" w:color="auto" w:fill="F0F5F1"/>
          </w:tcPr>
          <w:p>
            <w:pPr>
              <w:jc w:val="center"/>
              <w:spacing w:after="0"/>
              <w:rPr>
                <w:sz w:val="20"/>
                <w:szCs w:val="20"/>
                <w:color w:val="auto"/>
              </w:rPr>
            </w:pPr>
            <w:r>
              <w:rPr>
                <w:rFonts w:ascii="Arial" w:cs="Arial" w:eastAsia="Arial" w:hAnsi="Arial"/>
                <w:sz w:val="13"/>
                <w:szCs w:val="13"/>
                <w:color w:val="auto"/>
              </w:rPr>
              <w:t>12.64%</w:t>
            </w:r>
          </w:p>
        </w:tc>
      </w:tr>
      <w:tr>
        <w:trPr>
          <w:trHeight w:val="239"/>
        </w:trPr>
        <w:tc>
          <w:tcPr>
            <w:tcW w:w="6380" w:type="dxa"/>
            <w:vAlign w:val="bottom"/>
            <w:shd w:val="clear" w:color="auto" w:fill="F0F5F1"/>
          </w:tcPr>
          <w:p>
            <w:pPr>
              <w:ind w:left="100"/>
              <w:spacing w:after="0"/>
              <w:rPr>
                <w:sz w:val="20"/>
                <w:szCs w:val="20"/>
                <w:color w:val="auto"/>
              </w:rPr>
            </w:pPr>
            <w:r>
              <w:rPr>
                <w:rFonts w:ascii="Arial" w:cs="Arial" w:eastAsia="Arial" w:hAnsi="Arial"/>
                <w:sz w:val="13"/>
                <w:szCs w:val="13"/>
                <w:color w:val="auto"/>
              </w:rPr>
              <w:t>Bloomberg U.S. Aggregate Total Return Value Index</w:t>
            </w:r>
          </w:p>
        </w:tc>
        <w:tc>
          <w:tcPr>
            <w:tcW w:w="780" w:type="dxa"/>
            <w:vAlign w:val="bottom"/>
            <w:shd w:val="clear" w:color="auto" w:fill="F0F5F1"/>
          </w:tcPr>
          <w:p>
            <w:pPr>
              <w:jc w:val="center"/>
              <w:spacing w:after="0"/>
              <w:rPr>
                <w:sz w:val="20"/>
                <w:szCs w:val="20"/>
                <w:color w:val="auto"/>
              </w:rPr>
            </w:pPr>
            <w:r>
              <w:rPr>
                <w:rFonts w:ascii="Arial" w:cs="Arial" w:eastAsia="Arial" w:hAnsi="Arial"/>
                <w:sz w:val="13"/>
                <w:szCs w:val="13"/>
                <w:color w:val="auto"/>
              </w:rPr>
              <w:t>7.30%</w:t>
            </w:r>
          </w:p>
        </w:tc>
        <w:tc>
          <w:tcPr>
            <w:tcW w:w="1160" w:type="dxa"/>
            <w:vAlign w:val="bottom"/>
            <w:shd w:val="clear" w:color="auto" w:fill="F0F5F1"/>
          </w:tcPr>
          <w:p>
            <w:pPr>
              <w:jc w:val="center"/>
              <w:spacing w:after="0"/>
              <w:rPr>
                <w:sz w:val="20"/>
                <w:szCs w:val="20"/>
                <w:color w:val="auto"/>
              </w:rPr>
            </w:pPr>
            <w:r>
              <w:rPr>
                <w:rFonts w:ascii="Arial" w:cs="Arial" w:eastAsia="Arial" w:hAnsi="Arial"/>
                <w:sz w:val="13"/>
                <w:szCs w:val="13"/>
                <w:color w:val="auto"/>
              </w:rPr>
              <w:t>(0.36)%</w:t>
            </w:r>
          </w:p>
        </w:tc>
        <w:tc>
          <w:tcPr>
            <w:tcW w:w="1340" w:type="dxa"/>
            <w:vAlign w:val="bottom"/>
            <w:shd w:val="clear" w:color="auto" w:fill="F0F5F1"/>
          </w:tcPr>
          <w:p>
            <w:pPr>
              <w:jc w:val="center"/>
              <w:spacing w:after="0"/>
              <w:rPr>
                <w:sz w:val="20"/>
                <w:szCs w:val="20"/>
                <w:color w:val="auto"/>
              </w:rPr>
            </w:pPr>
            <w:r>
              <w:rPr>
                <w:rFonts w:ascii="Arial" w:cs="Arial" w:eastAsia="Arial" w:hAnsi="Arial"/>
                <w:sz w:val="13"/>
                <w:szCs w:val="13"/>
                <w:color w:val="auto"/>
              </w:rPr>
              <w:t>2.01%</w:t>
            </w:r>
          </w:p>
        </w:tc>
      </w:tr>
      <w:tr>
        <w:trPr>
          <w:trHeight w:val="256"/>
        </w:trPr>
        <w:tc>
          <w:tcPr>
            <w:tcW w:w="6380" w:type="dxa"/>
            <w:vAlign w:val="bottom"/>
            <w:shd w:val="clear" w:color="auto" w:fill="F0F5F1"/>
          </w:tcPr>
          <w:p>
            <w:pPr>
              <w:ind w:left="100"/>
              <w:spacing w:after="0"/>
              <w:rPr>
                <w:sz w:val="20"/>
                <w:szCs w:val="20"/>
                <w:color w:val="auto"/>
              </w:rPr>
            </w:pPr>
            <w:r>
              <w:rPr>
                <w:rFonts w:ascii="Arial" w:cs="Arial" w:eastAsia="Arial" w:hAnsi="Arial"/>
                <w:sz w:val="13"/>
                <w:szCs w:val="13"/>
                <w:color w:val="auto"/>
              </w:rPr>
              <w:t>Bloomberg U.S. Corporate High Yield 2% Issuer Capped Index</w:t>
            </w:r>
          </w:p>
        </w:tc>
        <w:tc>
          <w:tcPr>
            <w:tcW w:w="780" w:type="dxa"/>
            <w:vAlign w:val="bottom"/>
            <w:shd w:val="clear" w:color="auto" w:fill="F0F5F1"/>
          </w:tcPr>
          <w:p>
            <w:pPr>
              <w:jc w:val="center"/>
              <w:spacing w:after="0"/>
              <w:rPr>
                <w:sz w:val="20"/>
                <w:szCs w:val="20"/>
                <w:color w:val="auto"/>
              </w:rPr>
            </w:pPr>
            <w:r>
              <w:rPr>
                <w:rFonts w:ascii="Arial" w:cs="Arial" w:eastAsia="Arial" w:hAnsi="Arial"/>
                <w:sz w:val="13"/>
                <w:szCs w:val="13"/>
                <w:color w:val="auto"/>
              </w:rPr>
              <w:t>8.62%</w:t>
            </w:r>
          </w:p>
        </w:tc>
        <w:tc>
          <w:tcPr>
            <w:tcW w:w="1160" w:type="dxa"/>
            <w:vAlign w:val="bottom"/>
            <w:shd w:val="clear" w:color="auto" w:fill="F0F5F1"/>
          </w:tcPr>
          <w:p>
            <w:pPr>
              <w:jc w:val="center"/>
              <w:spacing w:after="0"/>
              <w:rPr>
                <w:sz w:val="20"/>
                <w:szCs w:val="20"/>
                <w:color w:val="auto"/>
              </w:rPr>
            </w:pPr>
            <w:r>
              <w:rPr>
                <w:rFonts w:ascii="Arial" w:cs="Arial" w:eastAsia="Arial" w:hAnsi="Arial"/>
                <w:sz w:val="13"/>
                <w:szCs w:val="13"/>
                <w:color w:val="auto"/>
              </w:rPr>
              <w:t>4.50%</w:t>
            </w:r>
          </w:p>
        </w:tc>
        <w:tc>
          <w:tcPr>
            <w:tcW w:w="1340" w:type="dxa"/>
            <w:vAlign w:val="bottom"/>
            <w:shd w:val="clear" w:color="auto" w:fill="F0F5F1"/>
          </w:tcPr>
          <w:p>
            <w:pPr>
              <w:jc w:val="center"/>
              <w:spacing w:after="0"/>
              <w:rPr>
                <w:sz w:val="20"/>
                <w:szCs w:val="20"/>
                <w:color w:val="auto"/>
              </w:rPr>
            </w:pPr>
            <w:r>
              <w:rPr>
                <w:rFonts w:ascii="Arial" w:cs="Arial" w:eastAsia="Arial" w:hAnsi="Arial"/>
                <w:sz w:val="13"/>
                <w:szCs w:val="13"/>
                <w:color w:val="auto"/>
              </w:rPr>
              <w:t>6.52%</w:t>
            </w:r>
          </w:p>
        </w:tc>
      </w:tr>
      <w:tr>
        <w:trPr>
          <w:trHeight w:val="71"/>
        </w:trPr>
        <w:tc>
          <w:tcPr>
            <w:tcW w:w="6380" w:type="dxa"/>
            <w:vAlign w:val="bottom"/>
            <w:shd w:val="clear" w:color="auto" w:fill="F0F5F1"/>
          </w:tcPr>
          <w:p>
            <w:pPr>
              <w:spacing w:after="0"/>
              <w:rPr>
                <w:sz w:val="6"/>
                <w:szCs w:val="6"/>
                <w:color w:val="auto"/>
              </w:rPr>
            </w:pPr>
          </w:p>
        </w:tc>
        <w:tc>
          <w:tcPr>
            <w:tcW w:w="780" w:type="dxa"/>
            <w:vAlign w:val="bottom"/>
            <w:shd w:val="clear" w:color="auto" w:fill="F0F5F1"/>
          </w:tcPr>
          <w:p>
            <w:pPr>
              <w:spacing w:after="0"/>
              <w:rPr>
                <w:sz w:val="6"/>
                <w:szCs w:val="6"/>
                <w:color w:val="auto"/>
              </w:rPr>
            </w:pPr>
          </w:p>
        </w:tc>
        <w:tc>
          <w:tcPr>
            <w:tcW w:w="1160" w:type="dxa"/>
            <w:vAlign w:val="bottom"/>
            <w:shd w:val="clear" w:color="auto" w:fill="F0F5F1"/>
          </w:tcPr>
          <w:p>
            <w:pPr>
              <w:spacing w:after="0"/>
              <w:rPr>
                <w:sz w:val="6"/>
                <w:szCs w:val="6"/>
                <w:color w:val="auto"/>
              </w:rPr>
            </w:pPr>
          </w:p>
        </w:tc>
        <w:tc>
          <w:tcPr>
            <w:tcW w:w="1340" w:type="dxa"/>
            <w:vAlign w:val="bottom"/>
            <w:shd w:val="clear" w:color="auto" w:fill="F0F5F1"/>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4389120" cy="1651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89120" cy="165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2"/>
          <w:szCs w:val="12"/>
          <w:color w:val="auto"/>
        </w:rPr>
        <w:t>     Based on market price.</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 xml:space="preserve">The performance data quoted represents past performance and does not guarantee future results. </w:t>
      </w:r>
      <w:r>
        <w:rPr>
          <w:rFonts w:ascii="Arial" w:cs="Arial" w:eastAsia="Arial" w:hAnsi="Arial"/>
          <w:sz w:val="16"/>
          <w:szCs w:val="16"/>
          <w:color w:val="auto"/>
        </w:rPr>
        <w:t>The investment return and principal value of an</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in the Fund will fluctuate so that an investor’s shares, when redeemed, may be worth more or less than their original cost. The graph and table do not reflect the deduction of taxes that a shareholder would pay on Fund distributions or redemption of Fund shares. Current performance may be lower or higher. Performance data current to the most recent month-end may be obtained by calling Investor Relations at 877-855-3434.</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Fund intends to evaluate performance as compared to that of the Bloomberg U.S. Aggregate Total Return Value Index and the Bloomberg U.S. Corporate High Yield 2% Issuer Capped Index. The Bloomberg U.S. Aggregate Total Return Value Index is a broad-based flagship benchmark that measures the investment grade, U.S. dollar-denominated, fixed-rate taxable bond market and the Bloomberg U.S. Corporate High Yield 2% Issuer Capped Index is an index that measures the performance of high yield, non-investment grade corporate bonds, with a maximum allocation of 2% to any one issuer. References to an index over a specific period are provided for your information only and should not be considered indicative of an investment in ArrowMark Financial Corp. Note that an index is unmanaged and the information contained herein does not reflect any investment management fees or transaction costs. It is impossible to invest directly in an index.</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Fund's investment objectives, strategies, risks, charges, and expenses must be considered carefully before investing. The prospectus contains this and other important information about the Fund and may be obtained by calling 877-855-3434. Please read carefully before investing.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920" w:type="dxa"/>
            <w:vAlign w:val="bottom"/>
          </w:tcPr>
          <w:p>
            <w:pPr>
              <w:ind w:left="810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320" w:type="dxa"/>
            <w:vAlign w:val="bottom"/>
          </w:tcPr>
          <w:p>
            <w:pPr>
              <w:jc w:val="right"/>
              <w:spacing w:after="0"/>
              <w:rPr>
                <w:sz w:val="20"/>
                <w:szCs w:val="20"/>
                <w:color w:val="auto"/>
              </w:rPr>
            </w:pPr>
            <w:r>
              <w:rPr>
                <w:rFonts w:ascii="Arial" w:cs="Arial" w:eastAsia="Arial" w:hAnsi="Arial"/>
                <w:sz w:val="15"/>
                <w:szCs w:val="15"/>
                <w:color w:val="296B38"/>
              </w:rPr>
              <w:t>6</w:t>
            </w:r>
          </w:p>
        </w:tc>
      </w:tr>
      <w:tr>
        <w:trPr>
          <w:trHeight w:val="593"/>
        </w:trPr>
        <w:tc>
          <w:tcPr>
            <w:tcW w:w="10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1588770</wp:posOffset>
            </wp:positionV>
            <wp:extent cx="7141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535940</wp:posOffset>
            </wp:positionV>
            <wp:extent cx="6782435" cy="901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782435" cy="90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3"/>
          <w:szCs w:val="23"/>
          <w:color w:val="296B38"/>
        </w:rPr>
        <w:t>As of December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right="174"/>
              <w:spacing w:after="0"/>
              <w:rPr>
                <w:sz w:val="20"/>
                <w:szCs w:val="20"/>
                <w:color w:val="auto"/>
              </w:rPr>
            </w:pPr>
            <w:r>
              <w:rPr>
                <w:rFonts w:ascii="Arial" w:cs="Arial" w:eastAsia="Arial" w:hAnsi="Arial"/>
                <w:sz w:val="12"/>
                <w:szCs w:val="12"/>
                <w:b w:val="1"/>
                <w:bCs w:val="1"/>
                <w:color w:val="auto"/>
              </w:rPr>
              <w:t># of</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74"/>
              <w:spacing w:after="0" w:line="133" w:lineRule="exact"/>
              <w:rPr>
                <w:sz w:val="20"/>
                <w:szCs w:val="20"/>
                <w:color w:val="auto"/>
              </w:rPr>
            </w:pPr>
            <w:r>
              <w:rPr>
                <w:rFonts w:ascii="Arial" w:cs="Arial" w:eastAsia="Arial" w:hAnsi="Arial"/>
                <w:sz w:val="12"/>
                <w:szCs w:val="12"/>
                <w:b w:val="1"/>
                <w:bCs w:val="1"/>
                <w:color w:val="auto"/>
                <w:w w:val="98"/>
              </w:rPr>
              <w:t>Shares/Par</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ind w:left="520"/>
              <w:spacing w:after="0" w:line="173" w:lineRule="exact"/>
              <w:rPr>
                <w:sz w:val="20"/>
                <w:szCs w:val="20"/>
                <w:color w:val="auto"/>
              </w:rPr>
            </w:pPr>
            <w:r>
              <w:rPr>
                <w:rFonts w:ascii="Arial" w:cs="Arial" w:eastAsia="Arial" w:hAnsi="Arial"/>
                <w:sz w:val="12"/>
                <w:szCs w:val="12"/>
                <w:b w:val="1"/>
                <w:bCs w:val="1"/>
                <w:color w:val="auto"/>
              </w:rPr>
              <w:t>Company</w:t>
            </w:r>
            <w:r>
              <w:rPr>
                <w:rFonts w:ascii="Arial" w:cs="Arial" w:eastAsia="Arial" w:hAnsi="Arial"/>
                <w:sz w:val="19"/>
                <w:szCs w:val="19"/>
                <w:b w:val="1"/>
                <w:bCs w:val="1"/>
                <w:color w:val="auto"/>
                <w:vertAlign w:val="superscript"/>
              </w:rPr>
              <w:t>(1)</w:t>
            </w:r>
          </w:p>
        </w:tc>
        <w:tc>
          <w:tcPr>
            <w:tcW w:w="5920" w:type="dxa"/>
            <w:vAlign w:val="bottom"/>
            <w:tcBorders>
              <w:bottom w:val="single" w:sz="8" w:color="auto"/>
            </w:tcBorders>
          </w:tcPr>
          <w:p>
            <w:pPr>
              <w:ind w:left="2680"/>
              <w:spacing w:after="0"/>
              <w:rPr>
                <w:sz w:val="20"/>
                <w:szCs w:val="20"/>
                <w:color w:val="auto"/>
              </w:rPr>
            </w:pPr>
            <w:r>
              <w:rPr>
                <w:rFonts w:ascii="Arial" w:cs="Arial" w:eastAsia="Arial" w:hAnsi="Arial"/>
                <w:sz w:val="12"/>
                <w:szCs w:val="12"/>
                <w:b w:val="1"/>
                <w:bCs w:val="1"/>
                <w:color w:val="auto"/>
              </w:rPr>
              <w:t>Investment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4"/>
              <w:spacing w:after="0" w:line="173" w:lineRule="exact"/>
              <w:rPr>
                <w:sz w:val="20"/>
                <w:szCs w:val="20"/>
                <w:color w:val="auto"/>
              </w:rPr>
            </w:pPr>
            <w:r>
              <w:rPr>
                <w:rFonts w:ascii="Arial" w:cs="Arial" w:eastAsia="Arial" w:hAnsi="Arial"/>
                <w:sz w:val="12"/>
                <w:szCs w:val="12"/>
                <w:b w:val="1"/>
                <w:bCs w:val="1"/>
                <w:color w:val="auto"/>
                <w:w w:val="92"/>
              </w:rPr>
              <w:t>Amount</w:t>
            </w:r>
            <w:r>
              <w:rPr>
                <w:rFonts w:ascii="Arial" w:cs="Arial" w:eastAsia="Arial" w:hAnsi="Arial"/>
                <w:sz w:val="19"/>
                <w:szCs w:val="19"/>
                <w:b w:val="1"/>
                <w:bCs w:val="1"/>
                <w:color w:val="auto"/>
                <w:w w:val="92"/>
                <w:vertAlign w:val="superscript"/>
              </w:rPr>
              <w:t>(2)</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3"/>
              <w:spacing w:after="0" w:line="173" w:lineRule="exact"/>
              <w:rPr>
                <w:sz w:val="20"/>
                <w:szCs w:val="20"/>
                <w:color w:val="auto"/>
              </w:rPr>
            </w:pPr>
            <w:r>
              <w:rPr>
                <w:rFonts w:ascii="Arial" w:cs="Arial" w:eastAsia="Arial" w:hAnsi="Arial"/>
                <w:sz w:val="12"/>
                <w:szCs w:val="12"/>
                <w:b w:val="1"/>
                <w:bCs w:val="1"/>
                <w:color w:val="auto"/>
                <w:w w:val="96"/>
              </w:rPr>
              <w:t>Fair Value</w:t>
            </w:r>
            <w:r>
              <w:rPr>
                <w:rFonts w:ascii="Arial" w:cs="Arial" w:eastAsia="Arial" w:hAnsi="Arial"/>
                <w:sz w:val="19"/>
                <w:szCs w:val="19"/>
                <w:b w:val="1"/>
                <w:bCs w:val="1"/>
                <w:color w:val="auto"/>
                <w:w w:val="96"/>
                <w:vertAlign w:val="superscript"/>
              </w:rPr>
              <w:t>(3)</w:t>
            </w:r>
          </w:p>
        </w:tc>
        <w:tc>
          <w:tcPr>
            <w:tcW w:w="0" w:type="dxa"/>
            <w:vAlign w:val="bottom"/>
          </w:tcPr>
          <w:p>
            <w:pPr>
              <w:spacing w:after="0"/>
              <w:rPr>
                <w:sz w:val="1"/>
                <w:szCs w:val="1"/>
                <w:color w:val="auto"/>
              </w:rPr>
            </w:pPr>
          </w:p>
        </w:tc>
      </w:tr>
      <w:tr>
        <w:trPr>
          <w:trHeight w:val="156"/>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Term Loans – 4.6%</w:t>
            </w:r>
          </w:p>
        </w:tc>
        <w:tc>
          <w:tcPr>
            <w:tcW w:w="59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Banking – 4.6%</w:t>
            </w:r>
          </w:p>
        </w:tc>
        <w:tc>
          <w:tcPr>
            <w:tcW w:w="5920" w:type="dxa"/>
            <w:vAlign w:val="bottom"/>
            <w:vMerge w:val="restart"/>
          </w:tcPr>
          <w:p>
            <w:pPr>
              <w:ind w:left="60"/>
              <w:spacing w:after="0"/>
              <w:rPr>
                <w:sz w:val="20"/>
                <w:szCs w:val="20"/>
                <w:color w:val="auto"/>
              </w:rPr>
            </w:pPr>
            <w:r>
              <w:rPr>
                <w:rFonts w:ascii="Arial" w:cs="Arial" w:eastAsia="Arial" w:hAnsi="Arial"/>
                <w:sz w:val="13"/>
                <w:szCs w:val="13"/>
                <w:color w:val="auto"/>
              </w:rPr>
              <w:t>Subordinated Term Loan, 7.50%, 9/01/2035, 144A</w:t>
            </w:r>
            <w:r>
              <w:rPr>
                <w:rFonts w:ascii="Arial" w:cs="Arial" w:eastAsia="Arial" w:hAnsi="Arial"/>
                <w:sz w:val="22"/>
                <w:szCs w:val="22"/>
                <w:color w:val="auto"/>
                <w:vertAlign w:val="superscript"/>
              </w:rPr>
              <w:t>(4)(5)</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gridSpan w:val="2"/>
          </w:tcPr>
          <w:p>
            <w:pPr>
              <w:spacing w:after="0" w:line="148" w:lineRule="exact"/>
              <w:rPr>
                <w:sz w:val="20"/>
                <w:szCs w:val="20"/>
                <w:color w:val="auto"/>
              </w:rPr>
            </w:pPr>
            <w:r>
              <w:rPr>
                <w:rFonts w:ascii="Arial" w:cs="Arial" w:eastAsia="Arial" w:hAnsi="Arial"/>
                <w:sz w:val="13"/>
                <w:szCs w:val="13"/>
                <w:color w:val="auto"/>
              </w:rPr>
              <w:t>EverBank Financial Corp.</w:t>
            </w:r>
          </w:p>
        </w:tc>
        <w:tc>
          <w:tcPr>
            <w:tcW w:w="5920" w:type="dxa"/>
            <w:vAlign w:val="bottom"/>
            <w:vMerge w:val="continue"/>
          </w:tcPr>
          <w:p>
            <w:pPr>
              <w:spacing w:after="0"/>
              <w:rPr>
                <w:sz w:val="12"/>
                <w:szCs w:val="12"/>
                <w:color w:val="auto"/>
              </w:rPr>
            </w:pP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line="148" w:lineRule="exact"/>
              <w:rPr>
                <w:sz w:val="20"/>
                <w:szCs w:val="20"/>
                <w:color w:val="auto"/>
              </w:rPr>
            </w:pPr>
            <w:r>
              <w:rPr>
                <w:rFonts w:ascii="Arial" w:cs="Arial" w:eastAsia="Arial" w:hAnsi="Arial"/>
                <w:sz w:val="13"/>
                <w:szCs w:val="13"/>
                <w:color w:val="auto"/>
              </w:rPr>
              <w:t>2,000,000</w:t>
            </w: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33"/>
              <w:spacing w:after="0" w:line="148" w:lineRule="exact"/>
              <w:rPr>
                <w:sz w:val="20"/>
                <w:szCs w:val="20"/>
                <w:color w:val="auto"/>
              </w:rPr>
            </w:pPr>
            <w:r>
              <w:rPr>
                <w:rFonts w:ascii="Arial" w:cs="Arial" w:eastAsia="Arial" w:hAnsi="Arial"/>
                <w:sz w:val="13"/>
                <w:szCs w:val="13"/>
                <w:color w:val="auto"/>
              </w:rPr>
              <w:t>2,065,000</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F.N.B.C. of La Grange, Inc.</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Subordinated Term Loan, 6.38%, 1/01/2030</w:t>
            </w:r>
            <w:r>
              <w:rPr>
                <w:rFonts w:ascii="Arial" w:cs="Arial" w:eastAsia="Arial" w:hAnsi="Arial"/>
                <w:sz w:val="20"/>
                <w:szCs w:val="20"/>
                <w:color w:val="auto"/>
                <w:vertAlign w:val="superscript"/>
              </w:rPr>
              <w:t>(5)(6)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700,000</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647,500</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TransPecos Financial Corp.</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Senior Term Loan, 9.00%, 10/01/2028</w:t>
            </w:r>
            <w:r>
              <w:rPr>
                <w:rFonts w:ascii="Arial" w:cs="Arial" w:eastAsia="Arial" w:hAnsi="Arial"/>
                <w:sz w:val="20"/>
                <w:szCs w:val="20"/>
                <w:color w:val="auto"/>
                <w:vertAlign w:val="superscript"/>
              </w:rPr>
              <w:t>(5)</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4,000,000</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3,600,000</w:t>
            </w:r>
          </w:p>
        </w:tc>
        <w:tc>
          <w:tcPr>
            <w:tcW w:w="0" w:type="dxa"/>
            <w:vAlign w:val="bottom"/>
          </w:tcPr>
          <w:p>
            <w:pPr>
              <w:spacing w:after="0"/>
              <w:rPr>
                <w:sz w:val="1"/>
                <w:szCs w:val="1"/>
                <w:color w:val="auto"/>
              </w:rPr>
            </w:pPr>
          </w:p>
        </w:tc>
      </w:tr>
      <w:tr>
        <w:trPr>
          <w:trHeight w:val="199"/>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Tulsa Valley Bancshares</w:t>
            </w:r>
          </w:p>
        </w:tc>
        <w:tc>
          <w:tcPr>
            <w:tcW w:w="5920" w:type="dxa"/>
            <w:vAlign w:val="bottom"/>
            <w:tcBorders>
              <w:bottom w:val="single" w:sz="8" w:color="auto"/>
            </w:tcBorders>
          </w:tcPr>
          <w:p>
            <w:pPr>
              <w:ind w:left="60"/>
              <w:spacing w:after="0" w:line="199" w:lineRule="exact"/>
              <w:rPr>
                <w:sz w:val="20"/>
                <w:szCs w:val="20"/>
                <w:color w:val="auto"/>
              </w:rPr>
            </w:pPr>
            <w:r>
              <w:rPr>
                <w:rFonts w:ascii="Arial" w:cs="Arial" w:eastAsia="Arial" w:hAnsi="Arial"/>
                <w:sz w:val="13"/>
                <w:szCs w:val="13"/>
                <w:color w:val="auto"/>
              </w:rPr>
              <w:t>Subordinated Term Loan, 6.38%, 12/31/2028</w:t>
            </w:r>
            <w:r>
              <w:rPr>
                <w:rFonts w:ascii="Arial" w:cs="Arial" w:eastAsia="Arial" w:hAnsi="Arial"/>
                <w:sz w:val="22"/>
                <w:szCs w:val="22"/>
                <w:color w:val="auto"/>
                <w:vertAlign w:val="superscript"/>
              </w:rPr>
              <w:t>(5)(6)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1,700,000</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1,530,000</w:t>
            </w:r>
          </w:p>
        </w:tc>
        <w:tc>
          <w:tcPr>
            <w:tcW w:w="0" w:type="dxa"/>
            <w:vAlign w:val="bottom"/>
          </w:tcPr>
          <w:p>
            <w:pPr>
              <w:spacing w:after="0"/>
              <w:rPr>
                <w:sz w:val="1"/>
                <w:szCs w:val="1"/>
                <w:color w:val="auto"/>
              </w:rPr>
            </w:pPr>
          </w:p>
        </w:tc>
      </w:tr>
      <w:tr>
        <w:trPr>
          <w:trHeight w:val="134"/>
        </w:trPr>
        <w:tc>
          <w:tcPr>
            <w:tcW w:w="5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9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Term Loans</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(Cost $8,400,000)</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7,842,500</w:t>
            </w:r>
          </w:p>
        </w:tc>
        <w:tc>
          <w:tcPr>
            <w:tcW w:w="0" w:type="dxa"/>
            <w:vAlign w:val="bottom"/>
          </w:tcPr>
          <w:p>
            <w:pPr>
              <w:spacing w:after="0"/>
              <w:rPr>
                <w:sz w:val="1"/>
                <w:szCs w:val="1"/>
                <w:color w:val="auto"/>
              </w:rPr>
            </w:pPr>
          </w:p>
        </w:tc>
      </w:tr>
      <w:tr>
        <w:trPr>
          <w:trHeight w:val="156"/>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Structured Debt Security – 6.8%</w:t>
            </w:r>
          </w:p>
        </w:tc>
        <w:tc>
          <w:tcPr>
            <w:tcW w:w="59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Banking – 6.8%</w:t>
            </w:r>
          </w:p>
        </w:tc>
        <w:tc>
          <w:tcPr>
            <w:tcW w:w="5920" w:type="dxa"/>
            <w:vAlign w:val="bottom"/>
            <w:vMerge w:val="restart"/>
          </w:tcPr>
          <w:p>
            <w:pPr>
              <w:ind w:left="60"/>
              <w:spacing w:after="0"/>
              <w:rPr>
                <w:sz w:val="20"/>
                <w:szCs w:val="20"/>
                <w:color w:val="auto"/>
              </w:rPr>
            </w:pPr>
            <w:r>
              <w:rPr>
                <w:rFonts w:ascii="Arial" w:cs="Arial" w:eastAsia="Arial" w:hAnsi="Arial"/>
                <w:sz w:val="13"/>
                <w:szCs w:val="13"/>
                <w:color w:val="auto"/>
              </w:rPr>
              <w:t>Preferred Shares (Estimated effective yield 10.83%), 144A</w:t>
            </w:r>
            <w:r>
              <w:rPr>
                <w:rFonts w:ascii="Arial" w:cs="Arial" w:eastAsia="Arial" w:hAnsi="Arial"/>
                <w:sz w:val="22"/>
                <w:szCs w:val="22"/>
                <w:color w:val="auto"/>
                <w:vertAlign w:val="superscript"/>
              </w:rPr>
              <w:t>(4)(7)</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Community Funding 2018, LLC.</w:t>
            </w:r>
          </w:p>
        </w:tc>
        <w:tc>
          <w:tcPr>
            <w:tcW w:w="59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14,860,000</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11,592,286</w:t>
            </w:r>
          </w:p>
        </w:tc>
        <w:tc>
          <w:tcPr>
            <w:tcW w:w="0" w:type="dxa"/>
            <w:vAlign w:val="bottom"/>
          </w:tcPr>
          <w:p>
            <w:pPr>
              <w:spacing w:after="0"/>
              <w:rPr>
                <w:sz w:val="1"/>
                <w:szCs w:val="1"/>
                <w:color w:val="auto"/>
              </w:rPr>
            </w:pPr>
          </w:p>
        </w:tc>
      </w:tr>
      <w:tr>
        <w:trPr>
          <w:trHeight w:val="134"/>
        </w:trPr>
        <w:tc>
          <w:tcPr>
            <w:tcW w:w="5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9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Structured Debt Securities</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(Cost $14,757,344)</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11,592,286</w:t>
            </w:r>
          </w:p>
        </w:tc>
        <w:tc>
          <w:tcPr>
            <w:tcW w:w="0" w:type="dxa"/>
            <w:vAlign w:val="bottom"/>
          </w:tcPr>
          <w:p>
            <w:pPr>
              <w:spacing w:after="0"/>
              <w:rPr>
                <w:sz w:val="1"/>
                <w:szCs w:val="1"/>
                <w:color w:val="auto"/>
              </w:rPr>
            </w:pPr>
          </w:p>
        </w:tc>
      </w:tr>
      <w:tr>
        <w:trPr>
          <w:trHeight w:val="156"/>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Regulatory Capital Relief Securities – 98.1%</w:t>
            </w:r>
          </w:p>
        </w:tc>
        <w:tc>
          <w:tcPr>
            <w:tcW w:w="59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Banking – 98.1%</w:t>
            </w:r>
          </w:p>
        </w:tc>
        <w:tc>
          <w:tcPr>
            <w:tcW w:w="5920" w:type="dxa"/>
            <w:vAlign w:val="bottom"/>
            <w:vMerge w:val="restart"/>
          </w:tcPr>
          <w:p>
            <w:pPr>
              <w:ind w:left="60"/>
              <w:spacing w:after="0"/>
              <w:rPr>
                <w:sz w:val="20"/>
                <w:szCs w:val="20"/>
                <w:color w:val="auto"/>
              </w:rPr>
            </w:pPr>
            <w:r>
              <w:rPr>
                <w:rFonts w:ascii="Arial" w:cs="Arial" w:eastAsia="Arial" w:hAnsi="Arial"/>
                <w:sz w:val="13"/>
                <w:szCs w:val="13"/>
                <w:color w:val="auto"/>
              </w:rPr>
              <w:t>Credit Linked Note, 16.84%, 10/10/2027</w:t>
            </w:r>
            <w:r>
              <w:rPr>
                <w:rFonts w:ascii="Arial" w:cs="Arial" w:eastAsia="Arial" w:hAnsi="Arial"/>
                <w:sz w:val="22"/>
                <w:szCs w:val="22"/>
                <w:color w:val="auto"/>
                <w:vertAlign w:val="superscript"/>
              </w:rPr>
              <w:t>(8)</w:t>
            </w: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line="148" w:lineRule="exact"/>
              <w:rPr>
                <w:sz w:val="20"/>
                <w:szCs w:val="20"/>
                <w:color w:val="auto"/>
              </w:rPr>
            </w:pPr>
            <w:r>
              <w:rPr>
                <w:rFonts w:ascii="Arial" w:cs="Arial" w:eastAsia="Arial" w:hAnsi="Arial"/>
                <w:sz w:val="13"/>
                <w:szCs w:val="13"/>
                <w:color w:val="auto"/>
              </w:rPr>
              <w:t>Absolute</w:t>
            </w:r>
          </w:p>
        </w:tc>
        <w:tc>
          <w:tcPr>
            <w:tcW w:w="2300" w:type="dxa"/>
            <w:vAlign w:val="bottom"/>
          </w:tcPr>
          <w:p>
            <w:pPr>
              <w:spacing w:after="0"/>
              <w:rPr>
                <w:sz w:val="12"/>
                <w:szCs w:val="12"/>
                <w:color w:val="auto"/>
              </w:rPr>
            </w:pPr>
          </w:p>
        </w:tc>
        <w:tc>
          <w:tcPr>
            <w:tcW w:w="5920" w:type="dxa"/>
            <w:vAlign w:val="bottom"/>
            <w:vMerge w:val="continue"/>
          </w:tcPr>
          <w:p>
            <w:pPr>
              <w:spacing w:after="0"/>
              <w:rPr>
                <w:sz w:val="12"/>
                <w:szCs w:val="12"/>
                <w:color w:val="auto"/>
              </w:rPr>
            </w:pP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line="148" w:lineRule="exact"/>
              <w:rPr>
                <w:sz w:val="20"/>
                <w:szCs w:val="20"/>
                <w:color w:val="auto"/>
              </w:rPr>
            </w:pPr>
            <w:r>
              <w:rPr>
                <w:rFonts w:ascii="Arial" w:cs="Arial" w:eastAsia="Arial" w:hAnsi="Arial"/>
                <w:sz w:val="13"/>
                <w:szCs w:val="13"/>
                <w:color w:val="auto"/>
              </w:rPr>
              <w:t>1,017,923</w:t>
            </w:r>
          </w:p>
        </w:tc>
        <w:tc>
          <w:tcPr>
            <w:tcW w:w="240" w:type="dxa"/>
            <w:vAlign w:val="bottom"/>
          </w:tcPr>
          <w:p>
            <w:pPr>
              <w:spacing w:after="0"/>
              <w:rPr>
                <w:sz w:val="12"/>
                <w:szCs w:val="12"/>
                <w:color w:val="auto"/>
              </w:rPr>
            </w:pPr>
          </w:p>
        </w:tc>
        <w:tc>
          <w:tcPr>
            <w:tcW w:w="980" w:type="dxa"/>
            <w:vAlign w:val="bottom"/>
          </w:tcPr>
          <w:p>
            <w:pPr>
              <w:jc w:val="right"/>
              <w:ind w:right="33"/>
              <w:spacing w:after="0" w:line="148" w:lineRule="exact"/>
              <w:rPr>
                <w:sz w:val="20"/>
                <w:szCs w:val="20"/>
                <w:color w:val="auto"/>
              </w:rPr>
            </w:pPr>
            <w:r>
              <w:rPr>
                <w:rFonts w:ascii="Arial" w:cs="Arial" w:eastAsia="Arial" w:hAnsi="Arial"/>
                <w:sz w:val="13"/>
                <w:szCs w:val="13"/>
                <w:color w:val="auto"/>
              </w:rPr>
              <w:t>1,018,884</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Algonquin</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Credit Linked Note, 13.72%, 11/01/2027</w:t>
            </w:r>
            <w:r>
              <w:rPr>
                <w:rFonts w:ascii="Arial" w:cs="Arial" w:eastAsia="Arial" w:hAnsi="Arial"/>
                <w:sz w:val="20"/>
                <w:szCs w:val="20"/>
                <w:color w:val="auto"/>
                <w:vertAlign w:val="superscript"/>
              </w:rPr>
              <w:t>(9)+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2,788,758</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2,649,872</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Algonquin</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Credit Linked Note, 14.47%, 11/01/2028</w:t>
            </w:r>
            <w:r>
              <w:rPr>
                <w:rFonts w:ascii="Arial" w:cs="Arial" w:eastAsia="Arial" w:hAnsi="Arial"/>
                <w:sz w:val="20"/>
                <w:szCs w:val="20"/>
                <w:color w:val="auto"/>
                <w:vertAlign w:val="superscript"/>
              </w:rPr>
              <w:t>(9)+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1,965,343</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1,893,947</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Algonquin</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Guarantee Linked Note, 0.00%, 05/01/2027</w:t>
            </w:r>
            <w:r>
              <w:rPr>
                <w:rFonts w:ascii="Arial" w:cs="Arial" w:eastAsia="Arial" w:hAnsi="Arial"/>
                <w:sz w:val="20"/>
                <w:szCs w:val="20"/>
                <w:color w:val="auto"/>
                <w:vertAlign w:val="superscript"/>
              </w:rPr>
              <w:t>(5)+</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526,153</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473,538</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1 - Series 1</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17.58%, 06/30/2031</w:t>
            </w:r>
            <w:r>
              <w:rPr>
                <w:rFonts w:ascii="Arial" w:cs="Arial" w:eastAsia="Arial" w:hAnsi="Arial"/>
                <w:sz w:val="20"/>
                <w:szCs w:val="20"/>
                <w:color w:val="auto"/>
                <w:vertAlign w:val="superscript"/>
              </w:rPr>
              <w:t>(5)(9)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6,998,551</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7,489,058</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1 - Series 2</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11.09%, 12/15/2029</w:t>
            </w:r>
            <w:r>
              <w:rPr>
                <w:rFonts w:ascii="Arial" w:cs="Arial" w:eastAsia="Arial" w:hAnsi="Arial"/>
                <w:sz w:val="20"/>
                <w:szCs w:val="20"/>
                <w:color w:val="auto"/>
                <w:vertAlign w:val="superscript"/>
              </w:rPr>
              <w:t>(5)(8)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643,846</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645,652</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1 - Series 3</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11.77%, 05/31/2033</w:t>
            </w:r>
            <w:r>
              <w:rPr>
                <w:rFonts w:ascii="Arial" w:cs="Arial" w:eastAsia="Arial" w:hAnsi="Arial"/>
                <w:sz w:val="20"/>
                <w:szCs w:val="20"/>
                <w:color w:val="auto"/>
                <w:vertAlign w:val="superscript"/>
              </w:rPr>
              <w:t>(5)(9)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3,000,000</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2,996,463</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1 - Series 4</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9.65%, 08/20/2029</w:t>
            </w:r>
            <w:r>
              <w:rPr>
                <w:rFonts w:ascii="Arial" w:cs="Arial" w:eastAsia="Arial" w:hAnsi="Arial"/>
                <w:sz w:val="20"/>
                <w:szCs w:val="20"/>
                <w:color w:val="auto"/>
                <w:vertAlign w:val="superscript"/>
              </w:rPr>
              <w:t>(5)(10)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1,700,000</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1,997,840</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2 - Series 2</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15.07%, 04/19/2032</w:t>
            </w:r>
            <w:r>
              <w:rPr>
                <w:rFonts w:ascii="Arial" w:cs="Arial" w:eastAsia="Arial" w:hAnsi="Arial"/>
                <w:sz w:val="20"/>
                <w:szCs w:val="20"/>
                <w:color w:val="auto"/>
                <w:vertAlign w:val="superscript"/>
              </w:rPr>
              <w:t>(5)(9)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2,861,538</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2,948,927</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2 - Series 3</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9.61%, 05/09/2033</w:t>
            </w:r>
            <w:r>
              <w:rPr>
                <w:rFonts w:ascii="Arial" w:cs="Arial" w:eastAsia="Arial" w:hAnsi="Arial"/>
                <w:sz w:val="20"/>
                <w:szCs w:val="20"/>
                <w:color w:val="auto"/>
                <w:vertAlign w:val="superscript"/>
              </w:rPr>
              <w:t>(5)(10)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5,000,000</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5,899,010</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2 - Series 4</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11.69%, 11/30/2031</w:t>
            </w:r>
            <w:r>
              <w:rPr>
                <w:rFonts w:ascii="Arial" w:cs="Arial" w:eastAsia="Arial" w:hAnsi="Arial"/>
                <w:sz w:val="20"/>
                <w:szCs w:val="20"/>
                <w:color w:val="auto"/>
                <w:vertAlign w:val="superscript"/>
              </w:rPr>
              <w:t>(5)(9)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4,000,000</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4,006,272</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3 - Series 1</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10.34%, 06/30/2030</w:t>
            </w:r>
            <w:r>
              <w:rPr>
                <w:rFonts w:ascii="Arial" w:cs="Arial" w:eastAsia="Arial" w:hAnsi="Arial"/>
                <w:sz w:val="20"/>
                <w:szCs w:val="20"/>
                <w:color w:val="auto"/>
                <w:vertAlign w:val="superscript"/>
              </w:rPr>
              <w:t>(5)(8)</w:t>
            </w: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1,974,360</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1,975,797</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3 - Series 2</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10.33%, 12/31/2034</w:t>
            </w:r>
            <w:r>
              <w:rPr>
                <w:rFonts w:ascii="Arial" w:cs="Arial" w:eastAsia="Arial" w:hAnsi="Arial"/>
                <w:sz w:val="20"/>
                <w:szCs w:val="20"/>
                <w:color w:val="auto"/>
                <w:vertAlign w:val="superscript"/>
              </w:rPr>
              <w:t>(5)(10)</w:t>
            </w: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2,570,608</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3,036,433</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3 - Series 3</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13.73% 07/08/2032</w:t>
            </w:r>
            <w:r>
              <w:rPr>
                <w:rFonts w:ascii="Arial" w:cs="Arial" w:eastAsia="Arial" w:hAnsi="Arial"/>
                <w:sz w:val="20"/>
                <w:szCs w:val="20"/>
                <w:color w:val="auto"/>
                <w:vertAlign w:val="superscript"/>
              </w:rPr>
              <w:t>(5)(9)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2,000,000</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1,919,137</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3 - Series 4</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8.03%, 09/30/2039</w:t>
            </w:r>
            <w:r>
              <w:rPr>
                <w:rFonts w:ascii="Arial" w:cs="Arial" w:eastAsia="Arial" w:hAnsi="Arial"/>
                <w:sz w:val="20"/>
                <w:szCs w:val="20"/>
                <w:color w:val="auto"/>
                <w:vertAlign w:val="superscript"/>
              </w:rPr>
              <w:t>(5)(10)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4,700,000</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5,543,264</w:t>
            </w: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4 - Series 1</w:t>
            </w:r>
          </w:p>
        </w:tc>
        <w:tc>
          <w:tcPr>
            <w:tcW w:w="5920" w:type="dxa"/>
            <w:vAlign w:val="bottom"/>
          </w:tcPr>
          <w:p>
            <w:pPr>
              <w:ind w:left="60"/>
              <w:spacing w:after="0" w:line="176" w:lineRule="exact"/>
              <w:rPr>
                <w:sz w:val="20"/>
                <w:szCs w:val="20"/>
                <w:color w:val="auto"/>
              </w:rPr>
            </w:pPr>
            <w:r>
              <w:rPr>
                <w:rFonts w:ascii="Arial" w:cs="Arial" w:eastAsia="Arial" w:hAnsi="Arial"/>
                <w:sz w:val="12"/>
                <w:szCs w:val="12"/>
                <w:color w:val="auto"/>
              </w:rPr>
              <w:t>Profit Participating Note, 12.56%, 10/10/2030</w:t>
            </w:r>
            <w:r>
              <w:rPr>
                <w:rFonts w:ascii="Arial" w:cs="Arial" w:eastAsia="Arial" w:hAnsi="Arial"/>
                <w:sz w:val="20"/>
                <w:szCs w:val="20"/>
                <w:color w:val="auto"/>
                <w:vertAlign w:val="superscript"/>
              </w:rPr>
              <w:t>(5)(9)</w:t>
            </w: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2,500,000</w:t>
            </w:r>
          </w:p>
        </w:tc>
        <w:tc>
          <w:tcPr>
            <w:tcW w:w="24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2,531,500</w:t>
            </w:r>
          </w:p>
        </w:tc>
        <w:tc>
          <w:tcPr>
            <w:tcW w:w="0" w:type="dxa"/>
            <w:vAlign w:val="bottom"/>
          </w:tcPr>
          <w:p>
            <w:pPr>
              <w:spacing w:after="0"/>
              <w:rPr>
                <w:sz w:val="1"/>
                <w:szCs w:val="1"/>
                <w:color w:val="auto"/>
              </w:rPr>
            </w:pPr>
          </w:p>
        </w:tc>
      </w:tr>
      <w:tr>
        <w:trPr>
          <w:trHeight w:val="298"/>
        </w:trPr>
        <w:tc>
          <w:tcPr>
            <w:tcW w:w="2860" w:type="dxa"/>
            <w:vAlign w:val="bottom"/>
            <w:gridSpan w:val="2"/>
          </w:tcPr>
          <w:p>
            <w:pPr>
              <w:spacing w:after="0"/>
              <w:rPr>
                <w:sz w:val="20"/>
                <w:szCs w:val="20"/>
                <w:color w:val="auto"/>
              </w:rPr>
            </w:pPr>
            <w:r>
              <w:rPr>
                <w:rFonts w:ascii="Arial" w:cs="Arial" w:eastAsia="Arial" w:hAnsi="Arial"/>
                <w:sz w:val="13"/>
                <w:szCs w:val="13"/>
                <w:color w:val="auto"/>
              </w:rPr>
              <w:t>AMF Ireland Finance 4 - Series 2</w:t>
            </w:r>
          </w:p>
        </w:tc>
        <w:tc>
          <w:tcPr>
            <w:tcW w:w="5920" w:type="dxa"/>
            <w:vAlign w:val="bottom"/>
          </w:tcPr>
          <w:p>
            <w:pPr>
              <w:ind w:left="60"/>
              <w:spacing w:after="0"/>
              <w:rPr>
                <w:sz w:val="20"/>
                <w:szCs w:val="20"/>
                <w:color w:val="auto"/>
              </w:rPr>
            </w:pPr>
            <w:r>
              <w:rPr>
                <w:rFonts w:ascii="Arial" w:cs="Arial" w:eastAsia="Arial" w:hAnsi="Arial"/>
                <w:sz w:val="13"/>
                <w:szCs w:val="13"/>
                <w:color w:val="auto"/>
              </w:rPr>
              <w:t>Profit Participating Note, 8.92%, 12/12/2033</w:t>
            </w:r>
            <w:r>
              <w:rPr>
                <w:rFonts w:ascii="Arial" w:cs="Arial" w:eastAsia="Arial" w:hAnsi="Arial"/>
                <w:sz w:val="22"/>
                <w:szCs w:val="22"/>
                <w:color w:val="auto"/>
                <w:vertAlign w:val="superscript"/>
              </w:rPr>
              <w:t>(5)(10)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1,200,537</w:t>
            </w:r>
          </w:p>
        </w:tc>
        <w:tc>
          <w:tcPr>
            <w:tcW w:w="240" w:type="dxa"/>
            <w:vAlign w:val="bottom"/>
          </w:tcPr>
          <w:p>
            <w:pPr>
              <w:spacing w:after="0"/>
              <w:rPr>
                <w:sz w:val="24"/>
                <w:szCs w:val="24"/>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1,414,398</w:t>
            </w:r>
          </w:p>
        </w:tc>
        <w:tc>
          <w:tcPr>
            <w:tcW w:w="0" w:type="dxa"/>
            <w:vAlign w:val="bottom"/>
          </w:tcPr>
          <w:p>
            <w:pPr>
              <w:spacing w:after="0"/>
              <w:rPr>
                <w:sz w:val="1"/>
                <w:szCs w:val="1"/>
                <w:color w:val="auto"/>
              </w:rPr>
            </w:pPr>
          </w:p>
        </w:tc>
      </w:tr>
      <w:tr>
        <w:trPr>
          <w:trHeight w:val="275"/>
        </w:trPr>
        <w:tc>
          <w:tcPr>
            <w:tcW w:w="560" w:type="dxa"/>
            <w:vAlign w:val="bottom"/>
          </w:tcPr>
          <w:p>
            <w:pPr>
              <w:spacing w:after="0"/>
              <w:rPr>
                <w:sz w:val="20"/>
                <w:szCs w:val="20"/>
                <w:color w:val="auto"/>
              </w:rPr>
            </w:pPr>
            <w:r>
              <w:rPr>
                <w:rFonts w:ascii="Arial" w:cs="Arial" w:eastAsia="Arial" w:hAnsi="Arial"/>
                <w:sz w:val="15"/>
                <w:szCs w:val="15"/>
                <w:color w:val="286B38"/>
              </w:rPr>
              <w:t>7</w:t>
            </w:r>
          </w:p>
        </w:tc>
        <w:tc>
          <w:tcPr>
            <w:tcW w:w="8220" w:type="dxa"/>
            <w:vAlign w:val="bottom"/>
            <w:gridSpan w:val="2"/>
          </w:tcPr>
          <w:p>
            <w:pPr>
              <w:ind w:left="20"/>
              <w:spacing w:after="0"/>
              <w:rPr>
                <w:sz w:val="20"/>
                <w:szCs w:val="20"/>
                <w:color w:val="auto"/>
              </w:rPr>
            </w:pPr>
            <w:r>
              <w:rPr>
                <w:rFonts w:ascii="Arial" w:cs="Arial" w:eastAsia="Arial" w:hAnsi="Arial"/>
                <w:sz w:val="13"/>
                <w:szCs w:val="13"/>
                <w:color w:val="286B38"/>
              </w:rPr>
              <w:t>ArrowMark Financial Corp.</w:t>
            </w:r>
            <w:r>
              <w:rPr>
                <w:rFonts w:ascii="Arial" w:cs="Arial" w:eastAsia="Arial" w:hAnsi="Arial"/>
                <w:sz w:val="13"/>
                <w:szCs w:val="13"/>
                <w:b w:val="1"/>
                <w:bCs w:val="1"/>
                <w:color w:val="286B38"/>
              </w:rPr>
              <w:t>| Annual Report</w:t>
            </w:r>
          </w:p>
        </w:tc>
        <w:tc>
          <w:tcPr>
            <w:tcW w:w="260" w:type="dxa"/>
            <w:vAlign w:val="bottom"/>
          </w:tcPr>
          <w:p>
            <w:pPr>
              <w:spacing w:after="0"/>
              <w:rPr>
                <w:sz w:val="23"/>
                <w:szCs w:val="23"/>
                <w:color w:val="auto"/>
              </w:rPr>
            </w:pPr>
          </w:p>
        </w:tc>
        <w:tc>
          <w:tcPr>
            <w:tcW w:w="2200" w:type="dxa"/>
            <w:vAlign w:val="bottom"/>
            <w:gridSpan w:val="3"/>
          </w:tcPr>
          <w:p>
            <w:pPr>
              <w:jc w:val="right"/>
              <w:spacing w:after="0"/>
              <w:rPr>
                <w:sz w:val="20"/>
                <w:szCs w:val="20"/>
                <w:color w:val="auto"/>
              </w:rPr>
            </w:pPr>
            <w:r>
              <w:rPr>
                <w:rFonts w:ascii="Arial" w:cs="Arial" w:eastAsia="Arial" w:hAnsi="Arial"/>
                <w:sz w:val="13"/>
                <w:szCs w:val="13"/>
                <w:color w:val="296B38"/>
              </w:rPr>
              <w:t>See Notes to financial statements.</w:t>
            </w:r>
          </w:p>
        </w:tc>
        <w:tc>
          <w:tcPr>
            <w:tcW w:w="0" w:type="dxa"/>
            <w:vAlign w:val="bottom"/>
          </w:tcPr>
          <w:p>
            <w:pPr>
              <w:spacing w:after="0"/>
              <w:rPr>
                <w:sz w:val="1"/>
                <w:szCs w:val="1"/>
                <w:color w:val="auto"/>
              </w:rPr>
            </w:pPr>
          </w:p>
        </w:tc>
      </w:tr>
      <w:tr>
        <w:trPr>
          <w:trHeight w:val="605"/>
        </w:trPr>
        <w:tc>
          <w:tcPr>
            <w:tcW w:w="5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right="174"/>
              <w:spacing w:after="0"/>
              <w:rPr>
                <w:sz w:val="20"/>
                <w:szCs w:val="20"/>
                <w:color w:val="auto"/>
              </w:rPr>
            </w:pPr>
            <w:r>
              <w:rPr>
                <w:rFonts w:ascii="Arial" w:cs="Arial" w:eastAsia="Arial" w:hAnsi="Arial"/>
                <w:sz w:val="12"/>
                <w:szCs w:val="12"/>
                <w:b w:val="1"/>
                <w:bCs w:val="1"/>
                <w:color w:val="auto"/>
              </w:rPr>
              <w:t>#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74"/>
              <w:spacing w:after="0" w:line="133" w:lineRule="exact"/>
              <w:rPr>
                <w:sz w:val="20"/>
                <w:szCs w:val="20"/>
                <w:color w:val="auto"/>
              </w:rPr>
            </w:pPr>
            <w:r>
              <w:rPr>
                <w:rFonts w:ascii="Arial" w:cs="Arial" w:eastAsia="Arial" w:hAnsi="Arial"/>
                <w:sz w:val="12"/>
                <w:szCs w:val="12"/>
                <w:b w:val="1"/>
                <w:bCs w:val="1"/>
                <w:color w:val="auto"/>
                <w:w w:val="98"/>
              </w:rPr>
              <w:t>Shares/Par</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80" w:type="dxa"/>
            <w:vAlign w:val="bottom"/>
            <w:tcBorders>
              <w:bottom w:val="single" w:sz="8" w:color="auto"/>
            </w:tcBorders>
          </w:tcPr>
          <w:p>
            <w:pPr>
              <w:ind w:left="1080"/>
              <w:spacing w:after="0" w:line="173" w:lineRule="exact"/>
              <w:rPr>
                <w:sz w:val="20"/>
                <w:szCs w:val="20"/>
                <w:color w:val="auto"/>
              </w:rPr>
            </w:pPr>
            <w:r>
              <w:rPr>
                <w:rFonts w:ascii="Arial" w:cs="Arial" w:eastAsia="Arial" w:hAnsi="Arial"/>
                <w:sz w:val="12"/>
                <w:szCs w:val="12"/>
                <w:b w:val="1"/>
                <w:bCs w:val="1"/>
                <w:color w:val="auto"/>
              </w:rPr>
              <w:t>Company</w:t>
            </w:r>
            <w:r>
              <w:rPr>
                <w:rFonts w:ascii="Arial" w:cs="Arial" w:eastAsia="Arial" w:hAnsi="Arial"/>
                <w:sz w:val="19"/>
                <w:szCs w:val="19"/>
                <w:b w:val="1"/>
                <w:bCs w:val="1"/>
                <w:color w:val="auto"/>
                <w:vertAlign w:val="superscript"/>
              </w:rPr>
              <w:t>(1)</w:t>
            </w:r>
          </w:p>
        </w:tc>
        <w:tc>
          <w:tcPr>
            <w:tcW w:w="4640" w:type="dxa"/>
            <w:vAlign w:val="bottom"/>
            <w:tcBorders>
              <w:bottom w:val="single" w:sz="8" w:color="auto"/>
            </w:tcBorders>
          </w:tcPr>
          <w:p>
            <w:pPr>
              <w:ind w:left="3060"/>
              <w:spacing w:after="0"/>
              <w:rPr>
                <w:sz w:val="20"/>
                <w:szCs w:val="20"/>
                <w:color w:val="auto"/>
              </w:rPr>
            </w:pPr>
            <w:r>
              <w:rPr>
                <w:rFonts w:ascii="Arial" w:cs="Arial" w:eastAsia="Arial" w:hAnsi="Arial"/>
                <w:sz w:val="12"/>
                <w:szCs w:val="12"/>
                <w:b w:val="1"/>
                <w:bCs w:val="1"/>
                <w:color w:val="auto"/>
              </w:rPr>
              <w:t>Investment</w:t>
            </w:r>
          </w:p>
        </w:tc>
        <w:tc>
          <w:tcPr>
            <w:tcW w:w="1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4"/>
              <w:spacing w:after="0" w:line="173" w:lineRule="exact"/>
              <w:rPr>
                <w:sz w:val="20"/>
                <w:szCs w:val="20"/>
                <w:color w:val="auto"/>
              </w:rPr>
            </w:pPr>
            <w:r>
              <w:rPr>
                <w:rFonts w:ascii="Arial" w:cs="Arial" w:eastAsia="Arial" w:hAnsi="Arial"/>
                <w:sz w:val="12"/>
                <w:szCs w:val="12"/>
                <w:b w:val="1"/>
                <w:bCs w:val="1"/>
                <w:color w:val="auto"/>
                <w:w w:val="92"/>
              </w:rPr>
              <w:t>Amount</w:t>
            </w:r>
            <w:r>
              <w:rPr>
                <w:rFonts w:ascii="Arial" w:cs="Arial" w:eastAsia="Arial" w:hAnsi="Arial"/>
                <w:sz w:val="19"/>
                <w:szCs w:val="19"/>
                <w:b w:val="1"/>
                <w:bCs w:val="1"/>
                <w:color w:val="auto"/>
                <w:w w:val="92"/>
                <w:vertAlign w:val="superscript"/>
              </w:rPr>
              <w:t>(2)</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3"/>
              <w:spacing w:after="0" w:line="173" w:lineRule="exact"/>
              <w:rPr>
                <w:sz w:val="20"/>
                <w:szCs w:val="20"/>
                <w:color w:val="auto"/>
              </w:rPr>
            </w:pPr>
            <w:r>
              <w:rPr>
                <w:rFonts w:ascii="Arial" w:cs="Arial" w:eastAsia="Arial" w:hAnsi="Arial"/>
                <w:sz w:val="12"/>
                <w:szCs w:val="12"/>
                <w:b w:val="1"/>
                <w:bCs w:val="1"/>
                <w:color w:val="auto"/>
                <w:w w:val="96"/>
              </w:rPr>
              <w:t>Fair Value</w:t>
            </w:r>
            <w:r>
              <w:rPr>
                <w:rFonts w:ascii="Arial" w:cs="Arial" w:eastAsia="Arial" w:hAnsi="Arial"/>
                <w:sz w:val="19"/>
                <w:szCs w:val="19"/>
                <w:b w:val="1"/>
                <w:bCs w:val="1"/>
                <w:color w:val="auto"/>
                <w:w w:val="96"/>
                <w:vertAlign w:val="superscript"/>
              </w:rPr>
              <w:t>(3)</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Regulatory Capital Relief Securities (continued)</w:t>
            </w:r>
          </w:p>
        </w:tc>
        <w:tc>
          <w:tcPr>
            <w:tcW w:w="16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80" w:type="dxa"/>
            <w:vAlign w:val="bottom"/>
          </w:tcPr>
          <w:p>
            <w:pPr>
              <w:spacing w:after="0"/>
              <w:rPr>
                <w:sz w:val="20"/>
                <w:szCs w:val="20"/>
                <w:color w:val="auto"/>
              </w:rPr>
            </w:pPr>
            <w:r>
              <w:rPr>
                <w:rFonts w:ascii="Arial" w:cs="Arial" w:eastAsia="Arial" w:hAnsi="Arial"/>
                <w:sz w:val="13"/>
                <w:szCs w:val="13"/>
                <w:b w:val="1"/>
                <w:bCs w:val="1"/>
                <w:color w:val="auto"/>
              </w:rPr>
              <w:t>Banking (continued)</w:t>
            </w:r>
          </w:p>
        </w:tc>
        <w:tc>
          <w:tcPr>
            <w:tcW w:w="4640" w:type="dxa"/>
            <w:vAlign w:val="bottom"/>
            <w:vMerge w:val="restart"/>
          </w:tcPr>
          <w:p>
            <w:pPr>
              <w:ind w:left="440"/>
              <w:spacing w:after="0"/>
              <w:rPr>
                <w:sz w:val="20"/>
                <w:szCs w:val="20"/>
                <w:color w:val="auto"/>
              </w:rPr>
            </w:pPr>
            <w:r>
              <w:rPr>
                <w:rFonts w:ascii="Arial" w:cs="Arial" w:eastAsia="Arial" w:hAnsi="Arial"/>
                <w:sz w:val="13"/>
                <w:szCs w:val="13"/>
                <w:color w:val="auto"/>
              </w:rPr>
              <w:t>Profit Participating Note, 10.93%, 06/30/2033</w:t>
            </w:r>
            <w:r>
              <w:rPr>
                <w:rFonts w:ascii="Arial" w:cs="Arial" w:eastAsia="Arial" w:hAnsi="Arial"/>
                <w:sz w:val="22"/>
                <w:szCs w:val="22"/>
                <w:color w:val="auto"/>
                <w:vertAlign w:val="superscript"/>
              </w:rPr>
              <w:t>(5)(11)</w:t>
            </w: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line="148" w:lineRule="exact"/>
              <w:rPr>
                <w:sz w:val="20"/>
                <w:szCs w:val="20"/>
                <w:color w:val="auto"/>
              </w:rPr>
            </w:pPr>
            <w:r>
              <w:rPr>
                <w:rFonts w:ascii="Arial" w:cs="Arial" w:eastAsia="Arial" w:hAnsi="Arial"/>
                <w:sz w:val="13"/>
                <w:szCs w:val="13"/>
                <w:color w:val="auto"/>
              </w:rPr>
              <w:t>AMF Ireland Finance 4 - Series 3</w:t>
            </w:r>
          </w:p>
        </w:tc>
        <w:tc>
          <w:tcPr>
            <w:tcW w:w="4640" w:type="dxa"/>
            <w:vAlign w:val="bottom"/>
            <w:vMerge w:val="continue"/>
          </w:tcPr>
          <w:p>
            <w:pPr>
              <w:spacing w:after="0"/>
              <w:rPr>
                <w:sz w:val="12"/>
                <w:szCs w:val="12"/>
                <w:color w:val="auto"/>
              </w:rPr>
            </w:pPr>
          </w:p>
        </w:tc>
        <w:tc>
          <w:tcPr>
            <w:tcW w:w="19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line="148" w:lineRule="exact"/>
              <w:rPr>
                <w:sz w:val="20"/>
                <w:szCs w:val="20"/>
                <w:color w:val="auto"/>
              </w:rPr>
            </w:pPr>
            <w:r>
              <w:rPr>
                <w:rFonts w:ascii="Arial" w:cs="Arial" w:eastAsia="Arial" w:hAnsi="Arial"/>
                <w:sz w:val="13"/>
                <w:szCs w:val="13"/>
                <w:color w:val="auto"/>
              </w:rPr>
              <w:t>2,500,000</w:t>
            </w: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3,403,601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AMF Ireland Finance 4 - Series 4</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Profit Participating Note, 8.52%, 11/28/2039</w:t>
            </w:r>
            <w:r>
              <w:rPr>
                <w:rFonts w:ascii="Arial" w:cs="Arial" w:eastAsia="Arial" w:hAnsi="Arial"/>
                <w:sz w:val="20"/>
                <w:szCs w:val="20"/>
                <w:color w:val="auto"/>
                <w:vertAlign w:val="superscript"/>
              </w:rPr>
              <w:t>(5)(10)</w:t>
            </w:r>
            <w:r>
              <w:rPr>
                <w:rFonts w:ascii="Arial" w:cs="Arial" w:eastAsia="Arial" w:hAnsi="Arial"/>
                <w:sz w:val="12"/>
                <w:szCs w:val="12"/>
                <w:color w:val="auto"/>
              </w:rPr>
              <w:t>**</w:t>
            </w:r>
          </w:p>
        </w:tc>
        <w:tc>
          <w:tcPr>
            <w:tcW w:w="16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1,444,584</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1,706,296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AMF Ireland Finance 4 - Series 5</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Profit Participating Note, 10.74%, 02/15/2030</w:t>
            </w:r>
            <w:r>
              <w:rPr>
                <w:rFonts w:ascii="Arial" w:cs="Arial" w:eastAsia="Arial" w:hAnsi="Arial"/>
                <w:sz w:val="20"/>
                <w:szCs w:val="20"/>
                <w:color w:val="auto"/>
                <w:vertAlign w:val="superscript"/>
              </w:rPr>
              <w:t>(5)(9)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3,000,000</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2,964,201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AMF Ireland Finance 5 - Series 1</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Profit Participating Note, 11.77%, 10/21/2034</w:t>
            </w:r>
            <w:r>
              <w:rPr>
                <w:rFonts w:ascii="Arial" w:cs="Arial" w:eastAsia="Arial" w:hAnsi="Arial"/>
                <w:sz w:val="20"/>
                <w:szCs w:val="20"/>
                <w:color w:val="auto"/>
                <w:vertAlign w:val="superscript"/>
              </w:rPr>
              <w:t>(5)(9)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10,000,000</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10,127,420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AMF Ireland Finance 5 - Series 2</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Profit Participating Note, 9.98%, 12/15/2029</w:t>
            </w:r>
            <w:r>
              <w:rPr>
                <w:rFonts w:ascii="Arial" w:cs="Arial" w:eastAsia="Arial" w:hAnsi="Arial"/>
                <w:sz w:val="20"/>
                <w:szCs w:val="20"/>
                <w:color w:val="auto"/>
                <w:vertAlign w:val="superscript"/>
              </w:rPr>
              <w:t>(5)(8)</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5,000,000</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4,996,500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Auto ABS Synthetic French Loans</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14.40%, 12/27/2030</w:t>
            </w:r>
            <w:r>
              <w:rPr>
                <w:rFonts w:ascii="Arial" w:cs="Arial" w:eastAsia="Arial" w:hAnsi="Arial"/>
                <w:sz w:val="20"/>
                <w:szCs w:val="20"/>
                <w:color w:val="auto"/>
                <w:vertAlign w:val="superscript"/>
              </w:rPr>
              <w:t>(12)</w:t>
            </w:r>
            <w:r>
              <w:rPr>
                <w:rFonts w:ascii="Arial" w:cs="Arial" w:eastAsia="Arial" w:hAnsi="Arial"/>
                <w:sz w:val="12"/>
                <w:szCs w:val="12"/>
                <w:color w:val="auto"/>
              </w:rPr>
              <w:t>**</w:t>
            </w:r>
          </w:p>
        </w:tc>
        <w:tc>
          <w:tcPr>
            <w:tcW w:w="16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958,501</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1,131,362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Boa Vista</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11.07%, 05/02/2043</w:t>
            </w:r>
            <w:r>
              <w:rPr>
                <w:rFonts w:ascii="Arial" w:cs="Arial" w:eastAsia="Arial" w:hAnsi="Arial"/>
                <w:sz w:val="20"/>
                <w:szCs w:val="20"/>
                <w:color w:val="auto"/>
                <w:vertAlign w:val="superscript"/>
              </w:rPr>
              <w:t>(10)</w:t>
            </w:r>
            <w:r>
              <w:rPr>
                <w:rFonts w:ascii="Arial" w:cs="Arial" w:eastAsia="Arial" w:hAnsi="Arial"/>
                <w:sz w:val="12"/>
                <w:szCs w:val="12"/>
                <w:color w:val="auto"/>
              </w:rPr>
              <w:t>**</w:t>
            </w:r>
          </w:p>
        </w:tc>
        <w:tc>
          <w:tcPr>
            <w:tcW w:w="16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1,057,785</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1,247,771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Cedar</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12.55%, 12/15/2027</w:t>
            </w:r>
            <w:r>
              <w:rPr>
                <w:rFonts w:ascii="Arial" w:cs="Arial" w:eastAsia="Arial" w:hAnsi="Arial"/>
                <w:sz w:val="20"/>
                <w:szCs w:val="20"/>
                <w:color w:val="auto"/>
                <w:vertAlign w:val="superscript"/>
              </w:rPr>
              <w:t>(10)</w:t>
            </w:r>
            <w:r>
              <w:rPr>
                <w:rFonts w:ascii="Arial" w:cs="Arial" w:eastAsia="Arial" w:hAnsi="Arial"/>
                <w:sz w:val="12"/>
                <w:szCs w:val="12"/>
                <w:color w:val="auto"/>
              </w:rPr>
              <w:t>**</w:t>
            </w:r>
          </w:p>
        </w:tc>
        <w:tc>
          <w:tcPr>
            <w:tcW w:w="16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2,079,484</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2,490,719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Cedar</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13.05%, 03/30/2030</w:t>
            </w:r>
            <w:r>
              <w:rPr>
                <w:rFonts w:ascii="Arial" w:cs="Arial" w:eastAsia="Arial" w:hAnsi="Arial"/>
                <w:sz w:val="20"/>
                <w:szCs w:val="20"/>
                <w:color w:val="auto"/>
                <w:vertAlign w:val="superscript"/>
              </w:rPr>
              <w:t>(5)(10)</w:t>
            </w:r>
            <w:r>
              <w:rPr>
                <w:rFonts w:ascii="Arial" w:cs="Arial" w:eastAsia="Arial" w:hAnsi="Arial"/>
                <w:sz w:val="12"/>
                <w:szCs w:val="12"/>
                <w:color w:val="auto"/>
              </w:rPr>
              <w:t>**</w:t>
            </w:r>
          </w:p>
        </w:tc>
        <w:tc>
          <w:tcPr>
            <w:tcW w:w="16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2,612,639</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3,187,527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CHAKRA</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13.63%, 11/21/2027</w:t>
            </w:r>
            <w:r>
              <w:rPr>
                <w:rFonts w:ascii="Arial" w:cs="Arial" w:eastAsia="Arial" w:hAnsi="Arial"/>
                <w:sz w:val="20"/>
                <w:szCs w:val="20"/>
                <w:color w:val="auto"/>
                <w:vertAlign w:val="superscript"/>
              </w:rPr>
              <w:t>(5)(9)+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3,206,404</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3,019,531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Colonnade</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16.46%, 04/30/2028</w:t>
            </w:r>
            <w:r>
              <w:rPr>
                <w:rFonts w:ascii="Arial" w:cs="Arial" w:eastAsia="Arial" w:hAnsi="Arial"/>
                <w:sz w:val="20"/>
                <w:szCs w:val="20"/>
                <w:color w:val="auto"/>
                <w:vertAlign w:val="superscript"/>
              </w:rPr>
              <w:t>(5)(9)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5,082,186</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5,268,489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Colonnade</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16.18%, 11/30/2029</w:t>
            </w:r>
            <w:r>
              <w:rPr>
                <w:rFonts w:ascii="Arial" w:cs="Arial" w:eastAsia="Arial" w:hAnsi="Arial"/>
                <w:sz w:val="20"/>
                <w:szCs w:val="20"/>
                <w:color w:val="auto"/>
                <w:vertAlign w:val="superscript"/>
              </w:rPr>
              <w:t>(5)(9)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7,009,653</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7,476,451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Colonnade</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16.98%, 12/15/2029</w:t>
            </w:r>
            <w:r>
              <w:rPr>
                <w:rFonts w:ascii="Arial" w:cs="Arial" w:eastAsia="Arial" w:hAnsi="Arial"/>
                <w:sz w:val="20"/>
                <w:szCs w:val="20"/>
                <w:color w:val="auto"/>
                <w:vertAlign w:val="superscript"/>
              </w:rPr>
              <w:t>(5)(9)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4,590,913</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4,809,063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Colonnade</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16.32%, 04/30/2030</w:t>
            </w:r>
            <w:r>
              <w:rPr>
                <w:rFonts w:ascii="Arial" w:cs="Arial" w:eastAsia="Arial" w:hAnsi="Arial"/>
                <w:sz w:val="20"/>
                <w:szCs w:val="20"/>
                <w:color w:val="auto"/>
                <w:vertAlign w:val="superscript"/>
              </w:rPr>
              <w:t>(5)(9)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9,154,459</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9,666,889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CRAFT</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0.00%, 04/30/2028, 144A</w:t>
            </w:r>
            <w:r>
              <w:rPr>
                <w:rFonts w:ascii="Arial" w:cs="Arial" w:eastAsia="Arial" w:hAnsi="Arial"/>
                <w:sz w:val="20"/>
                <w:szCs w:val="20"/>
                <w:color w:val="auto"/>
                <w:vertAlign w:val="superscript"/>
              </w:rPr>
              <w:t>(4)(5)</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270,544</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243,489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CRAFT</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15.94%, 11/28/2030, 144A</w:t>
            </w:r>
            <w:r>
              <w:rPr>
                <w:rFonts w:ascii="Arial" w:cs="Arial" w:eastAsia="Arial" w:hAnsi="Arial"/>
                <w:sz w:val="20"/>
                <w:szCs w:val="20"/>
                <w:color w:val="auto"/>
                <w:vertAlign w:val="superscript"/>
              </w:rPr>
              <w:t>(4)(5)(9)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4,962,156</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5,160,980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CRAFT</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12.64%, 02/21/2031, 144A</w:t>
            </w:r>
            <w:r>
              <w:rPr>
                <w:rFonts w:ascii="Arial" w:cs="Arial" w:eastAsia="Arial" w:hAnsi="Arial"/>
                <w:sz w:val="20"/>
                <w:szCs w:val="20"/>
                <w:color w:val="auto"/>
                <w:vertAlign w:val="superscript"/>
              </w:rPr>
              <w:t>(4)(5)(13)</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2,478,103</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2,905,105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CRAFT</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13.47%, 11/21/2031, 144A</w:t>
            </w:r>
            <w:r>
              <w:rPr>
                <w:rFonts w:ascii="Arial" w:cs="Arial" w:eastAsia="Arial" w:hAnsi="Arial"/>
                <w:sz w:val="20"/>
                <w:szCs w:val="20"/>
                <w:color w:val="auto"/>
                <w:vertAlign w:val="superscript"/>
              </w:rPr>
              <w:t>(4)(5)(9)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10,000,000</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10,442,870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FCT Colisee</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10.03%, 07/07/2033</w:t>
            </w:r>
            <w:r>
              <w:rPr>
                <w:rFonts w:ascii="Arial" w:cs="Arial" w:eastAsia="Arial" w:hAnsi="Arial"/>
                <w:sz w:val="20"/>
                <w:szCs w:val="20"/>
                <w:color w:val="auto"/>
                <w:vertAlign w:val="superscript"/>
              </w:rPr>
              <w:t>(10)+</w:t>
            </w:r>
          </w:p>
        </w:tc>
        <w:tc>
          <w:tcPr>
            <w:tcW w:w="16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925,466</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1,082,312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Future Ready Chakra</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12.10%, 12/15/2029</w:t>
            </w:r>
            <w:r>
              <w:rPr>
                <w:rFonts w:ascii="Arial" w:cs="Arial" w:eastAsia="Arial" w:hAnsi="Arial"/>
                <w:sz w:val="20"/>
                <w:szCs w:val="20"/>
                <w:color w:val="auto"/>
                <w:vertAlign w:val="superscript"/>
              </w:rPr>
              <w:t>(9)+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4,466,667</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4,388,946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LOFT</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11.69%, 02/28/2030, 144A</w:t>
            </w:r>
            <w:r>
              <w:rPr>
                <w:rFonts w:ascii="Arial" w:cs="Arial" w:eastAsia="Arial" w:hAnsi="Arial"/>
                <w:sz w:val="20"/>
                <w:szCs w:val="20"/>
                <w:color w:val="auto"/>
                <w:vertAlign w:val="superscript"/>
              </w:rPr>
              <w:t>(4)(5)(9)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2,726,486</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2,862,830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LOFT</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23.19%, 02/28/2030, 144A</w:t>
            </w:r>
            <w:r>
              <w:rPr>
                <w:rFonts w:ascii="Arial" w:cs="Arial" w:eastAsia="Arial" w:hAnsi="Arial"/>
                <w:sz w:val="20"/>
                <w:szCs w:val="20"/>
                <w:color w:val="auto"/>
                <w:vertAlign w:val="superscript"/>
              </w:rPr>
              <w:t>(4)(5)(9)</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6,068,815</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6,925,520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Mespil</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14.31%, 12/08/2031</w:t>
            </w:r>
            <w:r>
              <w:rPr>
                <w:rFonts w:ascii="Arial" w:cs="Arial" w:eastAsia="Arial" w:hAnsi="Arial"/>
                <w:sz w:val="20"/>
                <w:szCs w:val="20"/>
                <w:color w:val="auto"/>
                <w:vertAlign w:val="superscript"/>
              </w:rPr>
              <w:t>(5)(9)</w:t>
            </w:r>
            <w:r>
              <w:rPr>
                <w:rFonts w:ascii="Arial" w:cs="Arial" w:eastAsia="Arial" w:hAnsi="Arial"/>
                <w:sz w:val="12"/>
                <w:szCs w:val="12"/>
                <w:color w:val="auto"/>
              </w:rPr>
              <w:t>**</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2,096,518</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1,257,911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Muskoka</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0.00%, 11/01/2027</w:t>
            </w:r>
            <w:r>
              <w:rPr>
                <w:rFonts w:ascii="Arial" w:cs="Arial" w:eastAsia="Arial" w:hAnsi="Arial"/>
                <w:sz w:val="20"/>
                <w:szCs w:val="20"/>
                <w:color w:val="auto"/>
                <w:vertAlign w:val="superscript"/>
              </w:rPr>
              <w:t>(5)+</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15,438</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13,894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Nansa</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0.00%, 04/05/2026</w:t>
            </w:r>
            <w:r>
              <w:rPr>
                <w:rFonts w:ascii="Arial" w:cs="Arial" w:eastAsia="Arial" w:hAnsi="Arial"/>
                <w:sz w:val="20"/>
                <w:szCs w:val="20"/>
                <w:color w:val="auto"/>
                <w:vertAlign w:val="superscript"/>
              </w:rPr>
              <w:t>(5)</w:t>
            </w:r>
            <w:r>
              <w:rPr>
                <w:rFonts w:ascii="Arial" w:cs="Arial" w:eastAsia="Arial" w:hAnsi="Arial"/>
                <w:sz w:val="12"/>
                <w:szCs w:val="12"/>
                <w:color w:val="auto"/>
              </w:rPr>
              <w:t>**</w:t>
            </w:r>
          </w:p>
        </w:tc>
        <w:tc>
          <w:tcPr>
            <w:tcW w:w="16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307,685</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121,278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Nightingale LF</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14.72%, 04/01/2028</w:t>
            </w:r>
            <w:r>
              <w:rPr>
                <w:rFonts w:ascii="Arial" w:cs="Arial" w:eastAsia="Arial" w:hAnsi="Arial"/>
                <w:sz w:val="20"/>
                <w:szCs w:val="20"/>
                <w:color w:val="auto"/>
                <w:vertAlign w:val="superscript"/>
              </w:rPr>
              <w:t>(5)(11)</w:t>
            </w:r>
            <w:r>
              <w:rPr>
                <w:rFonts w:ascii="Arial" w:cs="Arial" w:eastAsia="Arial" w:hAnsi="Arial"/>
                <w:sz w:val="12"/>
                <w:szCs w:val="12"/>
                <w:color w:val="auto"/>
              </w:rPr>
              <w:t>**</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2,000,000</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2,695,900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Pymes Magdalena</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8.00%, 03/20/2050</w:t>
            </w:r>
            <w:r>
              <w:rPr>
                <w:rFonts w:ascii="Arial" w:cs="Arial" w:eastAsia="Arial" w:hAnsi="Arial"/>
                <w:sz w:val="20"/>
                <w:szCs w:val="20"/>
                <w:color w:val="auto"/>
                <w:vertAlign w:val="superscript"/>
              </w:rPr>
              <w:t>(10)</w:t>
            </w:r>
            <w:r>
              <w:rPr>
                <w:rFonts w:ascii="Arial" w:cs="Arial" w:eastAsia="Arial" w:hAnsi="Arial"/>
                <w:sz w:val="12"/>
                <w:szCs w:val="12"/>
                <w:color w:val="auto"/>
              </w:rPr>
              <w:t>**</w:t>
            </w:r>
          </w:p>
        </w:tc>
        <w:tc>
          <w:tcPr>
            <w:tcW w:w="16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1,272,601</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1,471,033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Salisbury</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14.47%, 06/16/2027</w:t>
            </w:r>
            <w:r>
              <w:rPr>
                <w:rFonts w:ascii="Arial" w:cs="Arial" w:eastAsia="Arial" w:hAnsi="Arial"/>
                <w:sz w:val="20"/>
                <w:szCs w:val="20"/>
                <w:color w:val="auto"/>
                <w:vertAlign w:val="superscript"/>
              </w:rPr>
              <w:t>(11)+</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5,030,793</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6,689,663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Salisbury</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13.48%, 03/20/2028</w:t>
            </w:r>
            <w:r>
              <w:rPr>
                <w:rFonts w:ascii="Arial" w:cs="Arial" w:eastAsia="Arial" w:hAnsi="Arial"/>
                <w:sz w:val="20"/>
                <w:szCs w:val="20"/>
                <w:color w:val="auto"/>
                <w:vertAlign w:val="superscript"/>
              </w:rPr>
              <w:t>(5)(11)+</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607,567</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844,391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Salisbury</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13.97%, 04/17/2028</w:t>
            </w:r>
            <w:r>
              <w:rPr>
                <w:rFonts w:ascii="Arial" w:cs="Arial" w:eastAsia="Arial" w:hAnsi="Arial"/>
                <w:sz w:val="20"/>
                <w:szCs w:val="20"/>
                <w:color w:val="auto"/>
                <w:vertAlign w:val="superscript"/>
              </w:rPr>
              <w:t>(5)(11)+</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3,707,920</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5,249,744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Salisbury</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0.00%, 04/17/2028</w:t>
            </w:r>
            <w:r>
              <w:rPr>
                <w:rFonts w:ascii="Arial" w:cs="Arial" w:eastAsia="Arial" w:hAnsi="Arial"/>
                <w:sz w:val="20"/>
                <w:szCs w:val="20"/>
                <w:color w:val="auto"/>
                <w:vertAlign w:val="superscript"/>
              </w:rPr>
              <w:t>(5)+</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17,352</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19,881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20"/>
                <w:szCs w:val="20"/>
                <w:color w:val="auto"/>
              </w:rPr>
            </w:pPr>
            <w:r>
              <w:rPr>
                <w:rFonts w:ascii="Arial" w:cs="Arial" w:eastAsia="Arial" w:hAnsi="Arial"/>
                <w:sz w:val="13"/>
                <w:szCs w:val="13"/>
                <w:color w:val="auto"/>
              </w:rPr>
              <w:t>Terra</w:t>
            </w:r>
          </w:p>
        </w:tc>
        <w:tc>
          <w:tcPr>
            <w:tcW w:w="4640" w:type="dxa"/>
            <w:vAlign w:val="bottom"/>
          </w:tcPr>
          <w:p>
            <w:pPr>
              <w:ind w:left="440"/>
              <w:spacing w:after="0" w:line="176" w:lineRule="exact"/>
              <w:rPr>
                <w:sz w:val="20"/>
                <w:szCs w:val="20"/>
                <w:color w:val="auto"/>
              </w:rPr>
            </w:pPr>
            <w:r>
              <w:rPr>
                <w:rFonts w:ascii="Arial" w:cs="Arial" w:eastAsia="Arial" w:hAnsi="Arial"/>
                <w:sz w:val="12"/>
                <w:szCs w:val="12"/>
                <w:color w:val="auto"/>
              </w:rPr>
              <w:t>Credit Linked Note, 11.93%, 09/25/2029</w:t>
            </w:r>
            <w:r>
              <w:rPr>
                <w:rFonts w:ascii="Arial" w:cs="Arial" w:eastAsia="Arial" w:hAnsi="Arial"/>
                <w:sz w:val="20"/>
                <w:szCs w:val="20"/>
                <w:color w:val="auto"/>
                <w:vertAlign w:val="superscript"/>
              </w:rPr>
              <w:t>(9)</w:t>
            </w:r>
            <w:r>
              <w:rPr>
                <w:rFonts w:ascii="Arial" w:cs="Arial" w:eastAsia="Arial" w:hAnsi="Arial"/>
                <w:sz w:val="12"/>
                <w:szCs w:val="12"/>
                <w:color w:val="auto"/>
              </w:rPr>
              <w:t>**</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3,273,213</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3,238,353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4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Waterloo</w:t>
            </w:r>
          </w:p>
        </w:tc>
        <w:tc>
          <w:tcPr>
            <w:tcW w:w="4640" w:type="dxa"/>
            <w:vAlign w:val="bottom"/>
            <w:tcBorders>
              <w:bottom w:val="single" w:sz="8" w:color="auto"/>
            </w:tcBorders>
          </w:tcPr>
          <w:p>
            <w:pPr>
              <w:ind w:left="440"/>
              <w:spacing w:after="0" w:line="199" w:lineRule="exact"/>
              <w:rPr>
                <w:sz w:val="20"/>
                <w:szCs w:val="20"/>
                <w:color w:val="auto"/>
              </w:rPr>
            </w:pPr>
            <w:r>
              <w:rPr>
                <w:rFonts w:ascii="Arial" w:cs="Arial" w:eastAsia="Arial" w:hAnsi="Arial"/>
                <w:sz w:val="13"/>
                <w:szCs w:val="13"/>
                <w:color w:val="auto"/>
              </w:rPr>
              <w:t>Credit Linked Note, 13.96%, 05/25/2031</w:t>
            </w:r>
            <w:r>
              <w:rPr>
                <w:rFonts w:ascii="Arial" w:cs="Arial" w:eastAsia="Arial" w:hAnsi="Arial"/>
                <w:sz w:val="22"/>
                <w:szCs w:val="22"/>
                <w:color w:val="auto"/>
                <w:vertAlign w:val="superscript"/>
              </w:rPr>
              <w:t>(5)(9)</w:t>
            </w:r>
            <w:r>
              <w:rPr>
                <w:rFonts w:ascii="Arial" w:cs="Arial" w:eastAsia="Arial" w:hAnsi="Arial"/>
                <w:sz w:val="13"/>
                <w:szCs w:val="13"/>
                <w:color w:val="auto"/>
              </w:rPr>
              <w:t>**</w:t>
            </w: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2,700,000</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2,733,750</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4640" w:type="dxa"/>
            <w:vAlign w:val="bottom"/>
          </w:tcPr>
          <w:p>
            <w:pPr>
              <w:ind w:left="440"/>
              <w:spacing w:after="0" w:line="134" w:lineRule="exact"/>
              <w:rPr>
                <w:sz w:val="20"/>
                <w:szCs w:val="20"/>
                <w:color w:val="auto"/>
              </w:rPr>
            </w:pPr>
            <w:r>
              <w:rPr>
                <w:rFonts w:ascii="Arial" w:cs="Arial" w:eastAsia="Arial" w:hAnsi="Arial"/>
                <w:sz w:val="13"/>
                <w:szCs w:val="13"/>
                <w:b w:val="1"/>
                <w:bCs w:val="1"/>
                <w:color w:val="auto"/>
              </w:rPr>
              <w:t>Total Regulatory Capital Relief Securities</w:t>
            </w:r>
          </w:p>
        </w:tc>
        <w:tc>
          <w:tcPr>
            <w:tcW w:w="1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8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(Cost $162,302,255)</w:t>
            </w:r>
          </w:p>
        </w:tc>
        <w:tc>
          <w:tcPr>
            <w:tcW w:w="1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168,283,662</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2480" w:type="dxa"/>
            <w:vAlign w:val="bottom"/>
          </w:tcPr>
          <w:p>
            <w:pPr>
              <w:spacing w:after="0"/>
              <w:rPr>
                <w:sz w:val="20"/>
                <w:szCs w:val="20"/>
                <w:color w:val="auto"/>
              </w:rPr>
            </w:pPr>
            <w:r>
              <w:rPr>
                <w:rFonts w:ascii="Arial" w:cs="Arial" w:eastAsia="Arial" w:hAnsi="Arial"/>
                <w:sz w:val="13"/>
                <w:szCs w:val="13"/>
                <w:color w:val="296B38"/>
              </w:rPr>
              <w:t>See Notes to financial statements.</w:t>
            </w:r>
          </w:p>
        </w:tc>
        <w:tc>
          <w:tcPr>
            <w:tcW w:w="4640" w:type="dxa"/>
            <w:vAlign w:val="bottom"/>
          </w:tcPr>
          <w:p>
            <w:pPr>
              <w:spacing w:after="0"/>
              <w:rPr>
                <w:sz w:val="24"/>
                <w:szCs w:val="24"/>
                <w:color w:val="auto"/>
              </w:rPr>
            </w:pPr>
          </w:p>
        </w:tc>
        <w:tc>
          <w:tcPr>
            <w:tcW w:w="4040" w:type="dxa"/>
            <w:vAlign w:val="bottom"/>
            <w:gridSpan w:val="5"/>
          </w:tcPr>
          <w:p>
            <w:pPr>
              <w:jc w:val="right"/>
              <w:ind w:right="393"/>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80" w:type="dxa"/>
            <w:vAlign w:val="bottom"/>
          </w:tcPr>
          <w:p>
            <w:pPr>
              <w:jc w:val="right"/>
              <w:spacing w:after="0"/>
              <w:rPr>
                <w:sz w:val="20"/>
                <w:szCs w:val="20"/>
                <w:color w:val="auto"/>
              </w:rPr>
            </w:pPr>
            <w:r>
              <w:rPr>
                <w:rFonts w:ascii="Arial" w:cs="Arial" w:eastAsia="Arial" w:hAnsi="Arial"/>
                <w:sz w:val="15"/>
                <w:szCs w:val="15"/>
                <w:color w:val="296B38"/>
                <w:w w:val="71"/>
              </w:rPr>
              <w:t>8</w:t>
            </w:r>
          </w:p>
        </w:tc>
        <w:tc>
          <w:tcPr>
            <w:tcW w:w="0" w:type="dxa"/>
            <w:vAlign w:val="bottom"/>
          </w:tcPr>
          <w:p>
            <w:pPr>
              <w:spacing w:after="0"/>
              <w:rPr>
                <w:sz w:val="1"/>
                <w:szCs w:val="1"/>
                <w:color w:val="auto"/>
              </w:rPr>
            </w:pPr>
          </w:p>
        </w:tc>
      </w:tr>
      <w:tr>
        <w:trPr>
          <w:trHeight w:val="392"/>
        </w:trPr>
        <w:tc>
          <w:tcPr>
            <w:tcW w:w="24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7"/>
              <w:spacing w:after="0"/>
              <w:rPr>
                <w:sz w:val="20"/>
                <w:szCs w:val="20"/>
                <w:color w:val="auto"/>
              </w:rPr>
            </w:pPr>
            <w:r>
              <w:rPr>
                <w:rFonts w:ascii="Arial" w:cs="Arial" w:eastAsia="Arial" w:hAnsi="Arial"/>
                <w:sz w:val="12"/>
                <w:szCs w:val="12"/>
                <w:b w:val="1"/>
                <w:bCs w:val="1"/>
                <w:color w:val="auto"/>
              </w:rPr>
              <w:t># of</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57"/>
              <w:spacing w:after="0" w:line="133" w:lineRule="exact"/>
              <w:rPr>
                <w:sz w:val="20"/>
                <w:szCs w:val="20"/>
                <w:color w:val="auto"/>
              </w:rPr>
            </w:pPr>
            <w:r>
              <w:rPr>
                <w:rFonts w:ascii="Arial" w:cs="Arial" w:eastAsia="Arial" w:hAnsi="Arial"/>
                <w:sz w:val="12"/>
                <w:szCs w:val="12"/>
                <w:b w:val="1"/>
                <w:bCs w:val="1"/>
                <w:color w:val="auto"/>
                <w:w w:val="98"/>
              </w:rPr>
              <w:t>Shares/Par</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20" w:type="dxa"/>
            <w:vAlign w:val="bottom"/>
            <w:tcBorders>
              <w:bottom w:val="single" w:sz="8" w:color="auto"/>
            </w:tcBorders>
          </w:tcPr>
          <w:p>
            <w:pPr>
              <w:ind w:left="1080"/>
              <w:spacing w:after="0" w:line="173" w:lineRule="exact"/>
              <w:rPr>
                <w:sz w:val="20"/>
                <w:szCs w:val="20"/>
                <w:color w:val="auto"/>
              </w:rPr>
            </w:pPr>
            <w:r>
              <w:rPr>
                <w:rFonts w:ascii="Arial" w:cs="Arial" w:eastAsia="Arial" w:hAnsi="Arial"/>
                <w:sz w:val="12"/>
                <w:szCs w:val="12"/>
                <w:b w:val="1"/>
                <w:bCs w:val="1"/>
                <w:color w:val="auto"/>
              </w:rPr>
              <w:t>Company</w:t>
            </w:r>
            <w:r>
              <w:rPr>
                <w:rFonts w:ascii="Arial" w:cs="Arial" w:eastAsia="Arial" w:hAnsi="Arial"/>
                <w:sz w:val="19"/>
                <w:szCs w:val="19"/>
                <w:b w:val="1"/>
                <w:bCs w:val="1"/>
                <w:color w:val="auto"/>
                <w:vertAlign w:val="superscript"/>
              </w:rPr>
              <w:t>(1)</w:t>
            </w:r>
          </w:p>
        </w:tc>
        <w:tc>
          <w:tcPr>
            <w:tcW w:w="5960" w:type="dxa"/>
            <w:vAlign w:val="bottom"/>
            <w:tcBorders>
              <w:bottom w:val="single" w:sz="8" w:color="auto"/>
            </w:tcBorders>
          </w:tcPr>
          <w:p>
            <w:pPr>
              <w:ind w:left="2720"/>
              <w:spacing w:after="0"/>
              <w:rPr>
                <w:sz w:val="20"/>
                <w:szCs w:val="20"/>
                <w:color w:val="auto"/>
              </w:rPr>
            </w:pPr>
            <w:r>
              <w:rPr>
                <w:rFonts w:ascii="Arial" w:cs="Arial" w:eastAsia="Arial" w:hAnsi="Arial"/>
                <w:sz w:val="12"/>
                <w:szCs w:val="12"/>
                <w:b w:val="1"/>
                <w:bCs w:val="1"/>
                <w:color w:val="auto"/>
              </w:rPr>
              <w:t>Investment</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7"/>
              <w:spacing w:after="0" w:line="173" w:lineRule="exact"/>
              <w:rPr>
                <w:sz w:val="20"/>
                <w:szCs w:val="20"/>
                <w:color w:val="auto"/>
              </w:rPr>
            </w:pPr>
            <w:r>
              <w:rPr>
                <w:rFonts w:ascii="Arial" w:cs="Arial" w:eastAsia="Arial" w:hAnsi="Arial"/>
                <w:sz w:val="12"/>
                <w:szCs w:val="12"/>
                <w:b w:val="1"/>
                <w:bCs w:val="1"/>
                <w:color w:val="auto"/>
                <w:w w:val="92"/>
              </w:rPr>
              <w:t>Amount</w:t>
            </w:r>
            <w:r>
              <w:rPr>
                <w:rFonts w:ascii="Arial" w:cs="Arial" w:eastAsia="Arial" w:hAnsi="Arial"/>
                <w:sz w:val="19"/>
                <w:szCs w:val="19"/>
                <w:b w:val="1"/>
                <w:bCs w:val="1"/>
                <w:color w:val="auto"/>
                <w:w w:val="92"/>
                <w:vertAlign w:val="superscript"/>
              </w:rPr>
              <w:t>(2)</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4"/>
              <w:spacing w:after="0" w:line="173" w:lineRule="exact"/>
              <w:rPr>
                <w:sz w:val="20"/>
                <w:szCs w:val="20"/>
                <w:color w:val="auto"/>
              </w:rPr>
            </w:pPr>
            <w:r>
              <w:rPr>
                <w:rFonts w:ascii="Arial" w:cs="Arial" w:eastAsia="Arial" w:hAnsi="Arial"/>
                <w:sz w:val="12"/>
                <w:szCs w:val="12"/>
                <w:b w:val="1"/>
                <w:bCs w:val="1"/>
                <w:color w:val="auto"/>
                <w:w w:val="96"/>
              </w:rPr>
              <w:t>Fair Value</w:t>
            </w:r>
            <w:r>
              <w:rPr>
                <w:rFonts w:ascii="Arial" w:cs="Arial" w:eastAsia="Arial" w:hAnsi="Arial"/>
                <w:sz w:val="19"/>
                <w:szCs w:val="19"/>
                <w:b w:val="1"/>
                <w:bCs w:val="1"/>
                <w:color w:val="auto"/>
                <w:w w:val="96"/>
                <w:vertAlign w:val="superscript"/>
              </w:rPr>
              <w:t>(3)</w:t>
            </w:r>
          </w:p>
        </w:tc>
        <w:tc>
          <w:tcPr>
            <w:tcW w:w="0" w:type="dxa"/>
            <w:vAlign w:val="bottom"/>
          </w:tcPr>
          <w:p>
            <w:pPr>
              <w:spacing w:after="0"/>
              <w:rPr>
                <w:sz w:val="1"/>
                <w:szCs w:val="1"/>
                <w:color w:val="auto"/>
              </w:rPr>
            </w:pPr>
          </w:p>
        </w:tc>
      </w:tr>
      <w:tr>
        <w:trPr>
          <w:trHeight w:val="156"/>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Trust Preferred and Preferred Securities – 1.0%</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20"/>
                <w:szCs w:val="20"/>
                <w:color w:val="auto"/>
              </w:rPr>
            </w:pPr>
            <w:r>
              <w:rPr>
                <w:rFonts w:ascii="Arial" w:cs="Arial" w:eastAsia="Arial" w:hAnsi="Arial"/>
                <w:sz w:val="13"/>
                <w:szCs w:val="13"/>
                <w:b w:val="1"/>
                <w:bCs w:val="1"/>
                <w:color w:val="auto"/>
              </w:rPr>
              <w:t>Banking – 1.0%</w:t>
            </w:r>
          </w:p>
        </w:tc>
        <w:tc>
          <w:tcPr>
            <w:tcW w:w="5960" w:type="dxa"/>
            <w:vAlign w:val="bottom"/>
            <w:vMerge w:val="restart"/>
          </w:tcPr>
          <w:p>
            <w:pPr>
              <w:ind w:left="160"/>
              <w:spacing w:after="0"/>
              <w:rPr>
                <w:sz w:val="20"/>
                <w:szCs w:val="20"/>
                <w:color w:val="auto"/>
              </w:rPr>
            </w:pPr>
            <w:r>
              <w:rPr>
                <w:rFonts w:ascii="Arial" w:cs="Arial" w:eastAsia="Arial" w:hAnsi="Arial"/>
                <w:sz w:val="13"/>
                <w:szCs w:val="13"/>
                <w:color w:val="auto"/>
              </w:rPr>
              <w:t>Fixed Rate Cumulative Perpetual Preferred Stock, Series A - 9%</w:t>
            </w:r>
            <w:r>
              <w:rPr>
                <w:rFonts w:ascii="Arial" w:cs="Arial" w:eastAsia="Arial" w:hAnsi="Arial"/>
                <w:sz w:val="22"/>
                <w:szCs w:val="22"/>
                <w:color w:val="auto"/>
                <w:vertAlign w:val="superscript"/>
              </w:rPr>
              <w:t>(5)(14)(15)</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8" w:lineRule="exact"/>
              <w:rPr>
                <w:sz w:val="20"/>
                <w:szCs w:val="20"/>
                <w:color w:val="auto"/>
              </w:rPr>
            </w:pPr>
            <w:r>
              <w:rPr>
                <w:rFonts w:ascii="Arial" w:cs="Arial" w:eastAsia="Arial" w:hAnsi="Arial"/>
                <w:sz w:val="13"/>
                <w:szCs w:val="13"/>
                <w:color w:val="auto"/>
              </w:rPr>
              <w:t>Fidelity Federal Bancorp</w:t>
            </w:r>
          </w:p>
        </w:tc>
        <w:tc>
          <w:tcPr>
            <w:tcW w:w="5960" w:type="dxa"/>
            <w:vAlign w:val="bottom"/>
            <w:vMerge w:val="continue"/>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2,789,000</w:t>
            </w: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34"/>
              <w:spacing w:after="0" w:line="148" w:lineRule="exact"/>
              <w:rPr>
                <w:sz w:val="20"/>
                <w:szCs w:val="20"/>
                <w:color w:val="auto"/>
              </w:rPr>
            </w:pPr>
            <w:r>
              <w:rPr>
                <w:rFonts w:ascii="Arial" w:cs="Arial" w:eastAsia="Arial" w:hAnsi="Arial"/>
                <w:sz w:val="13"/>
                <w:szCs w:val="13"/>
                <w:color w:val="auto"/>
              </w:rPr>
              <w:t>1,673,400</w:t>
            </w:r>
          </w:p>
        </w:tc>
        <w:tc>
          <w:tcPr>
            <w:tcW w:w="0" w:type="dxa"/>
            <w:vAlign w:val="bottom"/>
          </w:tcPr>
          <w:p>
            <w:pPr>
              <w:spacing w:after="0"/>
              <w:rPr>
                <w:sz w:val="1"/>
                <w:szCs w:val="1"/>
                <w:color w:val="auto"/>
              </w:rPr>
            </w:pPr>
          </w:p>
        </w:tc>
      </w:tr>
      <w:tr>
        <w:trPr>
          <w:trHeight w:val="199"/>
        </w:trPr>
        <w:tc>
          <w:tcPr>
            <w:tcW w:w="2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Fidelity Federal Bancorp</w:t>
            </w:r>
          </w:p>
        </w:tc>
        <w:tc>
          <w:tcPr>
            <w:tcW w:w="5960" w:type="dxa"/>
            <w:vAlign w:val="bottom"/>
            <w:tcBorders>
              <w:bottom w:val="single" w:sz="8" w:color="auto"/>
            </w:tcBorders>
          </w:tcPr>
          <w:p>
            <w:pPr>
              <w:ind w:left="160"/>
              <w:spacing w:after="0" w:line="199" w:lineRule="exact"/>
              <w:rPr>
                <w:sz w:val="20"/>
                <w:szCs w:val="20"/>
                <w:color w:val="auto"/>
              </w:rPr>
            </w:pPr>
            <w:r>
              <w:rPr>
                <w:rFonts w:ascii="Arial" w:cs="Arial" w:eastAsia="Arial" w:hAnsi="Arial"/>
                <w:sz w:val="13"/>
                <w:szCs w:val="13"/>
                <w:color w:val="auto"/>
              </w:rPr>
              <w:t>Fixed Rate Cumulative Perpetual Preferred Stock, Series B - 9%</w:t>
            </w:r>
            <w:r>
              <w:rPr>
                <w:rFonts w:ascii="Arial" w:cs="Arial" w:eastAsia="Arial" w:hAnsi="Arial"/>
                <w:sz w:val="22"/>
                <w:szCs w:val="22"/>
                <w:color w:val="auto"/>
                <w:vertAlign w:val="superscript"/>
              </w:rPr>
              <w:t>(5)(15)(16)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200,000</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120,000</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5960" w:type="dxa"/>
            <w:vAlign w:val="bottom"/>
          </w:tcPr>
          <w:p>
            <w:pPr>
              <w:ind w:left="160"/>
              <w:spacing w:after="0" w:line="134" w:lineRule="exact"/>
              <w:rPr>
                <w:sz w:val="20"/>
                <w:szCs w:val="20"/>
                <w:color w:val="auto"/>
              </w:rPr>
            </w:pPr>
            <w:r>
              <w:rPr>
                <w:rFonts w:ascii="Arial" w:cs="Arial" w:eastAsia="Arial" w:hAnsi="Arial"/>
                <w:sz w:val="13"/>
                <w:szCs w:val="13"/>
                <w:b w:val="1"/>
                <w:bCs w:val="1"/>
                <w:color w:val="auto"/>
              </w:rPr>
              <w:t>Total Trust Preferred and Preferred Securities</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(Cost $3,004,203)</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1,793,400</w:t>
            </w:r>
          </w:p>
        </w:tc>
        <w:tc>
          <w:tcPr>
            <w:tcW w:w="0" w:type="dxa"/>
            <w:vAlign w:val="bottom"/>
          </w:tcPr>
          <w:p>
            <w:pPr>
              <w:spacing w:after="0"/>
              <w:rPr>
                <w:sz w:val="1"/>
                <w:szCs w:val="1"/>
                <w:color w:val="auto"/>
              </w:rPr>
            </w:pPr>
          </w:p>
        </w:tc>
      </w:tr>
      <w:tr>
        <w:trPr>
          <w:trHeight w:val="156"/>
        </w:trPr>
        <w:tc>
          <w:tcPr>
            <w:tcW w:w="2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Common Stocks – 3.4%</w:t>
            </w:r>
          </w:p>
        </w:tc>
        <w:tc>
          <w:tcPr>
            <w:tcW w:w="59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line="136" w:lineRule="exact"/>
              <w:rPr>
                <w:sz w:val="20"/>
                <w:szCs w:val="20"/>
                <w:color w:val="auto"/>
              </w:rPr>
            </w:pPr>
            <w:r>
              <w:rPr>
                <w:rFonts w:ascii="Arial" w:cs="Arial" w:eastAsia="Arial" w:hAnsi="Arial"/>
                <w:sz w:val="13"/>
                <w:szCs w:val="13"/>
                <w:b w:val="1"/>
                <w:bCs w:val="1"/>
                <w:color w:val="auto"/>
              </w:rPr>
              <w:t>Banking – 3.4%</w:t>
            </w:r>
          </w:p>
        </w:tc>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Bancorp.</w:t>
            </w:r>
          </w:p>
        </w:tc>
        <w:tc>
          <w:tcPr>
            <w:tcW w:w="59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Common Stock</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110,100</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5,874,936</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5960" w:type="dxa"/>
            <w:vAlign w:val="bottom"/>
          </w:tcPr>
          <w:p>
            <w:pPr>
              <w:ind w:left="160"/>
              <w:spacing w:after="0" w:line="134" w:lineRule="exact"/>
              <w:rPr>
                <w:sz w:val="20"/>
                <w:szCs w:val="20"/>
                <w:color w:val="auto"/>
              </w:rPr>
            </w:pPr>
            <w:r>
              <w:rPr>
                <w:rFonts w:ascii="Arial" w:cs="Arial" w:eastAsia="Arial" w:hAnsi="Arial"/>
                <w:sz w:val="13"/>
                <w:szCs w:val="13"/>
                <w:b w:val="1"/>
                <w:bCs w:val="1"/>
                <w:color w:val="auto"/>
              </w:rPr>
              <w:t>Total Common Stocks</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(Cost $5,075,370)</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5,874,936</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5960" w:type="dxa"/>
            <w:vAlign w:val="bottom"/>
          </w:tcPr>
          <w:p>
            <w:pPr>
              <w:ind w:left="160"/>
              <w:spacing w:after="0" w:line="134" w:lineRule="exact"/>
              <w:rPr>
                <w:sz w:val="20"/>
                <w:szCs w:val="20"/>
                <w:color w:val="auto"/>
              </w:rPr>
            </w:pPr>
            <w:r>
              <w:rPr>
                <w:rFonts w:ascii="Arial" w:cs="Arial" w:eastAsia="Arial" w:hAnsi="Arial"/>
                <w:sz w:val="13"/>
                <w:szCs w:val="13"/>
                <w:b w:val="1"/>
                <w:bCs w:val="1"/>
                <w:color w:val="auto"/>
              </w:rPr>
              <w:t>Total Long-Term Investments</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(Cost $193,539,172)</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195,386,784</w:t>
            </w:r>
          </w:p>
        </w:tc>
        <w:tc>
          <w:tcPr>
            <w:tcW w:w="0" w:type="dxa"/>
            <w:vAlign w:val="bottom"/>
          </w:tcPr>
          <w:p>
            <w:pPr>
              <w:spacing w:after="0"/>
              <w:rPr>
                <w:sz w:val="1"/>
                <w:szCs w:val="1"/>
                <w:color w:val="auto"/>
              </w:rPr>
            </w:pPr>
          </w:p>
        </w:tc>
      </w:tr>
      <w:tr>
        <w:trPr>
          <w:trHeight w:val="156"/>
        </w:trPr>
        <w:tc>
          <w:tcPr>
            <w:tcW w:w="2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Money Market Fund – 0.6%</w:t>
            </w:r>
          </w:p>
        </w:tc>
        <w:tc>
          <w:tcPr>
            <w:tcW w:w="59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line="136" w:lineRule="exact"/>
              <w:rPr>
                <w:sz w:val="20"/>
                <w:szCs w:val="20"/>
                <w:color w:val="auto"/>
              </w:rPr>
            </w:pPr>
            <w:r>
              <w:rPr>
                <w:rFonts w:ascii="Arial" w:cs="Arial" w:eastAsia="Arial" w:hAnsi="Arial"/>
                <w:sz w:val="13"/>
                <w:szCs w:val="13"/>
                <w:color w:val="auto"/>
              </w:rPr>
              <w:t>Morgan Stanley Institutional Liquidity Funds -</w:t>
            </w:r>
          </w:p>
        </w:tc>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Treasury Portfolio</w:t>
            </w:r>
          </w:p>
        </w:tc>
        <w:tc>
          <w:tcPr>
            <w:tcW w:w="59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Institutional Share Class - Money Market Mutual Fund (MSUXX) 3.62%</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968,661</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968,661</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5960" w:type="dxa"/>
            <w:vAlign w:val="bottom"/>
          </w:tcPr>
          <w:p>
            <w:pPr>
              <w:ind w:left="160"/>
              <w:spacing w:after="0" w:line="134" w:lineRule="exact"/>
              <w:rPr>
                <w:sz w:val="20"/>
                <w:szCs w:val="20"/>
                <w:color w:val="auto"/>
              </w:rPr>
            </w:pPr>
            <w:r>
              <w:rPr>
                <w:rFonts w:ascii="Arial" w:cs="Arial" w:eastAsia="Arial" w:hAnsi="Arial"/>
                <w:sz w:val="13"/>
                <w:szCs w:val="13"/>
                <w:b w:val="1"/>
                <w:bCs w:val="1"/>
                <w:color w:val="auto"/>
              </w:rPr>
              <w:t>Total Money Market Fund</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(Cost $968,661)</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968,661</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5960" w:type="dxa"/>
            <w:vAlign w:val="bottom"/>
          </w:tcPr>
          <w:p>
            <w:pPr>
              <w:ind w:left="160"/>
              <w:spacing w:after="0" w:line="133" w:lineRule="exact"/>
              <w:rPr>
                <w:sz w:val="20"/>
                <w:szCs w:val="20"/>
                <w:color w:val="auto"/>
              </w:rPr>
            </w:pPr>
            <w:r>
              <w:rPr>
                <w:rFonts w:ascii="Arial" w:cs="Arial" w:eastAsia="Arial" w:hAnsi="Arial"/>
                <w:sz w:val="13"/>
                <w:szCs w:val="13"/>
                <w:b w:val="1"/>
                <w:bCs w:val="1"/>
                <w:color w:val="auto"/>
              </w:rPr>
              <w:t>Total Investments</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820" w:type="dxa"/>
            <w:vAlign w:val="bottom"/>
            <w:tcBorders>
              <w:bottom w:val="single" w:sz="8" w:color="auto"/>
            </w:tcBorders>
          </w:tcPr>
          <w:p>
            <w:pPr>
              <w:spacing w:after="0"/>
              <w:rPr>
                <w:sz w:val="17"/>
                <w:szCs w:val="17"/>
                <w:color w:val="auto"/>
              </w:rPr>
            </w:pPr>
          </w:p>
        </w:tc>
        <w:tc>
          <w:tcPr>
            <w:tcW w:w="5960" w:type="dxa"/>
            <w:vAlign w:val="bottom"/>
            <w:tcBorders>
              <w:bottom w:val="single" w:sz="8" w:color="auto"/>
            </w:tcBorders>
          </w:tcPr>
          <w:p>
            <w:pPr>
              <w:ind w:left="160"/>
              <w:spacing w:after="0" w:line="199" w:lineRule="exact"/>
              <w:rPr>
                <w:sz w:val="20"/>
                <w:szCs w:val="20"/>
                <w:color w:val="auto"/>
              </w:rPr>
            </w:pPr>
            <w:r>
              <w:rPr>
                <w:rFonts w:ascii="Arial" w:cs="Arial" w:eastAsia="Arial" w:hAnsi="Arial"/>
                <w:sz w:val="13"/>
                <w:szCs w:val="13"/>
                <w:b w:val="1"/>
                <w:bCs w:val="1"/>
                <w:color w:val="auto"/>
              </w:rPr>
              <w:t>(Cost $194,507,833)</w:t>
            </w:r>
            <w:r>
              <w:rPr>
                <w:rFonts w:ascii="Arial" w:cs="Arial" w:eastAsia="Arial" w:hAnsi="Arial"/>
                <w:sz w:val="22"/>
                <w:szCs w:val="22"/>
                <w:b w:val="1"/>
                <w:bCs w:val="1"/>
                <w:color w:val="auto"/>
                <w:vertAlign w:val="superscript"/>
              </w:rPr>
              <w:t>(17)(18)</w:t>
            </w:r>
            <w:r>
              <w:rPr>
                <w:rFonts w:ascii="Arial" w:cs="Arial" w:eastAsia="Arial" w:hAnsi="Arial"/>
                <w:sz w:val="13"/>
                <w:szCs w:val="13"/>
                <w:b w:val="1"/>
                <w:bCs w:val="1"/>
                <w:color w:val="auto"/>
              </w:rPr>
              <w:t xml:space="preserve"> — 114.5%</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196,355,445</w:t>
            </w:r>
          </w:p>
        </w:tc>
        <w:tc>
          <w:tcPr>
            <w:tcW w:w="0" w:type="dxa"/>
            <w:vAlign w:val="bottom"/>
          </w:tcPr>
          <w:p>
            <w:pPr>
              <w:spacing w:after="0"/>
              <w:rPr>
                <w:sz w:val="1"/>
                <w:szCs w:val="1"/>
                <w:color w:val="auto"/>
              </w:rPr>
            </w:pPr>
          </w:p>
        </w:tc>
      </w:tr>
      <w:tr>
        <w:trPr>
          <w:trHeight w:val="181"/>
        </w:trPr>
        <w:tc>
          <w:tcPr>
            <w:tcW w:w="282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tcPr>
          <w:p>
            <w:pPr>
              <w:ind w:left="160"/>
              <w:spacing w:after="0" w:line="181" w:lineRule="exact"/>
              <w:rPr>
                <w:sz w:val="20"/>
                <w:szCs w:val="20"/>
                <w:color w:val="auto"/>
              </w:rPr>
            </w:pPr>
            <w:r>
              <w:rPr>
                <w:rFonts w:ascii="Arial" w:cs="Arial" w:eastAsia="Arial" w:hAnsi="Arial"/>
                <w:sz w:val="12"/>
                <w:szCs w:val="12"/>
                <w:b w:val="1"/>
                <w:bCs w:val="1"/>
                <w:color w:val="auto"/>
              </w:rPr>
              <w:t>Other Assets and Liabilities, Net — (14.5)%</w:t>
            </w:r>
            <w:r>
              <w:rPr>
                <w:rFonts w:ascii="Arial" w:cs="Arial" w:eastAsia="Arial" w:hAnsi="Arial"/>
                <w:sz w:val="20"/>
                <w:szCs w:val="20"/>
                <w:b w:val="1"/>
                <w:bCs w:val="1"/>
                <w:color w:val="auto"/>
                <w:vertAlign w:val="superscript"/>
              </w:rPr>
              <w:t>(19)</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(24,813,050)</w:t>
            </w:r>
          </w:p>
        </w:tc>
        <w:tc>
          <w:tcPr>
            <w:tcW w:w="0" w:type="dxa"/>
            <w:vAlign w:val="bottom"/>
          </w:tcPr>
          <w:p>
            <w:pPr>
              <w:spacing w:after="0"/>
              <w:rPr>
                <w:sz w:val="1"/>
                <w:szCs w:val="1"/>
                <w:color w:val="auto"/>
              </w:rPr>
            </w:pPr>
          </w:p>
        </w:tc>
      </w:tr>
      <w:tr>
        <w:trPr>
          <w:trHeight w:val="156"/>
        </w:trPr>
        <w:tc>
          <w:tcPr>
            <w:tcW w:w="2820" w:type="dxa"/>
            <w:vAlign w:val="bottom"/>
            <w:tcBorders>
              <w:bottom w:val="single" w:sz="8" w:color="auto"/>
            </w:tcBorders>
          </w:tcPr>
          <w:p>
            <w:pPr>
              <w:spacing w:after="0"/>
              <w:rPr>
                <w:sz w:val="13"/>
                <w:szCs w:val="13"/>
                <w:color w:val="auto"/>
              </w:rPr>
            </w:pPr>
          </w:p>
        </w:tc>
        <w:tc>
          <w:tcPr>
            <w:tcW w:w="59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Total Net Assets — 100.0%*</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171,542,395</w:t>
            </w:r>
          </w:p>
        </w:tc>
        <w:tc>
          <w:tcPr>
            <w:tcW w:w="0" w:type="dxa"/>
            <w:vAlign w:val="bottom"/>
          </w:tcPr>
          <w:p>
            <w:pPr>
              <w:spacing w:after="0"/>
              <w:rPr>
                <w:sz w:val="1"/>
                <w:szCs w:val="1"/>
                <w:color w:val="auto"/>
              </w:rPr>
            </w:pPr>
          </w:p>
        </w:tc>
      </w:tr>
      <w:tr>
        <w:trPr>
          <w:trHeight w:val="309"/>
        </w:trPr>
        <w:tc>
          <w:tcPr>
            <w:tcW w:w="28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center"/>
              <w:ind w:right="157"/>
              <w:spacing w:after="0"/>
              <w:rPr>
                <w:sz w:val="20"/>
                <w:szCs w:val="20"/>
                <w:color w:val="auto"/>
              </w:rPr>
            </w:pPr>
            <w:r>
              <w:rPr>
                <w:rFonts w:ascii="Arial" w:cs="Arial" w:eastAsia="Arial" w:hAnsi="Arial"/>
                <w:sz w:val="12"/>
                <w:szCs w:val="12"/>
                <w:b w:val="1"/>
                <w:bCs w:val="1"/>
                <w:color w:val="auto"/>
              </w:rPr>
              <w:t># of</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820" w:type="dxa"/>
            <w:vAlign w:val="bottom"/>
            <w:tcBorders>
              <w:bottom w:val="single" w:sz="8" w:color="auto"/>
            </w:tcBorders>
          </w:tcPr>
          <w:p>
            <w:pPr>
              <w:ind w:left="1080"/>
              <w:spacing w:after="0" w:line="173" w:lineRule="exact"/>
              <w:rPr>
                <w:sz w:val="20"/>
                <w:szCs w:val="20"/>
                <w:color w:val="auto"/>
              </w:rPr>
            </w:pPr>
            <w:r>
              <w:rPr>
                <w:rFonts w:ascii="Arial" w:cs="Arial" w:eastAsia="Arial" w:hAnsi="Arial"/>
                <w:sz w:val="12"/>
                <w:szCs w:val="12"/>
                <w:b w:val="1"/>
                <w:bCs w:val="1"/>
                <w:color w:val="auto"/>
              </w:rPr>
              <w:t>Company</w:t>
            </w:r>
            <w:r>
              <w:rPr>
                <w:rFonts w:ascii="Arial" w:cs="Arial" w:eastAsia="Arial" w:hAnsi="Arial"/>
                <w:sz w:val="19"/>
                <w:szCs w:val="19"/>
                <w:b w:val="1"/>
                <w:bCs w:val="1"/>
                <w:color w:val="auto"/>
                <w:vertAlign w:val="superscript"/>
              </w:rPr>
              <w:t>(1)</w:t>
            </w:r>
          </w:p>
        </w:tc>
        <w:tc>
          <w:tcPr>
            <w:tcW w:w="5960" w:type="dxa"/>
            <w:vAlign w:val="bottom"/>
            <w:tcBorders>
              <w:bottom w:val="single" w:sz="8" w:color="auto"/>
            </w:tcBorders>
          </w:tcPr>
          <w:p>
            <w:pPr>
              <w:ind w:left="2720"/>
              <w:spacing w:after="0"/>
              <w:rPr>
                <w:sz w:val="20"/>
                <w:szCs w:val="20"/>
                <w:color w:val="auto"/>
              </w:rPr>
            </w:pPr>
            <w:r>
              <w:rPr>
                <w:rFonts w:ascii="Arial" w:cs="Arial" w:eastAsia="Arial" w:hAnsi="Arial"/>
                <w:sz w:val="12"/>
                <w:szCs w:val="12"/>
                <w:b w:val="1"/>
                <w:bCs w:val="1"/>
                <w:color w:val="auto"/>
              </w:rPr>
              <w:t>Investment</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line="173" w:lineRule="exact"/>
              <w:rPr>
                <w:sz w:val="20"/>
                <w:szCs w:val="20"/>
                <w:color w:val="auto"/>
              </w:rPr>
            </w:pPr>
            <w:r>
              <w:rPr>
                <w:rFonts w:ascii="Arial" w:cs="Arial" w:eastAsia="Arial" w:hAnsi="Arial"/>
                <w:sz w:val="12"/>
                <w:szCs w:val="12"/>
                <w:b w:val="1"/>
                <w:bCs w:val="1"/>
                <w:color w:val="auto"/>
                <w:w w:val="92"/>
              </w:rPr>
              <w:t>Contracts</w:t>
            </w:r>
            <w:r>
              <w:rPr>
                <w:rFonts w:ascii="Arial" w:cs="Arial" w:eastAsia="Arial" w:hAnsi="Arial"/>
                <w:sz w:val="19"/>
                <w:szCs w:val="19"/>
                <w:b w:val="1"/>
                <w:bCs w:val="1"/>
                <w:color w:val="auto"/>
                <w:w w:val="92"/>
                <w:vertAlign w:val="superscript"/>
              </w:rPr>
              <w:t>(2)</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4"/>
              <w:spacing w:after="0" w:line="173" w:lineRule="exact"/>
              <w:rPr>
                <w:sz w:val="20"/>
                <w:szCs w:val="20"/>
                <w:color w:val="auto"/>
              </w:rPr>
            </w:pPr>
            <w:r>
              <w:rPr>
                <w:rFonts w:ascii="Arial" w:cs="Arial" w:eastAsia="Arial" w:hAnsi="Arial"/>
                <w:sz w:val="12"/>
                <w:szCs w:val="12"/>
                <w:b w:val="1"/>
                <w:bCs w:val="1"/>
                <w:color w:val="auto"/>
                <w:w w:val="96"/>
              </w:rPr>
              <w:t>Fair Value</w:t>
            </w:r>
            <w:r>
              <w:rPr>
                <w:rFonts w:ascii="Arial" w:cs="Arial" w:eastAsia="Arial" w:hAnsi="Arial"/>
                <w:sz w:val="19"/>
                <w:szCs w:val="19"/>
                <w:b w:val="1"/>
                <w:bCs w:val="1"/>
                <w:color w:val="auto"/>
                <w:w w:val="96"/>
                <w:vertAlign w:val="superscript"/>
              </w:rPr>
              <w:t>(3)</w:t>
            </w:r>
          </w:p>
        </w:tc>
        <w:tc>
          <w:tcPr>
            <w:tcW w:w="0" w:type="dxa"/>
            <w:vAlign w:val="bottom"/>
          </w:tcPr>
          <w:p>
            <w:pPr>
              <w:spacing w:after="0"/>
              <w:rPr>
                <w:sz w:val="1"/>
                <w:szCs w:val="1"/>
                <w:color w:val="auto"/>
              </w:rPr>
            </w:pPr>
          </w:p>
        </w:tc>
      </w:tr>
      <w:tr>
        <w:trPr>
          <w:trHeight w:val="156"/>
        </w:trPr>
        <w:tc>
          <w:tcPr>
            <w:tcW w:w="2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Call Options Written – (1.0%)</w:t>
            </w:r>
          </w:p>
        </w:tc>
        <w:tc>
          <w:tcPr>
            <w:tcW w:w="59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line="136" w:lineRule="exact"/>
              <w:rPr>
                <w:sz w:val="20"/>
                <w:szCs w:val="20"/>
                <w:color w:val="auto"/>
              </w:rPr>
            </w:pPr>
            <w:r>
              <w:rPr>
                <w:rFonts w:ascii="Arial" w:cs="Arial" w:eastAsia="Arial" w:hAnsi="Arial"/>
                <w:sz w:val="13"/>
                <w:szCs w:val="13"/>
                <w:b w:val="1"/>
                <w:bCs w:val="1"/>
                <w:color w:val="auto"/>
              </w:rPr>
              <w:t>Banking – (1.0%)</w:t>
            </w:r>
          </w:p>
        </w:tc>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820" w:type="dxa"/>
            <w:vAlign w:val="bottom"/>
          </w:tcPr>
          <w:p>
            <w:pPr>
              <w:spacing w:after="0"/>
              <w:rPr>
                <w:sz w:val="20"/>
                <w:szCs w:val="20"/>
                <w:color w:val="auto"/>
              </w:rPr>
            </w:pPr>
            <w:r>
              <w:rPr>
                <w:rFonts w:ascii="Arial" w:cs="Arial" w:eastAsia="Arial" w:hAnsi="Arial"/>
                <w:sz w:val="13"/>
                <w:szCs w:val="13"/>
                <w:color w:val="auto"/>
              </w:rPr>
              <w:t>U.S. Bancorp.</w:t>
            </w:r>
          </w:p>
        </w:tc>
        <w:tc>
          <w:tcPr>
            <w:tcW w:w="5960" w:type="dxa"/>
            <w:vAlign w:val="bottom"/>
          </w:tcPr>
          <w:p>
            <w:pPr>
              <w:ind w:left="160"/>
              <w:spacing w:after="0"/>
              <w:rPr>
                <w:sz w:val="20"/>
                <w:szCs w:val="20"/>
                <w:color w:val="auto"/>
              </w:rPr>
            </w:pPr>
            <w:r>
              <w:rPr>
                <w:rFonts w:ascii="Arial" w:cs="Arial" w:eastAsia="Arial" w:hAnsi="Arial"/>
                <w:sz w:val="13"/>
                <w:szCs w:val="13"/>
                <w:color w:val="auto"/>
              </w:rPr>
              <w:t>U.S. Bancorp., Notional amount $4,128,750, Exchange; NASDAQ, Expires 1/15/2027, Strike</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20" w:type="dxa"/>
            <w:vAlign w:val="bottom"/>
            <w:tcBorders>
              <w:bottom w:val="single" w:sz="8" w:color="auto"/>
            </w:tcBorders>
          </w:tcPr>
          <w:p>
            <w:pPr>
              <w:spacing w:after="0"/>
              <w:rPr>
                <w:sz w:val="14"/>
                <w:szCs w:val="14"/>
                <w:color w:val="auto"/>
              </w:rPr>
            </w:pPr>
          </w:p>
        </w:tc>
        <w:tc>
          <w:tcPr>
            <w:tcW w:w="59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Price $37.50</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(1,767,105)</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5960" w:type="dxa"/>
            <w:vAlign w:val="bottom"/>
          </w:tcPr>
          <w:p>
            <w:pPr>
              <w:ind w:left="160"/>
              <w:spacing w:after="0" w:line="134" w:lineRule="exact"/>
              <w:rPr>
                <w:sz w:val="20"/>
                <w:szCs w:val="20"/>
                <w:color w:val="auto"/>
              </w:rPr>
            </w:pPr>
            <w:r>
              <w:rPr>
                <w:rFonts w:ascii="Arial" w:cs="Arial" w:eastAsia="Arial" w:hAnsi="Arial"/>
                <w:sz w:val="13"/>
                <w:szCs w:val="13"/>
                <w:b w:val="1"/>
                <w:bCs w:val="1"/>
                <w:color w:val="auto"/>
              </w:rPr>
              <w:t>Total Call Options Written</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(Premiums received $1,154,991)</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(1,767,105)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87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191" w:lineRule="exact"/>
        <w:rPr>
          <w:sz w:val="20"/>
          <w:szCs w:val="20"/>
          <w:color w:val="auto"/>
        </w:rPr>
      </w:pPr>
    </w:p>
    <w:p>
      <w:pPr>
        <w:ind w:left="300" w:right="60" w:hanging="299"/>
        <w:spacing w:after="0" w:line="227" w:lineRule="auto"/>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Except with respect to Community Funding 2018, LLC ("CF 2018"), we do not "control" and are not an "affiliate" of any of our investments, as such terms are defined under the Investment Company Act. We may be deemed to control and be an affiliate of CF 2018 because we are the sole member of such entity.</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Par Value in USD, GBP, or EUR.</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Fair Value is determined in good faith in accordance with the Company’s valuation policy and is reviewed and accepted by the Company’s Board of Directors.</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Securities are exempt from registration under Rule 144A of the Securities Act of 1933.</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Investments determined using significant unobservable inputs (Level 3). The value of such securities is $ 150,616,700 or 87.80% of net assets.</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The estimated effective yield including structuring fees paid annually through maturity of 2030 and 2028, respectively, is 9.60%.</w:t>
      </w:r>
    </w:p>
    <w:p>
      <w:pPr>
        <w:ind w:left="300" w:hanging="299"/>
        <w:spacing w:after="0" w:line="238" w:lineRule="auto"/>
        <w:tabs>
          <w:tab w:leader="none" w:pos="300" w:val="left"/>
        </w:tabs>
        <w:numPr>
          <w:ilvl w:val="0"/>
          <w:numId w:val="7"/>
        </w:numPr>
        <w:rPr>
          <w:rFonts w:ascii="Arial" w:cs="Arial" w:eastAsia="Arial" w:hAnsi="Arial"/>
          <w:sz w:val="9"/>
          <w:szCs w:val="9"/>
          <w:color w:val="auto"/>
        </w:rPr>
      </w:pPr>
      <w:r>
        <w:rPr>
          <w:rFonts w:ascii="Arial" w:cs="Arial" w:eastAsia="Arial" w:hAnsi="Arial"/>
          <w:sz w:val="11"/>
          <w:szCs w:val="11"/>
          <w:color w:val="auto"/>
        </w:rPr>
        <w:t>The preferred shares are considered an equity position. Equity investments are entitled to recurring distributions which are generally equal to the remaining cash flow of the payments made by the underlying company’s securities less contractual payments to debt holders and company expenses. The estimated effective yield indicated is based upon a current projection of the amount and timing of these recurring distributions and the estimated amount of repayment of principal upon termination. Such projections are periodically reviewed and adjusted as needed. The estimated effective yield may ultimately not be realized.</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Floating rate note: 30 Day Average SOFR + minimum of 6.10%</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Floating rate note: 90 Day Average SOFR + minimum of 6.50%</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Floating rate note: 3M EURIBOR (Floored at 0%) + minimum of 6.00%</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Floating rate note: SONIA + minimum of 7.20%</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Floating rate note: 1M EURIBOR + minimum of 12.50%</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Floating rate note: 3M SOFR + minimum of 8.76%</w:t>
      </w:r>
    </w:p>
    <w:p>
      <w:pPr>
        <w:ind w:left="300" w:right="300" w:hanging="299"/>
        <w:spacing w:after="0" w:line="218" w:lineRule="auto"/>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As of December 31, 2025, this investment has deferred, undeclared and compounding dividends of $632,683 that will be recognized by ArrowMark Financial Corp. once they are declared by Fidelity Federal Bancorp.</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Non-income producing securities</w:t>
      </w:r>
    </w:p>
    <w:p>
      <w:pPr>
        <w:ind w:left="300" w:right="360" w:hanging="299"/>
        <w:spacing w:after="0" w:line="218" w:lineRule="auto"/>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As of December 31, 2025, this investment has deferred, undeclared and compounding dividends of $45,370 that will be recognized by ArrowMark Financial Corp. once they are declared by Fidelity Federal Bancorp.</w:t>
      </w:r>
    </w:p>
    <w:p>
      <w:pPr>
        <w:ind w:left="300" w:right="200" w:hanging="299"/>
        <w:spacing w:after="0" w:line="218" w:lineRule="auto"/>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As of December 31, 2025, the tax cost basis of investment securities was $194,507,833. The gross unrealized appreciation over tax cost was $8,701,852 and gross unrealized depreciation under tax cost was $6,854,240. Net unrealized depreciation of tax cost under value was $1,847,612.</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Cost values reflect accretion of original issue discount or market discount, and amortization of premium.</w:t>
      </w:r>
    </w:p>
    <w:p>
      <w:pPr>
        <w:ind w:left="300" w:hanging="299"/>
        <w:spacing w:after="0"/>
        <w:tabs>
          <w:tab w:leader="none" w:pos="300" w:val="left"/>
        </w:tabs>
        <w:numPr>
          <w:ilvl w:val="0"/>
          <w:numId w:val="7"/>
        </w:numPr>
        <w:rPr>
          <w:rFonts w:ascii="Arial" w:cs="Arial" w:eastAsia="Arial" w:hAnsi="Arial"/>
          <w:sz w:val="10"/>
          <w:szCs w:val="10"/>
          <w:color w:val="auto"/>
        </w:rPr>
      </w:pPr>
      <w:r>
        <w:rPr>
          <w:rFonts w:ascii="Arial" w:cs="Arial" w:eastAsia="Arial" w:hAnsi="Arial"/>
          <w:sz w:val="12"/>
          <w:szCs w:val="12"/>
          <w:color w:val="auto"/>
        </w:rPr>
        <w:t>Includes $25,200,000 in bank loans from Texas Capital Bank.</w:t>
      </w:r>
    </w:p>
    <w:p>
      <w:pPr>
        <w:ind w:right="5420" w:firstLine="1"/>
        <w:spacing w:after="0" w:line="232" w:lineRule="auto"/>
        <w:tabs>
          <w:tab w:leader="none" w:pos="302" w:val="left"/>
        </w:tabs>
        <w:numPr>
          <w:ilvl w:val="0"/>
          <w:numId w:val="8"/>
        </w:numPr>
        <w:rPr>
          <w:rFonts w:ascii="Arial" w:cs="Arial" w:eastAsia="Arial" w:hAnsi="Arial"/>
          <w:sz w:val="12"/>
          <w:szCs w:val="12"/>
          <w:color w:val="auto"/>
        </w:rPr>
      </w:pPr>
      <w:r>
        <w:rPr>
          <w:rFonts w:ascii="Arial" w:cs="Arial" w:eastAsia="Arial" w:hAnsi="Arial"/>
          <w:sz w:val="12"/>
          <w:szCs w:val="12"/>
          <w:color w:val="auto"/>
        </w:rPr>
        <w:t>Substantially all of the companies portfolio assets are pledged in respect of the Credit Facility (see note 7). ** Held in Marshall Holdings Limited II.</w:t>
      </w:r>
    </w:p>
    <w:p>
      <w:pPr>
        <w:spacing w:after="0" w:line="179" w:lineRule="exact"/>
        <w:rPr>
          <w:sz w:val="20"/>
          <w:szCs w:val="20"/>
          <w:color w:val="auto"/>
        </w:rPr>
      </w:pPr>
    </w:p>
    <w:p>
      <w:pPr>
        <w:spacing w:after="0"/>
        <w:tabs>
          <w:tab w:leader="none" w:pos="560" w:val="left"/>
          <w:tab w:leader="none" w:pos="9200" w:val="left"/>
        </w:tabs>
        <w:rPr>
          <w:sz w:val="20"/>
          <w:szCs w:val="20"/>
          <w:color w:val="auto"/>
        </w:rPr>
      </w:pPr>
      <w:r>
        <w:rPr>
          <w:rFonts w:ascii="Arial" w:cs="Arial" w:eastAsia="Arial" w:hAnsi="Arial"/>
          <w:sz w:val="15"/>
          <w:szCs w:val="15"/>
          <w:color w:val="286B38"/>
        </w:rPr>
        <w:t>9</w:t>
      </w:r>
      <w:r>
        <w:rPr>
          <w:sz w:val="20"/>
          <w:szCs w:val="20"/>
          <w:color w:val="auto"/>
        </w:rPr>
        <w:tab/>
      </w:r>
      <w:r>
        <w:rPr>
          <w:rFonts w:ascii="Arial" w:cs="Arial" w:eastAsia="Arial" w:hAnsi="Arial"/>
          <w:sz w:val="13"/>
          <w:szCs w:val="13"/>
          <w:color w:val="286B38"/>
        </w:rPr>
        <w:t>ArrowMark Financial Corp.</w:t>
      </w:r>
      <w:r>
        <w:rPr>
          <w:rFonts w:ascii="Arial" w:cs="Arial" w:eastAsia="Arial" w:hAnsi="Arial"/>
          <w:sz w:val="13"/>
          <w:szCs w:val="13"/>
          <w:b w:val="1"/>
          <w:bCs w:val="1"/>
          <w:color w:val="286B38"/>
        </w:rPr>
        <w:t>| Annual Report</w:t>
      </w:r>
      <w:r>
        <w:rPr>
          <w:sz w:val="20"/>
          <w:szCs w:val="20"/>
          <w:color w:val="auto"/>
        </w:rPr>
        <w:tab/>
      </w:r>
      <w:r>
        <w:rPr>
          <w:rFonts w:ascii="Arial" w:cs="Arial" w:eastAsia="Arial" w:hAnsi="Arial"/>
          <w:sz w:val="13"/>
          <w:szCs w:val="13"/>
          <w:color w:val="296B38"/>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353060</wp:posOffset>
            </wp:positionV>
            <wp:extent cx="7141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4" w:name="page15"/>
    <w:bookmarkEnd w:id="14"/>
    <w:p>
      <w:pPr>
        <w:ind w:left="360" w:hanging="359"/>
        <w:spacing w:after="0"/>
        <w:tabs>
          <w:tab w:leader="none" w:pos="360" w:val="left"/>
        </w:tabs>
        <w:numPr>
          <w:ilvl w:val="0"/>
          <w:numId w:val="9"/>
        </w:numPr>
        <w:rPr>
          <w:rFonts w:ascii="Times New Roman" w:cs="Times New Roman" w:eastAsia="Times New Roman" w:hAnsi="Times New Roman"/>
          <w:sz w:val="25"/>
          <w:szCs w:val="25"/>
          <w:color w:val="auto"/>
          <w:vertAlign w:val="subscript"/>
        </w:rPr>
      </w:pPr>
      <w:r>
        <w:rPr>
          <w:rFonts w:ascii="Arial" w:cs="Arial" w:eastAsia="Arial" w:hAnsi="Arial"/>
          <w:sz w:val="11"/>
          <w:szCs w:val="11"/>
          <w:color w:val="auto"/>
        </w:rPr>
        <w:t>Held in Marshall Holdings Limited III.</w:t>
      </w:r>
    </w:p>
    <w:p>
      <w:pPr>
        <w:sectPr>
          <w:pgSz w:w="11900" w:h="16838" w:orient="portrait"/>
          <w:cols w:equalWidth="0" w:num="1">
            <w:col w:w="11240"/>
          </w:cols>
          <w:pgMar w:left="320" w:top="202" w:right="33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ABS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EUR</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EURIBOR</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GBP</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SOFR</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SONIA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USD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Asset-Backed Security</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Euro</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Euro London Interbank Offered Rate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British Pound</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Secured Overnight Financing Rate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Sterling Overnight Interbank Average Rate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United States Dollar</w:t>
      </w:r>
    </w:p>
    <w:p>
      <w:pPr>
        <w:spacing w:after="0" w:line="200" w:lineRule="exact"/>
        <w:rPr>
          <w:sz w:val="20"/>
          <w:szCs w:val="20"/>
          <w:color w:val="auto"/>
        </w:rPr>
      </w:pPr>
    </w:p>
    <w:p>
      <w:pPr>
        <w:sectPr>
          <w:pgSz w:w="11900" w:h="16838" w:orient="portrait"/>
          <w:cols w:equalWidth="0" w:num="2">
            <w:col w:w="620" w:space="320"/>
            <w:col w:w="10300"/>
          </w:cols>
          <w:pgMar w:left="320" w:top="202" w:right="339" w:bottom="1440" w:gutter="0" w:footer="0" w:header="0"/>
          <w:type w:val="continuous"/>
        </w:sectPr>
      </w:pP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Affiliated Investments</w:t>
            </w:r>
          </w:p>
        </w:tc>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2"/>
              </w:rPr>
              <w:t>Net</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8"/>
              </w:rPr>
              <w:t>Net Increase</w:t>
            </w: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760" w:type="dxa"/>
            <w:vAlign w:val="bottom"/>
            <w:vMerge w:val="restart"/>
          </w:tcPr>
          <w:p>
            <w:pPr>
              <w:spacing w:after="0"/>
              <w:rPr>
                <w:sz w:val="20"/>
                <w:szCs w:val="20"/>
                <w:color w:val="auto"/>
              </w:rPr>
            </w:pPr>
            <w:r>
              <w:rPr>
                <w:rFonts w:ascii="Arial" w:cs="Arial" w:eastAsia="Arial" w:hAnsi="Arial"/>
                <w:sz w:val="12"/>
                <w:szCs w:val="12"/>
                <w:b w:val="1"/>
                <w:bCs w:val="1"/>
                <w:color w:val="auto"/>
              </w:rPr>
              <w:t>Investments in and advances to Affiliates (as per</w:t>
            </w:r>
          </w:p>
        </w:tc>
        <w:tc>
          <w:tcPr>
            <w:tcW w:w="12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Shares/Principal</w:t>
            </w:r>
          </w:p>
        </w:tc>
        <w:tc>
          <w:tcPr>
            <w:tcW w:w="8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4"/>
              </w:rPr>
              <w:t>Realized</w:t>
            </w:r>
          </w:p>
        </w:tc>
        <w:tc>
          <w:tcPr>
            <w:tcW w:w="10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(Decrease) in</w:t>
            </w: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Interest</w:t>
            </w:r>
          </w:p>
        </w:tc>
        <w:tc>
          <w:tcPr>
            <w:tcW w:w="1200" w:type="dxa"/>
            <w:vAlign w:val="bottom"/>
            <w:vMerge w:val="restart"/>
          </w:tcPr>
          <w:p>
            <w:pPr>
              <w:jc w:val="right"/>
              <w:ind w:right="299"/>
              <w:spacing w:after="0"/>
              <w:rPr>
                <w:sz w:val="20"/>
                <w:szCs w:val="20"/>
                <w:color w:val="auto"/>
              </w:rPr>
            </w:pPr>
            <w:r>
              <w:rPr>
                <w:rFonts w:ascii="Arial" w:cs="Arial" w:eastAsia="Arial" w:hAnsi="Arial"/>
                <w:sz w:val="12"/>
                <w:szCs w:val="12"/>
                <w:b w:val="1"/>
                <w:bCs w:val="1"/>
                <w:color w:val="auto"/>
              </w:rPr>
              <w:t>12/31/2025</w:t>
            </w:r>
          </w:p>
        </w:tc>
        <w:tc>
          <w:tcPr>
            <w:tcW w:w="0" w:type="dxa"/>
            <w:vAlign w:val="bottom"/>
          </w:tcPr>
          <w:p>
            <w:pPr>
              <w:spacing w:after="0"/>
              <w:rPr>
                <w:sz w:val="1"/>
                <w:szCs w:val="1"/>
                <w:color w:val="auto"/>
              </w:rPr>
            </w:pPr>
          </w:p>
        </w:tc>
      </w:tr>
      <w:tr>
        <w:trPr>
          <w:trHeight w:val="126"/>
        </w:trPr>
        <w:tc>
          <w:tcPr>
            <w:tcW w:w="47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9"/>
              </w:rPr>
              <w:t>Gain/Loss</w:t>
            </w:r>
          </w:p>
        </w:tc>
        <w:tc>
          <w:tcPr>
            <w:tcW w:w="10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5"/>
              </w:rPr>
              <w:t>Unrealized</w:t>
            </w:r>
          </w:p>
        </w:tc>
        <w:tc>
          <w:tcPr>
            <w:tcW w:w="9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760" w:type="dxa"/>
            <w:vAlign w:val="bottom"/>
          </w:tcPr>
          <w:p>
            <w:pPr>
              <w:spacing w:after="0"/>
              <w:rPr>
                <w:sz w:val="20"/>
                <w:szCs w:val="20"/>
                <w:color w:val="auto"/>
              </w:rPr>
            </w:pPr>
            <w:r>
              <w:rPr>
                <w:rFonts w:ascii="Arial" w:cs="Arial" w:eastAsia="Arial" w:hAnsi="Arial"/>
                <w:sz w:val="12"/>
                <w:szCs w:val="12"/>
                <w:b w:val="1"/>
                <w:bCs w:val="1"/>
                <w:color w:val="auto"/>
              </w:rPr>
              <w:t>210.12-14) for Period Ended 12/31/2025</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Amount*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for Period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Appreciation</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Received</w:t>
            </w: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206"/>
        </w:trPr>
        <w:tc>
          <w:tcPr>
            <w:tcW w:w="4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Security Name</w:t>
            </w:r>
          </w:p>
        </w:tc>
        <w:tc>
          <w:tcPr>
            <w:tcW w:w="1280" w:type="dxa"/>
            <w:vAlign w:val="bottom"/>
            <w:vMerge w:val="restart"/>
          </w:tcPr>
          <w:p>
            <w:pPr>
              <w:jc w:val="center"/>
              <w:spacing w:after="0"/>
              <w:rPr>
                <w:sz w:val="20"/>
                <w:szCs w:val="20"/>
                <w:color w:val="auto"/>
              </w:rPr>
            </w:pPr>
            <w:r>
              <w:rPr>
                <w:rFonts w:ascii="Arial" w:cs="Arial" w:eastAsia="Arial" w:hAnsi="Arial"/>
                <w:sz w:val="13"/>
                <w:szCs w:val="13"/>
                <w:color w:val="auto"/>
              </w:rPr>
              <w:t>$14,860,000</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6"/>
              </w:rPr>
              <w:t>$–</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$319,898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$1,295,757</w:t>
            </w:r>
          </w:p>
        </w:tc>
        <w:tc>
          <w:tcPr>
            <w:tcW w:w="1200" w:type="dxa"/>
            <w:vAlign w:val="bottom"/>
            <w:vMerge w:val="restart"/>
          </w:tcPr>
          <w:p>
            <w:pPr>
              <w:jc w:val="right"/>
              <w:ind w:right="219"/>
              <w:spacing w:after="0"/>
              <w:rPr>
                <w:sz w:val="20"/>
                <w:szCs w:val="20"/>
                <w:color w:val="auto"/>
              </w:rPr>
            </w:pPr>
            <w:r>
              <w:rPr>
                <w:rFonts w:ascii="Arial" w:cs="Arial" w:eastAsia="Arial" w:hAnsi="Arial"/>
                <w:sz w:val="13"/>
                <w:szCs w:val="13"/>
                <w:color w:val="auto"/>
              </w:rPr>
              <w:t>$11,592,286</w:t>
            </w:r>
          </w:p>
        </w:tc>
        <w:tc>
          <w:tcPr>
            <w:tcW w:w="0" w:type="dxa"/>
            <w:vAlign w:val="bottom"/>
          </w:tcPr>
          <w:p>
            <w:pPr>
              <w:spacing w:after="0"/>
              <w:rPr>
                <w:sz w:val="1"/>
                <w:szCs w:val="1"/>
                <w:color w:val="auto"/>
              </w:rPr>
            </w:pPr>
          </w:p>
        </w:tc>
      </w:tr>
      <w:tr>
        <w:trPr>
          <w:trHeight w:val="168"/>
        </w:trPr>
        <w:tc>
          <w:tcPr>
            <w:tcW w:w="4760" w:type="dxa"/>
            <w:vAlign w:val="bottom"/>
          </w:tcPr>
          <w:p>
            <w:pPr>
              <w:spacing w:after="0"/>
              <w:rPr>
                <w:sz w:val="20"/>
                <w:szCs w:val="20"/>
                <w:color w:val="auto"/>
              </w:rPr>
            </w:pPr>
            <w:r>
              <w:rPr>
                <w:rFonts w:ascii="Arial" w:cs="Arial" w:eastAsia="Arial" w:hAnsi="Arial"/>
                <w:sz w:val="13"/>
                <w:szCs w:val="13"/>
                <w:color w:val="auto"/>
              </w:rPr>
              <w:t>Community Funding 2018, LLC., Preferred shares, 10.83%*</w:t>
            </w:r>
          </w:p>
        </w:tc>
        <w:tc>
          <w:tcPr>
            <w:tcW w:w="12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1787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*The balance at the beginning of the period was $14,860,000. During the period the Fund made no additions or sales of the position and received no paydowns.</w:t>
      </w: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listing of the underlying unsecured loans that were made by Community Funding 2018, LLC.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80" w:type="dxa"/>
            <w:vAlign w:val="bottom"/>
            <w:vMerge w:val="restart"/>
          </w:tcPr>
          <w:p>
            <w:pPr>
              <w:spacing w:after="0"/>
              <w:rPr>
                <w:sz w:val="20"/>
                <w:szCs w:val="20"/>
                <w:color w:val="auto"/>
              </w:rPr>
            </w:pPr>
            <w:r>
              <w:rPr>
                <w:rFonts w:ascii="Arial" w:cs="Arial" w:eastAsia="Arial" w:hAnsi="Arial"/>
                <w:sz w:val="12"/>
                <w:szCs w:val="12"/>
                <w:b w:val="1"/>
                <w:bCs w:val="1"/>
                <w:color w:val="auto"/>
              </w:rPr>
              <w:t>Bank Name</w:t>
            </w:r>
          </w:p>
        </w:tc>
        <w:tc>
          <w:tcPr>
            <w:tcW w:w="140" w:type="dxa"/>
            <w:vAlign w:val="bottom"/>
          </w:tcPr>
          <w:p>
            <w:pPr>
              <w:spacing w:after="0"/>
              <w:rPr>
                <w:sz w:val="12"/>
                <w:szCs w:val="12"/>
                <w:color w:val="auto"/>
              </w:rPr>
            </w:pPr>
          </w:p>
        </w:tc>
        <w:tc>
          <w:tcPr>
            <w:tcW w:w="780" w:type="dxa"/>
            <w:vAlign w:val="bottom"/>
          </w:tcPr>
          <w:p>
            <w:pPr>
              <w:jc w:val="right"/>
              <w:ind w:right="155"/>
              <w:spacing w:after="0"/>
              <w:rPr>
                <w:sz w:val="20"/>
                <w:szCs w:val="20"/>
                <w:color w:val="auto"/>
              </w:rPr>
            </w:pPr>
            <w:r>
              <w:rPr>
                <w:rFonts w:ascii="Arial" w:cs="Arial" w:eastAsia="Arial" w:hAnsi="Arial"/>
                <w:sz w:val="12"/>
                <w:szCs w:val="12"/>
                <w:b w:val="1"/>
                <w:bCs w:val="1"/>
                <w:color w:val="auto"/>
              </w:rPr>
              <w:t>Principal</w:t>
            </w:r>
          </w:p>
        </w:tc>
        <w:tc>
          <w:tcPr>
            <w:tcW w:w="7680" w:type="dxa"/>
            <w:vAlign w:val="bottom"/>
            <w:gridSpan w:val="2"/>
            <w:vMerge w:val="restart"/>
          </w:tcPr>
          <w:p>
            <w:pPr>
              <w:jc w:val="right"/>
              <w:ind w:right="6393"/>
              <w:spacing w:after="0"/>
              <w:rPr>
                <w:sz w:val="20"/>
                <w:szCs w:val="20"/>
                <w:color w:val="auto"/>
              </w:rPr>
            </w:pPr>
            <w:r>
              <w:rPr>
                <w:rFonts w:ascii="Arial" w:cs="Arial" w:eastAsia="Arial" w:hAnsi="Arial"/>
                <w:sz w:val="12"/>
                <w:szCs w:val="12"/>
                <w:b w:val="1"/>
                <w:bCs w:val="1"/>
                <w:color w:val="auto"/>
              </w:rPr>
              <w:t>State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95"/>
              <w:spacing w:after="0"/>
              <w:rPr>
                <w:sz w:val="20"/>
                <w:szCs w:val="20"/>
                <w:color w:val="auto"/>
              </w:rPr>
            </w:pPr>
            <w:r>
              <w:rPr>
                <w:rFonts w:ascii="Arial" w:cs="Arial" w:eastAsia="Arial" w:hAnsi="Arial"/>
                <w:sz w:val="12"/>
                <w:szCs w:val="12"/>
                <w:b w:val="1"/>
                <w:bCs w:val="1"/>
                <w:color w:val="auto"/>
              </w:rPr>
              <w:t>Amount</w:t>
            </w:r>
          </w:p>
        </w:tc>
        <w:tc>
          <w:tcPr>
            <w:tcW w:w="76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80" w:type="dxa"/>
            <w:vAlign w:val="bottom"/>
            <w:tcBorders>
              <w:top w:val="single" w:sz="8" w:color="auto"/>
            </w:tcBorders>
          </w:tcPr>
          <w:p>
            <w:pPr>
              <w:spacing w:after="0" w:line="136" w:lineRule="exact"/>
              <w:rPr>
                <w:sz w:val="20"/>
                <w:szCs w:val="20"/>
                <w:color w:val="auto"/>
              </w:rPr>
            </w:pPr>
            <w:r>
              <w:rPr>
                <w:rFonts w:ascii="Arial" w:cs="Arial" w:eastAsia="Arial" w:hAnsi="Arial"/>
                <w:sz w:val="13"/>
                <w:szCs w:val="13"/>
                <w:color w:val="auto"/>
              </w:rPr>
              <w:t>Big Poppy Holdings, Inc.</w:t>
            </w:r>
          </w:p>
        </w:tc>
        <w:tc>
          <w:tcPr>
            <w:tcW w:w="1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9,000,000</w:t>
            </w:r>
          </w:p>
        </w:tc>
        <w:tc>
          <w:tcPr>
            <w:tcW w:w="1300" w:type="dxa"/>
            <w:vAlign w:val="bottom"/>
            <w:tcBorders>
              <w:top w:val="single" w:sz="8" w:color="auto"/>
            </w:tcBorders>
          </w:tcPr>
          <w:p>
            <w:pPr>
              <w:jc w:val="right"/>
              <w:ind w:right="14"/>
              <w:spacing w:after="0" w:line="136" w:lineRule="exact"/>
              <w:rPr>
                <w:sz w:val="20"/>
                <w:szCs w:val="20"/>
                <w:color w:val="auto"/>
              </w:rPr>
            </w:pPr>
            <w:r>
              <w:rPr>
                <w:rFonts w:ascii="Arial" w:cs="Arial" w:eastAsia="Arial" w:hAnsi="Arial"/>
                <w:sz w:val="13"/>
                <w:szCs w:val="13"/>
                <w:color w:val="auto"/>
              </w:rPr>
              <w:t>California</w:t>
            </w:r>
          </w:p>
        </w:tc>
        <w:tc>
          <w:tcPr>
            <w:tcW w:w="6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20"/>
                <w:szCs w:val="20"/>
                <w:color w:val="auto"/>
              </w:rPr>
            </w:pPr>
            <w:r>
              <w:rPr>
                <w:rFonts w:ascii="Arial" w:cs="Arial" w:eastAsia="Arial" w:hAnsi="Arial"/>
                <w:sz w:val="13"/>
                <w:szCs w:val="13"/>
                <w:color w:val="auto"/>
              </w:rPr>
              <w:t>Delmar Bancorp</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4,500,000</w:t>
            </w:r>
          </w:p>
        </w:tc>
        <w:tc>
          <w:tcPr>
            <w:tcW w:w="7680" w:type="dxa"/>
            <w:vAlign w:val="bottom"/>
            <w:gridSpan w:val="2"/>
          </w:tcPr>
          <w:p>
            <w:pPr>
              <w:jc w:val="right"/>
              <w:ind w:right="6393"/>
              <w:spacing w:after="0"/>
              <w:rPr>
                <w:sz w:val="20"/>
                <w:szCs w:val="20"/>
                <w:color w:val="auto"/>
              </w:rPr>
            </w:pPr>
            <w:r>
              <w:rPr>
                <w:rFonts w:ascii="Arial" w:cs="Arial" w:eastAsia="Arial" w:hAnsi="Arial"/>
                <w:sz w:val="13"/>
                <w:szCs w:val="13"/>
                <w:color w:val="auto"/>
              </w:rPr>
              <w:t>Maryland</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20"/>
                <w:szCs w:val="20"/>
                <w:color w:val="auto"/>
              </w:rPr>
            </w:pPr>
            <w:r>
              <w:rPr>
                <w:rFonts w:ascii="Arial" w:cs="Arial" w:eastAsia="Arial" w:hAnsi="Arial"/>
                <w:sz w:val="13"/>
                <w:szCs w:val="13"/>
                <w:color w:val="auto"/>
              </w:rPr>
              <w:t>Fidelity Federal Bancorp</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8,000,000</w:t>
            </w:r>
          </w:p>
        </w:tc>
        <w:tc>
          <w:tcPr>
            <w:tcW w:w="7680" w:type="dxa"/>
            <w:vAlign w:val="bottom"/>
            <w:gridSpan w:val="2"/>
          </w:tcPr>
          <w:p>
            <w:pPr>
              <w:jc w:val="right"/>
              <w:ind w:right="6393"/>
              <w:spacing w:after="0"/>
              <w:rPr>
                <w:sz w:val="20"/>
                <w:szCs w:val="20"/>
                <w:color w:val="auto"/>
              </w:rPr>
            </w:pPr>
            <w:r>
              <w:rPr>
                <w:rFonts w:ascii="Arial" w:cs="Arial" w:eastAsia="Arial" w:hAnsi="Arial"/>
                <w:sz w:val="13"/>
                <w:szCs w:val="13"/>
                <w:color w:val="auto"/>
              </w:rPr>
              <w:t>Indiana</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20"/>
                <w:szCs w:val="20"/>
                <w:color w:val="auto"/>
              </w:rPr>
            </w:pPr>
            <w:r>
              <w:rPr>
                <w:rFonts w:ascii="Arial" w:cs="Arial" w:eastAsia="Arial" w:hAnsi="Arial"/>
                <w:sz w:val="13"/>
                <w:szCs w:val="13"/>
                <w:color w:val="auto"/>
              </w:rPr>
              <w:t>First Bancshares, Inc.</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7680" w:type="dxa"/>
            <w:vAlign w:val="bottom"/>
            <w:gridSpan w:val="2"/>
          </w:tcPr>
          <w:p>
            <w:pPr>
              <w:jc w:val="right"/>
              <w:ind w:right="6393"/>
              <w:spacing w:after="0"/>
              <w:rPr>
                <w:sz w:val="20"/>
                <w:szCs w:val="20"/>
                <w:color w:val="auto"/>
              </w:rPr>
            </w:pPr>
            <w:r>
              <w:rPr>
                <w:rFonts w:ascii="Arial" w:cs="Arial" w:eastAsia="Arial" w:hAnsi="Arial"/>
                <w:sz w:val="13"/>
                <w:szCs w:val="13"/>
                <w:color w:val="auto"/>
              </w:rPr>
              <w:t>Mississippi</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20"/>
                <w:szCs w:val="20"/>
                <w:color w:val="auto"/>
              </w:rPr>
            </w:pPr>
            <w:r>
              <w:rPr>
                <w:rFonts w:ascii="Arial" w:cs="Arial" w:eastAsia="Arial" w:hAnsi="Arial"/>
                <w:sz w:val="13"/>
                <w:szCs w:val="13"/>
                <w:color w:val="auto"/>
              </w:rPr>
              <w:t>Halbur Bancshares</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3,000,000</w:t>
            </w:r>
          </w:p>
        </w:tc>
        <w:tc>
          <w:tcPr>
            <w:tcW w:w="7680" w:type="dxa"/>
            <w:vAlign w:val="bottom"/>
            <w:gridSpan w:val="2"/>
          </w:tcPr>
          <w:p>
            <w:pPr>
              <w:jc w:val="right"/>
              <w:ind w:right="6393"/>
              <w:spacing w:after="0"/>
              <w:rPr>
                <w:sz w:val="20"/>
                <w:szCs w:val="20"/>
                <w:color w:val="auto"/>
              </w:rPr>
            </w:pPr>
            <w:r>
              <w:rPr>
                <w:rFonts w:ascii="Arial" w:cs="Arial" w:eastAsia="Arial" w:hAnsi="Arial"/>
                <w:sz w:val="13"/>
                <w:szCs w:val="13"/>
                <w:color w:val="auto"/>
              </w:rPr>
              <w:t>Iowa</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20"/>
                <w:szCs w:val="20"/>
                <w:color w:val="auto"/>
              </w:rPr>
            </w:pPr>
            <w:r>
              <w:rPr>
                <w:rFonts w:ascii="Arial" w:cs="Arial" w:eastAsia="Arial" w:hAnsi="Arial"/>
                <w:sz w:val="13"/>
                <w:szCs w:val="13"/>
                <w:color w:val="auto"/>
              </w:rPr>
              <w:t>Vintage Bancorp</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1,650,000</w:t>
            </w:r>
          </w:p>
        </w:tc>
        <w:tc>
          <w:tcPr>
            <w:tcW w:w="7680" w:type="dxa"/>
            <w:vAlign w:val="bottom"/>
            <w:gridSpan w:val="2"/>
          </w:tcPr>
          <w:p>
            <w:pPr>
              <w:jc w:val="right"/>
              <w:ind w:right="6393"/>
              <w:spacing w:after="0"/>
              <w:rPr>
                <w:sz w:val="20"/>
                <w:szCs w:val="20"/>
                <w:color w:val="auto"/>
              </w:rPr>
            </w:pPr>
            <w:r>
              <w:rPr>
                <w:rFonts w:ascii="Arial" w:cs="Arial" w:eastAsia="Arial" w:hAnsi="Arial"/>
                <w:sz w:val="13"/>
                <w:szCs w:val="13"/>
                <w:color w:val="auto"/>
              </w:rPr>
              <w:t>Kansas</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line="144" w:lineRule="exact"/>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36,150,000</w:t>
            </w:r>
          </w:p>
        </w:tc>
        <w:tc>
          <w:tcPr>
            <w:tcW w:w="130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3"/>
                <w:szCs w:val="13"/>
                <w:color w:val="296B38"/>
              </w:rPr>
              <w:t>See Notes to financial statements.</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380" w:type="dxa"/>
            <w:vAlign w:val="bottom"/>
            <w:vMerge w:val="restart"/>
          </w:tcPr>
          <w:p>
            <w:pPr>
              <w:ind w:left="358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360" w:type="dxa"/>
            <w:vAlign w:val="bottom"/>
            <w:vMerge w:val="restart"/>
          </w:tcPr>
          <w:p>
            <w:pPr>
              <w:jc w:val="right"/>
              <w:spacing w:after="0"/>
              <w:rPr>
                <w:sz w:val="20"/>
                <w:szCs w:val="20"/>
                <w:color w:val="auto"/>
              </w:rPr>
            </w:pPr>
            <w:r>
              <w:rPr>
                <w:rFonts w:ascii="Arial" w:cs="Arial" w:eastAsia="Arial" w:hAnsi="Arial"/>
                <w:sz w:val="15"/>
                <w:szCs w:val="15"/>
                <w:color w:val="296B38"/>
              </w:rPr>
              <w:t>10</w:t>
            </w:r>
          </w:p>
        </w:tc>
        <w:tc>
          <w:tcPr>
            <w:tcW w:w="0" w:type="dxa"/>
            <w:vAlign w:val="bottom"/>
          </w:tcPr>
          <w:p>
            <w:pPr>
              <w:spacing w:after="0" w:line="20" w:lineRule="exact"/>
              <w:rPr>
                <w:sz w:val="1"/>
                <w:szCs w:val="1"/>
                <w:color w:val="auto"/>
              </w:rPr>
            </w:pPr>
          </w:p>
        </w:tc>
      </w:tr>
      <w:tr>
        <w:trPr>
          <w:trHeight w:val="352"/>
        </w:trPr>
        <w:tc>
          <w:tcPr>
            <w:tcW w:w="2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02" w:right="33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1597025</wp:posOffset>
            </wp:positionV>
            <wp:extent cx="7141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page">
              <wp:posOffset>426720</wp:posOffset>
            </wp:positionH>
            <wp:positionV relativeFrom="page">
              <wp:posOffset>535940</wp:posOffset>
            </wp:positionV>
            <wp:extent cx="6694805" cy="933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94805" cy="93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3"/>
          <w:szCs w:val="23"/>
          <w:color w:val="296B38"/>
        </w:rPr>
        <w:t xml:space="preserve">Consolidated Statement of Assets and Liabilities </w:t>
      </w:r>
      <w:r>
        <w:rPr>
          <w:rFonts w:ascii="Arial" w:cs="Arial" w:eastAsia="Arial" w:hAnsi="Arial"/>
          <w:sz w:val="15"/>
          <w:szCs w:val="15"/>
          <w:color w:val="296B38"/>
        </w:rPr>
        <w:t>As of December 31,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620" w:type="dxa"/>
            <w:vAlign w:val="bottom"/>
            <w:shd w:val="clear" w:color="auto" w:fill="296B38"/>
          </w:tcPr>
          <w:p>
            <w:pPr>
              <w:spacing w:after="0"/>
              <w:rPr>
                <w:sz w:val="20"/>
                <w:szCs w:val="20"/>
                <w:color w:val="auto"/>
              </w:rPr>
            </w:pPr>
            <w:r>
              <w:rPr>
                <w:rFonts w:ascii="Arial" w:cs="Arial" w:eastAsia="Arial" w:hAnsi="Arial"/>
                <w:sz w:val="13"/>
                <w:szCs w:val="13"/>
                <w:b w:val="1"/>
                <w:bCs w:val="1"/>
                <w:color w:val="FFFFFF"/>
              </w:rPr>
              <w:t>Assets</w:t>
            </w:r>
          </w:p>
        </w:tc>
        <w:tc>
          <w:tcPr>
            <w:tcW w:w="400" w:type="dxa"/>
            <w:vAlign w:val="bottom"/>
            <w:shd w:val="clear" w:color="auto" w:fill="296B38"/>
          </w:tcPr>
          <w:p>
            <w:pPr>
              <w:spacing w:after="0"/>
              <w:rPr>
                <w:sz w:val="13"/>
                <w:szCs w:val="13"/>
                <w:color w:val="auto"/>
              </w:rPr>
            </w:pPr>
          </w:p>
        </w:tc>
        <w:tc>
          <w:tcPr>
            <w:tcW w:w="1060" w:type="dxa"/>
            <w:vAlign w:val="bottom"/>
            <w:shd w:val="clear" w:color="auto" w:fill="296B38"/>
          </w:tcPr>
          <w:p>
            <w:pPr>
              <w:spacing w:after="0"/>
              <w:rPr>
                <w:sz w:val="13"/>
                <w:szCs w:val="13"/>
                <w:color w:val="auto"/>
              </w:rPr>
            </w:pPr>
          </w:p>
        </w:tc>
        <w:tc>
          <w:tcPr>
            <w:tcW w:w="160" w:type="dxa"/>
            <w:vAlign w:val="bottom"/>
            <w:shd w:val="clear" w:color="auto" w:fill="296B38"/>
          </w:tcPr>
          <w:p>
            <w:pPr>
              <w:spacing w:after="0"/>
              <w:rPr>
                <w:sz w:val="13"/>
                <w:szCs w:val="13"/>
                <w:color w:val="auto"/>
              </w:rPr>
            </w:pPr>
          </w:p>
        </w:tc>
      </w:tr>
      <w:tr>
        <w:trPr>
          <w:trHeight w:val="143"/>
        </w:trPr>
        <w:tc>
          <w:tcPr>
            <w:tcW w:w="9620" w:type="dxa"/>
            <w:vAlign w:val="bottom"/>
          </w:tcPr>
          <w:p>
            <w:pPr>
              <w:spacing w:after="0" w:line="143" w:lineRule="exact"/>
              <w:rPr>
                <w:sz w:val="20"/>
                <w:szCs w:val="20"/>
                <w:color w:val="auto"/>
              </w:rPr>
            </w:pPr>
            <w:r>
              <w:rPr>
                <w:rFonts w:ascii="Arial" w:cs="Arial" w:eastAsia="Arial" w:hAnsi="Arial"/>
                <w:sz w:val="13"/>
                <w:szCs w:val="13"/>
                <w:color w:val="auto"/>
              </w:rPr>
              <w:t>Unaffiliated investments in securities, at fair value (Cost $179,750,489)</w:t>
            </w:r>
          </w:p>
        </w:tc>
        <w:tc>
          <w:tcPr>
            <w:tcW w:w="400" w:type="dxa"/>
            <w:vAlign w:val="bottom"/>
          </w:tcPr>
          <w:p>
            <w:pPr>
              <w:jc w:val="right"/>
              <w:ind w:right="253"/>
              <w:spacing w:after="0" w:line="143" w:lineRule="exact"/>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line="143" w:lineRule="exact"/>
              <w:rPr>
                <w:sz w:val="20"/>
                <w:szCs w:val="20"/>
                <w:color w:val="auto"/>
              </w:rPr>
            </w:pPr>
            <w:r>
              <w:rPr>
                <w:rFonts w:ascii="Arial" w:cs="Arial" w:eastAsia="Arial" w:hAnsi="Arial"/>
                <w:sz w:val="13"/>
                <w:szCs w:val="13"/>
                <w:color w:val="auto"/>
              </w:rPr>
              <w:t>184,763,159</w:t>
            </w:r>
          </w:p>
        </w:tc>
        <w:tc>
          <w:tcPr>
            <w:tcW w:w="160" w:type="dxa"/>
            <w:vAlign w:val="bottom"/>
          </w:tcPr>
          <w:p>
            <w:pPr>
              <w:spacing w:after="0"/>
              <w:rPr>
                <w:sz w:val="12"/>
                <w:szCs w:val="12"/>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color w:val="auto"/>
              </w:rPr>
              <w:t>Affiliated investments in securities, at fair value (Cost $14,757,344)</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11,592,286</w:t>
            </w:r>
          </w:p>
        </w:tc>
        <w:tc>
          <w:tcPr>
            <w:tcW w:w="160" w:type="dxa"/>
            <w:vAlign w:val="bottom"/>
          </w:tcPr>
          <w:p>
            <w:pPr>
              <w:spacing w:after="0"/>
              <w:rPr>
                <w:sz w:val="13"/>
                <w:szCs w:val="13"/>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color w:val="auto"/>
              </w:rPr>
              <w:t>Cash</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437,741</w:t>
            </w:r>
          </w:p>
        </w:tc>
        <w:tc>
          <w:tcPr>
            <w:tcW w:w="160" w:type="dxa"/>
            <w:vAlign w:val="bottom"/>
          </w:tcPr>
          <w:p>
            <w:pPr>
              <w:spacing w:after="0"/>
              <w:rPr>
                <w:sz w:val="13"/>
                <w:szCs w:val="13"/>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color w:val="auto"/>
              </w:rPr>
              <w:t>Foreign Cash (Cost $1,810,140)</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1,813,165</w:t>
            </w:r>
          </w:p>
        </w:tc>
        <w:tc>
          <w:tcPr>
            <w:tcW w:w="160" w:type="dxa"/>
            <w:vAlign w:val="bottom"/>
          </w:tcPr>
          <w:p>
            <w:pPr>
              <w:spacing w:after="0"/>
              <w:rPr>
                <w:sz w:val="13"/>
                <w:szCs w:val="13"/>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color w:val="auto"/>
              </w:rPr>
              <w:t>Receivable for investments sold</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846,747</w:t>
            </w:r>
          </w:p>
        </w:tc>
        <w:tc>
          <w:tcPr>
            <w:tcW w:w="160" w:type="dxa"/>
            <w:vAlign w:val="bottom"/>
          </w:tcPr>
          <w:p>
            <w:pPr>
              <w:spacing w:after="0"/>
              <w:rPr>
                <w:sz w:val="13"/>
                <w:szCs w:val="13"/>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color w:val="auto"/>
              </w:rPr>
              <w:t>Interest and dividends receivable</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3,428,332</w:t>
            </w:r>
          </w:p>
        </w:tc>
        <w:tc>
          <w:tcPr>
            <w:tcW w:w="160" w:type="dxa"/>
            <w:vAlign w:val="bottom"/>
          </w:tcPr>
          <w:p>
            <w:pPr>
              <w:spacing w:after="0"/>
              <w:rPr>
                <w:sz w:val="13"/>
                <w:szCs w:val="13"/>
                <w:color w:val="auto"/>
              </w:rPr>
            </w:pPr>
          </w:p>
        </w:tc>
      </w:tr>
      <w:tr>
        <w:trPr>
          <w:trHeight w:val="158"/>
        </w:trPr>
        <w:tc>
          <w:tcPr>
            <w:tcW w:w="9620" w:type="dxa"/>
            <w:vAlign w:val="bottom"/>
          </w:tcPr>
          <w:p>
            <w:pPr>
              <w:spacing w:after="0"/>
              <w:rPr>
                <w:sz w:val="20"/>
                <w:szCs w:val="20"/>
                <w:color w:val="auto"/>
              </w:rPr>
            </w:pPr>
            <w:r>
              <w:rPr>
                <w:rFonts w:ascii="Arial" w:cs="Arial" w:eastAsia="Arial" w:hAnsi="Arial"/>
                <w:sz w:val="13"/>
                <w:szCs w:val="13"/>
                <w:color w:val="auto"/>
              </w:rPr>
              <w:t>Prepaid assets</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868,390</w:t>
            </w:r>
          </w:p>
        </w:tc>
        <w:tc>
          <w:tcPr>
            <w:tcW w:w="160" w:type="dxa"/>
            <w:vAlign w:val="bottom"/>
          </w:tcPr>
          <w:p>
            <w:pPr>
              <w:spacing w:after="0"/>
              <w:rPr>
                <w:sz w:val="13"/>
                <w:szCs w:val="13"/>
                <w:color w:val="auto"/>
              </w:rPr>
            </w:pPr>
          </w:p>
        </w:tc>
      </w:tr>
      <w:tr>
        <w:trPr>
          <w:trHeight w:val="178"/>
        </w:trPr>
        <w:tc>
          <w:tcPr>
            <w:tcW w:w="9620" w:type="dxa"/>
            <w:vAlign w:val="bottom"/>
          </w:tcPr>
          <w:p>
            <w:pPr>
              <w:ind w:left="140"/>
              <w:spacing w:after="0"/>
              <w:rPr>
                <w:sz w:val="20"/>
                <w:szCs w:val="20"/>
                <w:color w:val="auto"/>
              </w:rPr>
            </w:pPr>
            <w:r>
              <w:rPr>
                <w:rFonts w:ascii="Arial" w:cs="Arial" w:eastAsia="Arial" w:hAnsi="Arial"/>
                <w:sz w:val="13"/>
                <w:szCs w:val="13"/>
                <w:b w:val="1"/>
                <w:bCs w:val="1"/>
                <w:color w:val="auto"/>
              </w:rPr>
              <w:t>Total assets</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203,749,820</w:t>
            </w:r>
          </w:p>
        </w:tc>
        <w:tc>
          <w:tcPr>
            <w:tcW w:w="160" w:type="dxa"/>
            <w:vAlign w:val="bottom"/>
          </w:tcPr>
          <w:p>
            <w:pPr>
              <w:spacing w:after="0"/>
              <w:rPr>
                <w:sz w:val="15"/>
                <w:szCs w:val="15"/>
                <w:color w:val="auto"/>
              </w:rPr>
            </w:pPr>
          </w:p>
        </w:tc>
      </w:tr>
      <w:tr>
        <w:trPr>
          <w:trHeight w:val="116"/>
        </w:trPr>
        <w:tc>
          <w:tcPr>
            <w:tcW w:w="9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1"/>
        </w:trPr>
        <w:tc>
          <w:tcPr>
            <w:tcW w:w="9620" w:type="dxa"/>
            <w:vAlign w:val="bottom"/>
            <w:shd w:val="clear" w:color="auto" w:fill="296B38"/>
          </w:tcPr>
          <w:p>
            <w:pPr>
              <w:spacing w:after="0"/>
              <w:rPr>
                <w:sz w:val="20"/>
                <w:szCs w:val="20"/>
                <w:color w:val="auto"/>
              </w:rPr>
            </w:pPr>
            <w:r>
              <w:rPr>
                <w:rFonts w:ascii="Arial" w:cs="Arial" w:eastAsia="Arial" w:hAnsi="Arial"/>
                <w:sz w:val="13"/>
                <w:szCs w:val="13"/>
                <w:b w:val="1"/>
                <w:bCs w:val="1"/>
                <w:color w:val="FFFFFF"/>
              </w:rPr>
              <w:t>Liabilities</w:t>
            </w:r>
          </w:p>
        </w:tc>
        <w:tc>
          <w:tcPr>
            <w:tcW w:w="400" w:type="dxa"/>
            <w:vAlign w:val="bottom"/>
            <w:shd w:val="clear" w:color="auto" w:fill="296B38"/>
          </w:tcPr>
          <w:p>
            <w:pPr>
              <w:spacing w:after="0"/>
              <w:rPr>
                <w:sz w:val="13"/>
                <w:szCs w:val="13"/>
                <w:color w:val="auto"/>
              </w:rPr>
            </w:pPr>
          </w:p>
        </w:tc>
        <w:tc>
          <w:tcPr>
            <w:tcW w:w="1060" w:type="dxa"/>
            <w:vAlign w:val="bottom"/>
            <w:shd w:val="clear" w:color="auto" w:fill="296B38"/>
          </w:tcPr>
          <w:p>
            <w:pPr>
              <w:spacing w:after="0"/>
              <w:rPr>
                <w:sz w:val="13"/>
                <w:szCs w:val="13"/>
                <w:color w:val="auto"/>
              </w:rPr>
            </w:pPr>
          </w:p>
        </w:tc>
        <w:tc>
          <w:tcPr>
            <w:tcW w:w="160" w:type="dxa"/>
            <w:vAlign w:val="bottom"/>
            <w:shd w:val="clear" w:color="auto" w:fill="296B38"/>
          </w:tcPr>
          <w:p>
            <w:pPr>
              <w:spacing w:after="0"/>
              <w:rPr>
                <w:sz w:val="13"/>
                <w:szCs w:val="13"/>
                <w:color w:val="auto"/>
              </w:rPr>
            </w:pPr>
          </w:p>
        </w:tc>
      </w:tr>
      <w:tr>
        <w:trPr>
          <w:trHeight w:val="143"/>
        </w:trPr>
        <w:tc>
          <w:tcPr>
            <w:tcW w:w="9620" w:type="dxa"/>
            <w:vAlign w:val="bottom"/>
          </w:tcPr>
          <w:p>
            <w:pPr>
              <w:spacing w:after="0" w:line="143" w:lineRule="exact"/>
              <w:rPr>
                <w:sz w:val="20"/>
                <w:szCs w:val="20"/>
                <w:color w:val="auto"/>
              </w:rPr>
            </w:pPr>
            <w:r>
              <w:rPr>
                <w:rFonts w:ascii="Arial" w:cs="Arial" w:eastAsia="Arial" w:hAnsi="Arial"/>
                <w:sz w:val="13"/>
                <w:szCs w:val="13"/>
                <w:color w:val="auto"/>
              </w:rPr>
              <w:t>Options written, at value (Premiums received $1,154,991)</w:t>
            </w:r>
          </w:p>
        </w:tc>
        <w:tc>
          <w:tcPr>
            <w:tcW w:w="40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3"/>
                <w:szCs w:val="13"/>
                <w:color w:val="auto"/>
              </w:rPr>
              <w:t>1,767,105</w:t>
            </w:r>
          </w:p>
        </w:tc>
        <w:tc>
          <w:tcPr>
            <w:tcW w:w="160" w:type="dxa"/>
            <w:vAlign w:val="bottom"/>
          </w:tcPr>
          <w:p>
            <w:pPr>
              <w:spacing w:after="0"/>
              <w:rPr>
                <w:sz w:val="12"/>
                <w:szCs w:val="12"/>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color w:val="auto"/>
              </w:rPr>
              <w:t>Loan payable (Note 7)</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25,200,000</w:t>
            </w:r>
          </w:p>
        </w:tc>
        <w:tc>
          <w:tcPr>
            <w:tcW w:w="160" w:type="dxa"/>
            <w:vAlign w:val="bottom"/>
          </w:tcPr>
          <w:p>
            <w:pPr>
              <w:spacing w:after="0"/>
              <w:rPr>
                <w:sz w:val="13"/>
                <w:szCs w:val="13"/>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color w:val="auto"/>
              </w:rPr>
              <w:t>Dividends payable</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3,514,676</w:t>
            </w:r>
          </w:p>
        </w:tc>
        <w:tc>
          <w:tcPr>
            <w:tcW w:w="160" w:type="dxa"/>
            <w:vAlign w:val="bottom"/>
          </w:tcPr>
          <w:p>
            <w:pPr>
              <w:spacing w:after="0"/>
              <w:rPr>
                <w:sz w:val="13"/>
                <w:szCs w:val="13"/>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color w:val="auto"/>
              </w:rPr>
              <w:t>Investment advisory fees payable</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890,937</w:t>
            </w:r>
          </w:p>
        </w:tc>
        <w:tc>
          <w:tcPr>
            <w:tcW w:w="160" w:type="dxa"/>
            <w:vAlign w:val="bottom"/>
          </w:tcPr>
          <w:p>
            <w:pPr>
              <w:spacing w:after="0"/>
              <w:rPr>
                <w:sz w:val="13"/>
                <w:szCs w:val="13"/>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color w:val="auto"/>
              </w:rPr>
              <w:t>Excise tax payable (Note 5)</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234,481</w:t>
            </w:r>
          </w:p>
        </w:tc>
        <w:tc>
          <w:tcPr>
            <w:tcW w:w="160" w:type="dxa"/>
            <w:vAlign w:val="bottom"/>
          </w:tcPr>
          <w:p>
            <w:pPr>
              <w:spacing w:after="0"/>
              <w:rPr>
                <w:sz w:val="13"/>
                <w:szCs w:val="13"/>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color w:val="auto"/>
              </w:rPr>
              <w:t>Loan interest payable</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169,183</w:t>
            </w:r>
          </w:p>
        </w:tc>
        <w:tc>
          <w:tcPr>
            <w:tcW w:w="160" w:type="dxa"/>
            <w:vAlign w:val="bottom"/>
          </w:tcPr>
          <w:p>
            <w:pPr>
              <w:spacing w:after="0"/>
              <w:rPr>
                <w:sz w:val="13"/>
                <w:szCs w:val="13"/>
                <w:color w:val="auto"/>
              </w:rPr>
            </w:pPr>
          </w:p>
        </w:tc>
      </w:tr>
      <w:tr>
        <w:trPr>
          <w:trHeight w:val="158"/>
        </w:trPr>
        <w:tc>
          <w:tcPr>
            <w:tcW w:w="9620" w:type="dxa"/>
            <w:vAlign w:val="bottom"/>
          </w:tcPr>
          <w:p>
            <w:pPr>
              <w:spacing w:after="0"/>
              <w:rPr>
                <w:sz w:val="20"/>
                <w:szCs w:val="20"/>
                <w:color w:val="auto"/>
              </w:rPr>
            </w:pPr>
            <w:r>
              <w:rPr>
                <w:rFonts w:ascii="Arial" w:cs="Arial" w:eastAsia="Arial" w:hAnsi="Arial"/>
                <w:sz w:val="13"/>
                <w:szCs w:val="13"/>
                <w:color w:val="auto"/>
              </w:rPr>
              <w:t>Accrued expenses payable</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431,043</w:t>
            </w:r>
          </w:p>
        </w:tc>
        <w:tc>
          <w:tcPr>
            <w:tcW w:w="160" w:type="dxa"/>
            <w:vAlign w:val="bottom"/>
          </w:tcPr>
          <w:p>
            <w:pPr>
              <w:spacing w:after="0"/>
              <w:rPr>
                <w:sz w:val="13"/>
                <w:szCs w:val="13"/>
                <w:color w:val="auto"/>
              </w:rPr>
            </w:pPr>
          </w:p>
        </w:tc>
      </w:tr>
      <w:tr>
        <w:trPr>
          <w:trHeight w:val="178"/>
        </w:trPr>
        <w:tc>
          <w:tcPr>
            <w:tcW w:w="9620" w:type="dxa"/>
            <w:vAlign w:val="bottom"/>
          </w:tcPr>
          <w:p>
            <w:pPr>
              <w:ind w:left="140"/>
              <w:spacing w:after="0"/>
              <w:rPr>
                <w:sz w:val="20"/>
                <w:szCs w:val="20"/>
                <w:color w:val="auto"/>
              </w:rPr>
            </w:pPr>
            <w:r>
              <w:rPr>
                <w:rFonts w:ascii="Arial" w:cs="Arial" w:eastAsia="Arial" w:hAnsi="Arial"/>
                <w:sz w:val="13"/>
                <w:szCs w:val="13"/>
                <w:b w:val="1"/>
                <w:bCs w:val="1"/>
                <w:color w:val="auto"/>
              </w:rPr>
              <w:t>Total liabilities</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32,207,425</w:t>
            </w:r>
          </w:p>
        </w:tc>
        <w:tc>
          <w:tcPr>
            <w:tcW w:w="160" w:type="dxa"/>
            <w:vAlign w:val="bottom"/>
          </w:tcPr>
          <w:p>
            <w:pPr>
              <w:spacing w:after="0"/>
              <w:rPr>
                <w:sz w:val="15"/>
                <w:szCs w:val="15"/>
                <w:color w:val="auto"/>
              </w:rPr>
            </w:pPr>
          </w:p>
        </w:tc>
      </w:tr>
      <w:tr>
        <w:trPr>
          <w:trHeight w:val="292"/>
        </w:trPr>
        <w:tc>
          <w:tcPr>
            <w:tcW w:w="9620" w:type="dxa"/>
            <w:vAlign w:val="bottom"/>
          </w:tcPr>
          <w:p>
            <w:pPr>
              <w:ind w:left="140"/>
              <w:spacing w:after="0"/>
              <w:rPr>
                <w:sz w:val="20"/>
                <w:szCs w:val="20"/>
                <w:color w:val="auto"/>
              </w:rPr>
            </w:pPr>
            <w:r>
              <w:rPr>
                <w:rFonts w:ascii="Arial" w:cs="Arial" w:eastAsia="Arial" w:hAnsi="Arial"/>
                <w:sz w:val="13"/>
                <w:szCs w:val="13"/>
                <w:b w:val="1"/>
                <w:bCs w:val="1"/>
                <w:color w:val="auto"/>
              </w:rPr>
              <w:t>Net Assets</w:t>
            </w:r>
          </w:p>
        </w:tc>
        <w:tc>
          <w:tcPr>
            <w:tcW w:w="4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171,542,395</w:t>
            </w:r>
          </w:p>
        </w:tc>
        <w:tc>
          <w:tcPr>
            <w:tcW w:w="160" w:type="dxa"/>
            <w:vAlign w:val="bottom"/>
          </w:tcPr>
          <w:p>
            <w:pPr>
              <w:spacing w:after="0"/>
              <w:rPr>
                <w:sz w:val="24"/>
                <w:szCs w:val="24"/>
                <w:color w:val="auto"/>
              </w:rPr>
            </w:pPr>
          </w:p>
        </w:tc>
      </w:tr>
      <w:tr>
        <w:trPr>
          <w:trHeight w:val="20"/>
        </w:trPr>
        <w:tc>
          <w:tcPr>
            <w:tcW w:w="9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8"/>
        </w:trPr>
        <w:tc>
          <w:tcPr>
            <w:tcW w:w="9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1"/>
        </w:trPr>
        <w:tc>
          <w:tcPr>
            <w:tcW w:w="9620" w:type="dxa"/>
            <w:vAlign w:val="bottom"/>
            <w:shd w:val="clear" w:color="auto" w:fill="296B38"/>
          </w:tcPr>
          <w:p>
            <w:pPr>
              <w:spacing w:after="0"/>
              <w:rPr>
                <w:sz w:val="20"/>
                <w:szCs w:val="20"/>
                <w:color w:val="auto"/>
              </w:rPr>
            </w:pPr>
            <w:r>
              <w:rPr>
                <w:rFonts w:ascii="Arial" w:cs="Arial" w:eastAsia="Arial" w:hAnsi="Arial"/>
                <w:sz w:val="13"/>
                <w:szCs w:val="13"/>
                <w:b w:val="1"/>
                <w:bCs w:val="1"/>
                <w:color w:val="FFFFFF"/>
              </w:rPr>
              <w:t>Net assets consist of:</w:t>
            </w:r>
          </w:p>
        </w:tc>
        <w:tc>
          <w:tcPr>
            <w:tcW w:w="400" w:type="dxa"/>
            <w:vAlign w:val="bottom"/>
            <w:shd w:val="clear" w:color="auto" w:fill="296B38"/>
          </w:tcPr>
          <w:p>
            <w:pPr>
              <w:spacing w:after="0"/>
              <w:rPr>
                <w:sz w:val="13"/>
                <w:szCs w:val="13"/>
                <w:color w:val="auto"/>
              </w:rPr>
            </w:pPr>
          </w:p>
        </w:tc>
        <w:tc>
          <w:tcPr>
            <w:tcW w:w="1060" w:type="dxa"/>
            <w:vAlign w:val="bottom"/>
            <w:shd w:val="clear" w:color="auto" w:fill="296B38"/>
          </w:tcPr>
          <w:p>
            <w:pPr>
              <w:spacing w:after="0"/>
              <w:rPr>
                <w:sz w:val="13"/>
                <w:szCs w:val="13"/>
                <w:color w:val="auto"/>
              </w:rPr>
            </w:pPr>
          </w:p>
        </w:tc>
        <w:tc>
          <w:tcPr>
            <w:tcW w:w="160" w:type="dxa"/>
            <w:vAlign w:val="bottom"/>
            <w:shd w:val="clear" w:color="auto" w:fill="296B38"/>
          </w:tcPr>
          <w:p>
            <w:pPr>
              <w:spacing w:after="0"/>
              <w:rPr>
                <w:sz w:val="13"/>
                <w:szCs w:val="13"/>
                <w:color w:val="auto"/>
              </w:rPr>
            </w:pPr>
          </w:p>
        </w:tc>
      </w:tr>
      <w:tr>
        <w:trPr>
          <w:trHeight w:val="143"/>
        </w:trPr>
        <w:tc>
          <w:tcPr>
            <w:tcW w:w="9620" w:type="dxa"/>
            <w:vAlign w:val="bottom"/>
          </w:tcPr>
          <w:p>
            <w:pPr>
              <w:spacing w:after="0" w:line="143" w:lineRule="exact"/>
              <w:rPr>
                <w:sz w:val="20"/>
                <w:szCs w:val="20"/>
                <w:color w:val="auto"/>
              </w:rPr>
            </w:pPr>
            <w:r>
              <w:rPr>
                <w:rFonts w:ascii="Arial" w:cs="Arial" w:eastAsia="Arial" w:hAnsi="Arial"/>
                <w:sz w:val="13"/>
                <w:szCs w:val="13"/>
                <w:color w:val="auto"/>
              </w:rPr>
              <w:t>Common stock, at par ($0.001 per share)</w:t>
            </w:r>
          </w:p>
        </w:tc>
        <w:tc>
          <w:tcPr>
            <w:tcW w:w="400" w:type="dxa"/>
            <w:vAlign w:val="bottom"/>
          </w:tcPr>
          <w:p>
            <w:pPr>
              <w:jc w:val="right"/>
              <w:ind w:right="253"/>
              <w:spacing w:after="0" w:line="143" w:lineRule="exact"/>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line="143" w:lineRule="exact"/>
              <w:rPr>
                <w:sz w:val="20"/>
                <w:szCs w:val="20"/>
                <w:color w:val="auto"/>
              </w:rPr>
            </w:pPr>
            <w:r>
              <w:rPr>
                <w:rFonts w:ascii="Arial" w:cs="Arial" w:eastAsia="Arial" w:hAnsi="Arial"/>
                <w:sz w:val="13"/>
                <w:szCs w:val="13"/>
                <w:color w:val="auto"/>
              </w:rPr>
              <w:t>7,810</w:t>
            </w:r>
          </w:p>
        </w:tc>
        <w:tc>
          <w:tcPr>
            <w:tcW w:w="160" w:type="dxa"/>
            <w:vAlign w:val="bottom"/>
          </w:tcPr>
          <w:p>
            <w:pPr>
              <w:spacing w:after="0"/>
              <w:rPr>
                <w:sz w:val="12"/>
                <w:szCs w:val="12"/>
                <w:color w:val="auto"/>
              </w:rPr>
            </w:pPr>
          </w:p>
        </w:tc>
      </w:tr>
      <w:tr>
        <w:trPr>
          <w:trHeight w:val="151"/>
        </w:trPr>
        <w:tc>
          <w:tcPr>
            <w:tcW w:w="9620" w:type="dxa"/>
            <w:vAlign w:val="bottom"/>
          </w:tcPr>
          <w:p>
            <w:pPr>
              <w:spacing w:after="0"/>
              <w:rPr>
                <w:sz w:val="20"/>
                <w:szCs w:val="20"/>
                <w:color w:val="auto"/>
              </w:rPr>
            </w:pPr>
            <w:r>
              <w:rPr>
                <w:rFonts w:ascii="Arial" w:cs="Arial" w:eastAsia="Arial" w:hAnsi="Arial"/>
                <w:sz w:val="13"/>
                <w:szCs w:val="13"/>
                <w:color w:val="auto"/>
              </w:rPr>
              <w:t>Paid-in capital</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170,959,496</w:t>
            </w:r>
          </w:p>
        </w:tc>
        <w:tc>
          <w:tcPr>
            <w:tcW w:w="160" w:type="dxa"/>
            <w:vAlign w:val="bottom"/>
          </w:tcPr>
          <w:p>
            <w:pPr>
              <w:spacing w:after="0"/>
              <w:rPr>
                <w:sz w:val="13"/>
                <w:szCs w:val="13"/>
                <w:color w:val="auto"/>
              </w:rPr>
            </w:pPr>
          </w:p>
        </w:tc>
      </w:tr>
      <w:tr>
        <w:trPr>
          <w:trHeight w:val="158"/>
        </w:trPr>
        <w:tc>
          <w:tcPr>
            <w:tcW w:w="9620" w:type="dxa"/>
            <w:vAlign w:val="bottom"/>
          </w:tcPr>
          <w:p>
            <w:pPr>
              <w:spacing w:after="0"/>
              <w:rPr>
                <w:sz w:val="20"/>
                <w:szCs w:val="20"/>
                <w:color w:val="auto"/>
              </w:rPr>
            </w:pPr>
            <w:r>
              <w:rPr>
                <w:rFonts w:ascii="Arial" w:cs="Arial" w:eastAsia="Arial" w:hAnsi="Arial"/>
                <w:sz w:val="13"/>
                <w:szCs w:val="13"/>
                <w:color w:val="auto"/>
              </w:rPr>
              <w:t>Total distributable earnings (loss)</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575,089</w:t>
            </w:r>
          </w:p>
        </w:tc>
        <w:tc>
          <w:tcPr>
            <w:tcW w:w="160" w:type="dxa"/>
            <w:vAlign w:val="bottom"/>
          </w:tcPr>
          <w:p>
            <w:pPr>
              <w:spacing w:after="0"/>
              <w:rPr>
                <w:sz w:val="13"/>
                <w:szCs w:val="13"/>
                <w:color w:val="auto"/>
              </w:rPr>
            </w:pPr>
          </w:p>
        </w:tc>
      </w:tr>
      <w:tr>
        <w:trPr>
          <w:trHeight w:val="156"/>
        </w:trPr>
        <w:tc>
          <w:tcPr>
            <w:tcW w:w="9620" w:type="dxa"/>
            <w:vAlign w:val="bottom"/>
          </w:tcPr>
          <w:p>
            <w:pPr>
              <w:ind w:left="140"/>
              <w:spacing w:after="0"/>
              <w:rPr>
                <w:sz w:val="20"/>
                <w:szCs w:val="20"/>
                <w:color w:val="auto"/>
              </w:rPr>
            </w:pPr>
            <w:r>
              <w:rPr>
                <w:rFonts w:ascii="Arial" w:cs="Arial" w:eastAsia="Arial" w:hAnsi="Arial"/>
                <w:sz w:val="13"/>
                <w:szCs w:val="13"/>
                <w:b w:val="1"/>
                <w:bCs w:val="1"/>
                <w:color w:val="auto"/>
              </w:rPr>
              <w:t>Net Assets</w:t>
            </w:r>
          </w:p>
        </w:tc>
        <w:tc>
          <w:tcPr>
            <w:tcW w:w="4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171,542,395</w:t>
            </w:r>
          </w:p>
        </w:tc>
        <w:tc>
          <w:tcPr>
            <w:tcW w:w="160" w:type="dxa"/>
            <w:vAlign w:val="bottom"/>
          </w:tcPr>
          <w:p>
            <w:pPr>
              <w:spacing w:after="0"/>
              <w:rPr>
                <w:sz w:val="13"/>
                <w:szCs w:val="13"/>
                <w:color w:val="auto"/>
              </w:rPr>
            </w:pPr>
          </w:p>
        </w:tc>
      </w:tr>
      <w:tr>
        <w:trPr>
          <w:trHeight w:val="20"/>
        </w:trPr>
        <w:tc>
          <w:tcPr>
            <w:tcW w:w="9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Arial" w:cs="Arial" w:eastAsia="Arial" w:hAnsi="Arial"/>
          <w:sz w:val="13"/>
          <w:szCs w:val="13"/>
          <w:b w:val="1"/>
          <w:bCs w:val="1"/>
          <w:color w:val="FFFFFF"/>
        </w:rPr>
        <w:t>Net asset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141845" cy="95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845" cy="958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Common Stock Shares Outstanding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Net asset value per common share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Market price per share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Market price discount to net asset value per share</w:t>
      </w:r>
    </w:p>
    <w:p>
      <w:pPr>
        <w:spacing w:after="0" w:line="201" w:lineRule="exact"/>
        <w:rPr>
          <w:sz w:val="20"/>
          <w:szCs w:val="20"/>
          <w:color w:val="auto"/>
        </w:rPr>
      </w:pPr>
    </w:p>
    <w:p>
      <w:pPr>
        <w:ind w:left="580" w:hanging="579"/>
        <w:spacing w:after="0"/>
        <w:tabs>
          <w:tab w:leader="none" w:pos="580" w:val="left"/>
        </w:tabs>
        <w:numPr>
          <w:ilvl w:val="0"/>
          <w:numId w:val="10"/>
        </w:numPr>
        <w:rPr>
          <w:rFonts w:ascii="Arial" w:cs="Arial" w:eastAsia="Arial" w:hAnsi="Arial"/>
          <w:sz w:val="15"/>
          <w:szCs w:val="15"/>
          <w:color w:val="286B38"/>
        </w:rPr>
      </w:pPr>
      <w:r>
        <w:rPr>
          <w:rFonts w:ascii="Arial" w:cs="Arial" w:eastAsia="Arial" w:hAnsi="Arial"/>
          <w:sz w:val="13"/>
          <w:szCs w:val="13"/>
          <w:color w:val="286B38"/>
        </w:rPr>
        <w:t>ArrowMark Financial Corp.</w:t>
      </w:r>
      <w:r>
        <w:rPr>
          <w:rFonts w:ascii="Arial" w:cs="Arial" w:eastAsia="Arial" w:hAnsi="Arial"/>
          <w:sz w:val="13"/>
          <w:szCs w:val="13"/>
          <w:b w:val="1"/>
          <w:bCs w:val="1"/>
          <w:color w:val="28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271780</wp:posOffset>
            </wp:positionV>
            <wp:extent cx="71418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7,810,362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6985</wp:posOffset>
            </wp:positionV>
            <wp:extent cx="917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8" w:lineRule="exact"/>
        <w:rPr>
          <w:sz w:val="20"/>
          <w:szCs w:val="20"/>
          <w:color w:val="auto"/>
        </w:rPr>
      </w:pPr>
    </w:p>
    <w:p>
      <w:pPr>
        <w:ind w:left="1520" w:hanging="1114"/>
        <w:spacing w:after="0"/>
        <w:tabs>
          <w:tab w:leader="none" w:pos="152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21.96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-1270</wp:posOffset>
            </wp:positionV>
            <wp:extent cx="9175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1520" w:hanging="1114"/>
        <w:spacing w:after="0"/>
        <w:tabs>
          <w:tab w:leader="none" w:pos="152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21.82</w:t>
      </w:r>
    </w:p>
    <w:p>
      <w:pPr>
        <w:spacing w:after="0" w:line="1" w:lineRule="exact"/>
        <w:rPr>
          <w:rFonts w:ascii="Arial" w:cs="Arial" w:eastAsia="Arial" w:hAnsi="Arial"/>
          <w:sz w:val="13"/>
          <w:szCs w:val="13"/>
          <w:b w:val="1"/>
          <w:bCs w:val="1"/>
          <w:color w:val="auto"/>
        </w:rPr>
      </w:pPr>
    </w:p>
    <w:p>
      <w:pPr>
        <w:ind w:left="15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5715</wp:posOffset>
            </wp:positionV>
            <wp:extent cx="917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-97155</wp:posOffset>
            </wp:positionV>
            <wp:extent cx="917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296B38"/>
        </w:rPr>
        <w:t>See Notes to financial statements.</w:t>
      </w:r>
    </w:p>
    <w:p>
      <w:pPr>
        <w:sectPr>
          <w:pgSz w:w="11900" w:h="16838" w:orient="portrait"/>
          <w:cols w:equalWidth="0" w:num="2">
            <w:col w:w="8500" w:space="720"/>
            <w:col w:w="2020"/>
          </w:cols>
          <w:pgMar w:left="320" w:top="144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3"/>
          <w:szCs w:val="23"/>
          <w:color w:val="296B38"/>
        </w:rPr>
        <w:drawing>
          <wp:anchor simplePos="0" relativeHeight="251657728" behindDoc="1" locked="0" layoutInCell="0" allowOverlap="1">
            <wp:simplePos x="0" y="0"/>
            <wp:positionH relativeFrom="page">
              <wp:posOffset>203835</wp:posOffset>
            </wp:positionH>
            <wp:positionV relativeFrom="page">
              <wp:posOffset>408305</wp:posOffset>
            </wp:positionV>
            <wp:extent cx="71418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845" cy="8255"/>
                    </a:xfrm>
                    <a:prstGeom prst="rect">
                      <a:avLst/>
                    </a:prstGeom>
                    <a:noFill/>
                  </pic:spPr>
                </pic:pic>
              </a:graphicData>
            </a:graphic>
          </wp:anchor>
        </w:drawing>
        <w:t xml:space="preserve">Consolidated Statement of Operations </w:t>
      </w:r>
      <w:r>
        <w:rPr>
          <w:rFonts w:ascii="Arial" w:cs="Arial" w:eastAsia="Arial" w:hAnsi="Arial"/>
          <w:sz w:val="15"/>
          <w:szCs w:val="15"/>
          <w:color w:val="296B38"/>
        </w:rPr>
        <w:t>For the Year Ended December 31, 2025</w:t>
      </w:r>
    </w:p>
    <w:p>
      <w:pPr>
        <w:spacing w:after="0" w:line="237" w:lineRule="exact"/>
        <w:rPr>
          <w:sz w:val="20"/>
          <w:szCs w:val="20"/>
          <w:color w:val="auto"/>
        </w:rPr>
      </w:pPr>
    </w:p>
    <w:p>
      <w:pPr>
        <w:ind w:right="480"/>
        <w:spacing w:after="0" w:line="263" w:lineRule="auto"/>
        <w:rPr>
          <w:sz w:val="20"/>
          <w:szCs w:val="20"/>
          <w:color w:val="auto"/>
        </w:rPr>
      </w:pPr>
      <w:r>
        <w:rPr>
          <w:rFonts w:ascii="Arial" w:cs="Arial" w:eastAsia="Arial" w:hAnsi="Arial"/>
          <w:sz w:val="16"/>
          <w:szCs w:val="16"/>
          <w:color w:val="auto"/>
        </w:rPr>
        <w:t>This Statement of Operations summarizes the Company’s investment income earned and expenses incurred in operating the Company. It also shows net gains (losses) for the period stated.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300" w:type="dxa"/>
            <w:vAlign w:val="bottom"/>
            <w:shd w:val="clear" w:color="auto" w:fill="296B38"/>
          </w:tcPr>
          <w:p>
            <w:pPr>
              <w:ind w:left="20"/>
              <w:spacing w:after="0"/>
              <w:rPr>
                <w:sz w:val="20"/>
                <w:szCs w:val="20"/>
                <w:color w:val="auto"/>
              </w:rPr>
            </w:pPr>
            <w:r>
              <w:rPr>
                <w:rFonts w:ascii="Arial" w:cs="Arial" w:eastAsia="Arial" w:hAnsi="Arial"/>
                <w:sz w:val="13"/>
                <w:szCs w:val="13"/>
                <w:b w:val="1"/>
                <w:bCs w:val="1"/>
                <w:color w:val="FFFFFF"/>
              </w:rPr>
              <w:t>Investment Income</w:t>
            </w:r>
          </w:p>
        </w:tc>
        <w:tc>
          <w:tcPr>
            <w:tcW w:w="3220" w:type="dxa"/>
            <w:vAlign w:val="bottom"/>
            <w:shd w:val="clear" w:color="auto" w:fill="296B38"/>
          </w:tcPr>
          <w:p>
            <w:pPr>
              <w:spacing w:after="0"/>
              <w:rPr>
                <w:sz w:val="13"/>
                <w:szCs w:val="13"/>
                <w:color w:val="auto"/>
              </w:rPr>
            </w:pPr>
          </w:p>
        </w:tc>
        <w:tc>
          <w:tcPr>
            <w:tcW w:w="380" w:type="dxa"/>
            <w:vAlign w:val="bottom"/>
            <w:shd w:val="clear" w:color="auto" w:fill="296B38"/>
          </w:tcPr>
          <w:p>
            <w:pPr>
              <w:spacing w:after="0"/>
              <w:rPr>
                <w:sz w:val="13"/>
                <w:szCs w:val="13"/>
                <w:color w:val="auto"/>
              </w:rPr>
            </w:pPr>
          </w:p>
        </w:tc>
        <w:tc>
          <w:tcPr>
            <w:tcW w:w="20" w:type="dxa"/>
            <w:vAlign w:val="bottom"/>
            <w:shd w:val="clear" w:color="auto" w:fill="296B38"/>
          </w:tcPr>
          <w:p>
            <w:pPr>
              <w:spacing w:after="0"/>
              <w:rPr>
                <w:sz w:val="13"/>
                <w:szCs w:val="13"/>
                <w:color w:val="auto"/>
              </w:rPr>
            </w:pPr>
          </w:p>
        </w:tc>
        <w:tc>
          <w:tcPr>
            <w:tcW w:w="180" w:type="dxa"/>
            <w:vAlign w:val="bottom"/>
            <w:shd w:val="clear" w:color="auto" w:fill="296B38"/>
          </w:tcPr>
          <w:p>
            <w:pPr>
              <w:spacing w:after="0"/>
              <w:rPr>
                <w:sz w:val="13"/>
                <w:szCs w:val="13"/>
                <w:color w:val="auto"/>
              </w:rPr>
            </w:pPr>
          </w:p>
        </w:tc>
        <w:tc>
          <w:tcPr>
            <w:tcW w:w="620" w:type="dxa"/>
            <w:vAlign w:val="bottom"/>
            <w:shd w:val="clear" w:color="auto" w:fill="296B38"/>
          </w:tcPr>
          <w:p>
            <w:pPr>
              <w:spacing w:after="0"/>
              <w:rPr>
                <w:sz w:val="13"/>
                <w:szCs w:val="13"/>
                <w:color w:val="auto"/>
              </w:rPr>
            </w:pPr>
          </w:p>
        </w:tc>
        <w:tc>
          <w:tcPr>
            <w:tcW w:w="420" w:type="dxa"/>
            <w:vAlign w:val="bottom"/>
            <w:shd w:val="clear" w:color="auto" w:fill="296B38"/>
          </w:tcPr>
          <w:p>
            <w:pPr>
              <w:spacing w:after="0"/>
              <w:rPr>
                <w:sz w:val="13"/>
                <w:szCs w:val="13"/>
                <w:color w:val="auto"/>
              </w:rPr>
            </w:pPr>
          </w:p>
        </w:tc>
        <w:tc>
          <w:tcPr>
            <w:tcW w:w="20" w:type="dxa"/>
            <w:vAlign w:val="bottom"/>
            <w:shd w:val="clear" w:color="auto" w:fill="296B38"/>
          </w:tcPr>
          <w:p>
            <w:pPr>
              <w:spacing w:after="0"/>
              <w:rPr>
                <w:sz w:val="13"/>
                <w:szCs w:val="13"/>
                <w:color w:val="auto"/>
              </w:rPr>
            </w:pPr>
          </w:p>
        </w:tc>
        <w:tc>
          <w:tcPr>
            <w:tcW w:w="80" w:type="dxa"/>
            <w:vAlign w:val="bottom"/>
            <w:shd w:val="clear" w:color="auto" w:fill="296B38"/>
          </w:tcPr>
          <w:p>
            <w:pPr>
              <w:spacing w:after="0"/>
              <w:rPr>
                <w:sz w:val="13"/>
                <w:szCs w:val="13"/>
                <w:color w:val="auto"/>
              </w:rPr>
            </w:pPr>
          </w:p>
        </w:tc>
      </w:tr>
      <w:tr>
        <w:trPr>
          <w:trHeight w:val="143"/>
        </w:trPr>
        <w:tc>
          <w:tcPr>
            <w:tcW w:w="6300" w:type="dxa"/>
            <w:vAlign w:val="bottom"/>
          </w:tcPr>
          <w:p>
            <w:pPr>
              <w:ind w:left="20"/>
              <w:spacing w:after="0" w:line="143" w:lineRule="exact"/>
              <w:rPr>
                <w:sz w:val="20"/>
                <w:szCs w:val="20"/>
                <w:color w:val="auto"/>
              </w:rPr>
            </w:pPr>
            <w:r>
              <w:rPr>
                <w:rFonts w:ascii="Arial" w:cs="Arial" w:eastAsia="Arial" w:hAnsi="Arial"/>
                <w:sz w:val="13"/>
                <w:szCs w:val="13"/>
                <w:color w:val="231F20"/>
              </w:rPr>
              <w:t>Interest from unaffiliated investments</w:t>
            </w:r>
          </w:p>
        </w:tc>
        <w:tc>
          <w:tcPr>
            <w:tcW w:w="3220" w:type="dxa"/>
            <w:vAlign w:val="bottom"/>
          </w:tcPr>
          <w:p>
            <w:pPr>
              <w:spacing w:after="0"/>
              <w:rPr>
                <w:sz w:val="12"/>
                <w:szCs w:val="12"/>
                <w:color w:val="auto"/>
              </w:rPr>
            </w:pPr>
          </w:p>
        </w:tc>
        <w:tc>
          <w:tcPr>
            <w:tcW w:w="580" w:type="dxa"/>
            <w:vAlign w:val="bottom"/>
            <w:gridSpan w:val="3"/>
          </w:tcPr>
          <w:p>
            <w:pPr>
              <w:jc w:val="right"/>
              <w:ind w:right="120"/>
              <w:spacing w:after="0" w:line="143" w:lineRule="exact"/>
              <w:rPr>
                <w:sz w:val="20"/>
                <w:szCs w:val="20"/>
                <w:color w:val="auto"/>
              </w:rPr>
            </w:pPr>
            <w:r>
              <w:rPr>
                <w:rFonts w:ascii="Arial" w:cs="Arial" w:eastAsia="Arial" w:hAnsi="Arial"/>
                <w:sz w:val="13"/>
                <w:szCs w:val="13"/>
                <w:color w:val="231F20"/>
              </w:rPr>
              <w:t>$</w:t>
            </w:r>
          </w:p>
        </w:tc>
        <w:tc>
          <w:tcPr>
            <w:tcW w:w="1060" w:type="dxa"/>
            <w:vAlign w:val="bottom"/>
            <w:gridSpan w:val="3"/>
          </w:tcPr>
          <w:p>
            <w:pPr>
              <w:jc w:val="right"/>
              <w:ind w:right="20"/>
              <w:spacing w:after="0" w:line="143" w:lineRule="exact"/>
              <w:rPr>
                <w:sz w:val="20"/>
                <w:szCs w:val="20"/>
                <w:color w:val="auto"/>
              </w:rPr>
            </w:pPr>
            <w:r>
              <w:rPr>
                <w:rFonts w:ascii="Arial" w:cs="Arial" w:eastAsia="Arial" w:hAnsi="Arial"/>
                <w:sz w:val="13"/>
                <w:szCs w:val="13"/>
                <w:color w:val="auto"/>
              </w:rPr>
              <w:t>24,873,025</w:t>
            </w:r>
          </w:p>
        </w:tc>
        <w:tc>
          <w:tcPr>
            <w:tcW w:w="80" w:type="dxa"/>
            <w:vAlign w:val="bottom"/>
          </w:tcPr>
          <w:p>
            <w:pPr>
              <w:spacing w:after="0"/>
              <w:rPr>
                <w:sz w:val="12"/>
                <w:szCs w:val="12"/>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Interest from affiliated investments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1,295,757</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Dividends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129,124</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Origination fee income (Note 9)</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128,660</w:t>
            </w:r>
          </w:p>
        </w:tc>
        <w:tc>
          <w:tcPr>
            <w:tcW w:w="80" w:type="dxa"/>
            <w:vAlign w:val="bottom"/>
          </w:tcPr>
          <w:p>
            <w:pPr>
              <w:spacing w:after="0"/>
              <w:rPr>
                <w:sz w:val="13"/>
                <w:szCs w:val="13"/>
                <w:color w:val="auto"/>
              </w:rPr>
            </w:pPr>
          </w:p>
        </w:tc>
      </w:tr>
      <w:tr>
        <w:trPr>
          <w:trHeight w:val="171"/>
        </w:trPr>
        <w:tc>
          <w:tcPr>
            <w:tcW w:w="6300" w:type="dxa"/>
            <w:vAlign w:val="bottom"/>
          </w:tcPr>
          <w:p>
            <w:pPr>
              <w:ind w:left="20"/>
              <w:spacing w:after="0"/>
              <w:rPr>
                <w:sz w:val="20"/>
                <w:szCs w:val="20"/>
                <w:color w:val="auto"/>
              </w:rPr>
            </w:pPr>
            <w:r>
              <w:rPr>
                <w:rFonts w:ascii="Arial" w:cs="Arial" w:eastAsia="Arial" w:hAnsi="Arial"/>
                <w:sz w:val="13"/>
                <w:szCs w:val="13"/>
                <w:color w:val="231F20"/>
              </w:rPr>
              <w:t>Other income (Note 9)</w:t>
            </w:r>
          </w:p>
        </w:tc>
        <w:tc>
          <w:tcPr>
            <w:tcW w:w="3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108,430</w:t>
            </w:r>
          </w:p>
        </w:tc>
        <w:tc>
          <w:tcPr>
            <w:tcW w:w="80" w:type="dxa"/>
            <w:vAlign w:val="bottom"/>
          </w:tcPr>
          <w:p>
            <w:pPr>
              <w:spacing w:after="0"/>
              <w:rPr>
                <w:sz w:val="14"/>
                <w:szCs w:val="14"/>
                <w:color w:val="auto"/>
              </w:rPr>
            </w:pPr>
          </w:p>
        </w:tc>
      </w:tr>
      <w:tr>
        <w:trPr>
          <w:trHeight w:val="181"/>
        </w:trPr>
        <w:tc>
          <w:tcPr>
            <w:tcW w:w="6300" w:type="dxa"/>
            <w:vAlign w:val="bottom"/>
          </w:tcPr>
          <w:p>
            <w:pPr>
              <w:ind w:left="20"/>
              <w:spacing w:after="0"/>
              <w:rPr>
                <w:sz w:val="20"/>
                <w:szCs w:val="20"/>
                <w:color w:val="auto"/>
              </w:rPr>
            </w:pPr>
            <w:r>
              <w:rPr>
                <w:rFonts w:ascii="Arial" w:cs="Arial" w:eastAsia="Arial" w:hAnsi="Arial"/>
                <w:sz w:val="13"/>
                <w:szCs w:val="13"/>
                <w:b w:val="1"/>
                <w:bCs w:val="1"/>
                <w:color w:val="231F20"/>
              </w:rPr>
              <w:t>Total investment income</w:t>
            </w:r>
          </w:p>
        </w:tc>
        <w:tc>
          <w:tcPr>
            <w:tcW w:w="3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b w:val="1"/>
                <w:bCs w:val="1"/>
                <w:color w:val="231F20"/>
              </w:rPr>
              <w:t>26,534,996</w:t>
            </w:r>
          </w:p>
        </w:tc>
        <w:tc>
          <w:tcPr>
            <w:tcW w:w="80" w:type="dxa"/>
            <w:vAlign w:val="bottom"/>
          </w:tcPr>
          <w:p>
            <w:pPr>
              <w:spacing w:after="0"/>
              <w:rPr>
                <w:sz w:val="15"/>
                <w:szCs w:val="15"/>
                <w:color w:val="auto"/>
              </w:rPr>
            </w:pPr>
          </w:p>
        </w:tc>
      </w:tr>
      <w:tr>
        <w:trPr>
          <w:trHeight w:val="176"/>
        </w:trPr>
        <w:tc>
          <w:tcPr>
            <w:tcW w:w="6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1"/>
        </w:trPr>
        <w:tc>
          <w:tcPr>
            <w:tcW w:w="6300" w:type="dxa"/>
            <w:vAlign w:val="bottom"/>
            <w:shd w:val="clear" w:color="auto" w:fill="286B38"/>
          </w:tcPr>
          <w:p>
            <w:pPr>
              <w:spacing w:after="0"/>
              <w:rPr>
                <w:sz w:val="20"/>
                <w:szCs w:val="20"/>
                <w:color w:val="auto"/>
              </w:rPr>
            </w:pPr>
            <w:r>
              <w:rPr>
                <w:rFonts w:ascii="Arial" w:cs="Arial" w:eastAsia="Arial" w:hAnsi="Arial"/>
                <w:sz w:val="13"/>
                <w:szCs w:val="13"/>
                <w:b w:val="1"/>
                <w:bCs w:val="1"/>
                <w:color w:val="FFFFFF"/>
              </w:rPr>
              <w:t>Expenses</w:t>
            </w:r>
          </w:p>
        </w:tc>
        <w:tc>
          <w:tcPr>
            <w:tcW w:w="3220" w:type="dxa"/>
            <w:vAlign w:val="bottom"/>
            <w:shd w:val="clear" w:color="auto" w:fill="286B38"/>
          </w:tcPr>
          <w:p>
            <w:pPr>
              <w:spacing w:after="0"/>
              <w:rPr>
                <w:sz w:val="13"/>
                <w:szCs w:val="13"/>
                <w:color w:val="auto"/>
              </w:rPr>
            </w:pPr>
          </w:p>
        </w:tc>
        <w:tc>
          <w:tcPr>
            <w:tcW w:w="380" w:type="dxa"/>
            <w:vAlign w:val="bottom"/>
            <w:shd w:val="clear" w:color="auto" w:fill="276B38"/>
          </w:tcPr>
          <w:p>
            <w:pPr>
              <w:spacing w:after="0"/>
              <w:rPr>
                <w:sz w:val="13"/>
                <w:szCs w:val="13"/>
                <w:color w:val="auto"/>
              </w:rPr>
            </w:pPr>
          </w:p>
        </w:tc>
        <w:tc>
          <w:tcPr>
            <w:tcW w:w="20" w:type="dxa"/>
            <w:vAlign w:val="bottom"/>
            <w:shd w:val="clear" w:color="auto" w:fill="276B38"/>
          </w:tcPr>
          <w:p>
            <w:pPr>
              <w:spacing w:after="0"/>
              <w:rPr>
                <w:sz w:val="13"/>
                <w:szCs w:val="13"/>
                <w:color w:val="auto"/>
              </w:rPr>
            </w:pPr>
          </w:p>
        </w:tc>
        <w:tc>
          <w:tcPr>
            <w:tcW w:w="180" w:type="dxa"/>
            <w:vAlign w:val="bottom"/>
            <w:shd w:val="clear" w:color="auto" w:fill="276B38"/>
          </w:tcPr>
          <w:p>
            <w:pPr>
              <w:spacing w:after="0"/>
              <w:rPr>
                <w:sz w:val="13"/>
                <w:szCs w:val="13"/>
                <w:color w:val="auto"/>
              </w:rPr>
            </w:pPr>
          </w:p>
        </w:tc>
        <w:tc>
          <w:tcPr>
            <w:tcW w:w="620" w:type="dxa"/>
            <w:vAlign w:val="bottom"/>
            <w:shd w:val="clear" w:color="auto" w:fill="286B38"/>
          </w:tcPr>
          <w:p>
            <w:pPr>
              <w:spacing w:after="0"/>
              <w:rPr>
                <w:sz w:val="13"/>
                <w:szCs w:val="13"/>
                <w:color w:val="auto"/>
              </w:rPr>
            </w:pPr>
          </w:p>
        </w:tc>
        <w:tc>
          <w:tcPr>
            <w:tcW w:w="420" w:type="dxa"/>
            <w:vAlign w:val="bottom"/>
            <w:shd w:val="clear" w:color="auto" w:fill="286B38"/>
          </w:tcPr>
          <w:p>
            <w:pPr>
              <w:spacing w:after="0"/>
              <w:rPr>
                <w:sz w:val="13"/>
                <w:szCs w:val="13"/>
                <w:color w:val="auto"/>
              </w:rPr>
            </w:pPr>
          </w:p>
        </w:tc>
        <w:tc>
          <w:tcPr>
            <w:tcW w:w="20" w:type="dxa"/>
            <w:vAlign w:val="bottom"/>
            <w:shd w:val="clear" w:color="auto" w:fill="286B38"/>
          </w:tcPr>
          <w:p>
            <w:pPr>
              <w:spacing w:after="0"/>
              <w:rPr>
                <w:sz w:val="13"/>
                <w:szCs w:val="13"/>
                <w:color w:val="auto"/>
              </w:rPr>
            </w:pPr>
          </w:p>
        </w:tc>
        <w:tc>
          <w:tcPr>
            <w:tcW w:w="80" w:type="dxa"/>
            <w:vAlign w:val="bottom"/>
            <w:shd w:val="clear" w:color="auto" w:fill="286B38"/>
          </w:tcPr>
          <w:p>
            <w:pPr>
              <w:spacing w:after="0"/>
              <w:rPr>
                <w:sz w:val="13"/>
                <w:szCs w:val="13"/>
                <w:color w:val="auto"/>
              </w:rPr>
            </w:pPr>
          </w:p>
        </w:tc>
      </w:tr>
      <w:tr>
        <w:trPr>
          <w:trHeight w:val="143"/>
        </w:trPr>
        <w:tc>
          <w:tcPr>
            <w:tcW w:w="6300" w:type="dxa"/>
            <w:vAlign w:val="bottom"/>
          </w:tcPr>
          <w:p>
            <w:pPr>
              <w:ind w:left="20"/>
              <w:spacing w:after="0" w:line="143" w:lineRule="exact"/>
              <w:rPr>
                <w:sz w:val="20"/>
                <w:szCs w:val="20"/>
                <w:color w:val="auto"/>
              </w:rPr>
            </w:pPr>
            <w:r>
              <w:rPr>
                <w:rFonts w:ascii="Arial" w:cs="Arial" w:eastAsia="Arial" w:hAnsi="Arial"/>
                <w:sz w:val="13"/>
                <w:szCs w:val="13"/>
                <w:color w:val="231F20"/>
              </w:rPr>
              <w:t>Investment advisory fee</w:t>
            </w:r>
          </w:p>
        </w:tc>
        <w:tc>
          <w:tcPr>
            <w:tcW w:w="3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right"/>
              <w:ind w:right="20"/>
              <w:spacing w:after="0" w:line="143" w:lineRule="exact"/>
              <w:rPr>
                <w:sz w:val="20"/>
                <w:szCs w:val="20"/>
                <w:color w:val="auto"/>
              </w:rPr>
            </w:pPr>
            <w:r>
              <w:rPr>
                <w:rFonts w:ascii="Arial" w:cs="Arial" w:eastAsia="Arial" w:hAnsi="Arial"/>
                <w:sz w:val="13"/>
                <w:szCs w:val="13"/>
                <w:color w:val="231F20"/>
              </w:rPr>
              <w:t>3,696,005</w:t>
            </w:r>
          </w:p>
        </w:tc>
        <w:tc>
          <w:tcPr>
            <w:tcW w:w="80" w:type="dxa"/>
            <w:vAlign w:val="bottom"/>
          </w:tcPr>
          <w:p>
            <w:pPr>
              <w:spacing w:after="0"/>
              <w:rPr>
                <w:sz w:val="12"/>
                <w:szCs w:val="12"/>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Interest expense</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3,518,405</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Professional fees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1,069,099</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Bank fees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336,119</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Transfer agent, custodian fees and administrator fees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333,967</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Excise tax (Note 5)</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234,481</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Investor relations fees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210,817</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Directors' fees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205,179</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Valuation service fees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202,254</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Delaware franchise tax</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102,444</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Insurance expense</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gridSpan w:val="3"/>
          </w:tcPr>
          <w:p>
            <w:pPr>
              <w:jc w:val="right"/>
              <w:ind w:right="61"/>
              <w:spacing w:after="0"/>
              <w:rPr>
                <w:sz w:val="20"/>
                <w:szCs w:val="20"/>
                <w:color w:val="auto"/>
              </w:rPr>
            </w:pPr>
            <w:r>
              <w:rPr>
                <w:rFonts w:ascii="Arial" w:cs="Arial" w:eastAsia="Arial" w:hAnsi="Arial"/>
                <w:sz w:val="13"/>
                <w:szCs w:val="13"/>
                <w:color w:val="231F20"/>
              </w:rPr>
              <w:t>52,529</w:t>
            </w:r>
          </w:p>
        </w:tc>
      </w:tr>
      <w:tr>
        <w:trPr>
          <w:trHeight w:val="171"/>
        </w:trPr>
        <w:tc>
          <w:tcPr>
            <w:tcW w:w="6300" w:type="dxa"/>
            <w:vAlign w:val="bottom"/>
          </w:tcPr>
          <w:p>
            <w:pPr>
              <w:ind w:left="20"/>
              <w:spacing w:after="0"/>
              <w:rPr>
                <w:sz w:val="20"/>
                <w:szCs w:val="20"/>
                <w:color w:val="auto"/>
              </w:rPr>
            </w:pPr>
            <w:r>
              <w:rPr>
                <w:rFonts w:ascii="Arial" w:cs="Arial" w:eastAsia="Arial" w:hAnsi="Arial"/>
                <w:sz w:val="13"/>
                <w:szCs w:val="13"/>
                <w:color w:val="231F20"/>
              </w:rPr>
              <w:t>Miscellaneous fees (proxy, etc.)</w:t>
            </w:r>
          </w:p>
        </w:tc>
        <w:tc>
          <w:tcPr>
            <w:tcW w:w="3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387,910</w:t>
            </w:r>
          </w:p>
        </w:tc>
        <w:tc>
          <w:tcPr>
            <w:tcW w:w="80" w:type="dxa"/>
            <w:vAlign w:val="bottom"/>
          </w:tcPr>
          <w:p>
            <w:pPr>
              <w:spacing w:after="0"/>
              <w:rPr>
                <w:sz w:val="14"/>
                <w:szCs w:val="14"/>
                <w:color w:val="auto"/>
              </w:rPr>
            </w:pPr>
          </w:p>
        </w:tc>
      </w:tr>
      <w:tr>
        <w:trPr>
          <w:trHeight w:val="143"/>
        </w:trPr>
        <w:tc>
          <w:tcPr>
            <w:tcW w:w="6300" w:type="dxa"/>
            <w:vAlign w:val="bottom"/>
          </w:tcPr>
          <w:p>
            <w:pPr>
              <w:ind w:left="20"/>
              <w:spacing w:after="0" w:line="144" w:lineRule="exact"/>
              <w:rPr>
                <w:sz w:val="20"/>
                <w:szCs w:val="20"/>
                <w:color w:val="auto"/>
              </w:rPr>
            </w:pPr>
            <w:r>
              <w:rPr>
                <w:rFonts w:ascii="Arial" w:cs="Arial" w:eastAsia="Arial" w:hAnsi="Arial"/>
                <w:sz w:val="13"/>
                <w:szCs w:val="13"/>
                <w:b w:val="1"/>
                <w:bCs w:val="1"/>
                <w:color w:val="231F20"/>
              </w:rPr>
              <w:t>Total expenses</w:t>
            </w:r>
          </w:p>
        </w:tc>
        <w:tc>
          <w:tcPr>
            <w:tcW w:w="3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20"/>
              <w:spacing w:after="0" w:line="144" w:lineRule="exact"/>
              <w:rPr>
                <w:sz w:val="20"/>
                <w:szCs w:val="20"/>
                <w:color w:val="auto"/>
              </w:rPr>
            </w:pPr>
            <w:r>
              <w:rPr>
                <w:rFonts w:ascii="Arial" w:cs="Arial" w:eastAsia="Arial" w:hAnsi="Arial"/>
                <w:sz w:val="13"/>
                <w:szCs w:val="13"/>
                <w:b w:val="1"/>
                <w:bCs w:val="1"/>
                <w:color w:val="auto"/>
              </w:rPr>
              <w:t>10,349,209</w:t>
            </w:r>
          </w:p>
        </w:tc>
        <w:tc>
          <w:tcPr>
            <w:tcW w:w="80" w:type="dxa"/>
            <w:vAlign w:val="bottom"/>
          </w:tcPr>
          <w:p>
            <w:pPr>
              <w:spacing w:after="0"/>
              <w:rPr>
                <w:sz w:val="12"/>
                <w:szCs w:val="12"/>
                <w:color w:val="auto"/>
              </w:rPr>
            </w:pPr>
          </w:p>
        </w:tc>
      </w:tr>
      <w:tr>
        <w:trPr>
          <w:trHeight w:val="143"/>
        </w:trPr>
        <w:tc>
          <w:tcPr>
            <w:tcW w:w="6300" w:type="dxa"/>
            <w:vAlign w:val="bottom"/>
          </w:tcPr>
          <w:p>
            <w:pPr>
              <w:ind w:left="20"/>
              <w:spacing w:after="0" w:line="144" w:lineRule="exact"/>
              <w:rPr>
                <w:sz w:val="20"/>
                <w:szCs w:val="20"/>
                <w:color w:val="auto"/>
              </w:rPr>
            </w:pPr>
            <w:r>
              <w:rPr>
                <w:rFonts w:ascii="Arial" w:cs="Arial" w:eastAsia="Arial" w:hAnsi="Arial"/>
                <w:sz w:val="13"/>
                <w:szCs w:val="13"/>
                <w:color w:val="231F20"/>
              </w:rPr>
              <w:t>Waivers and/or reimbursements</w:t>
            </w:r>
          </w:p>
        </w:tc>
        <w:tc>
          <w:tcPr>
            <w:tcW w:w="3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20"/>
              <w:spacing w:after="0" w:line="144" w:lineRule="exact"/>
              <w:rPr>
                <w:sz w:val="20"/>
                <w:szCs w:val="20"/>
                <w:color w:val="auto"/>
              </w:rPr>
            </w:pPr>
            <w:r>
              <w:rPr>
                <w:rFonts w:ascii="Arial" w:cs="Arial" w:eastAsia="Arial" w:hAnsi="Arial"/>
                <w:sz w:val="13"/>
                <w:szCs w:val="13"/>
                <w:color w:val="auto"/>
              </w:rPr>
              <w:t>(149,992</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143"/>
        </w:trPr>
        <w:tc>
          <w:tcPr>
            <w:tcW w:w="6300" w:type="dxa"/>
            <w:vAlign w:val="bottom"/>
          </w:tcPr>
          <w:p>
            <w:pPr>
              <w:ind w:left="20"/>
              <w:spacing w:after="0" w:line="144" w:lineRule="exact"/>
              <w:rPr>
                <w:sz w:val="20"/>
                <w:szCs w:val="20"/>
                <w:color w:val="auto"/>
              </w:rPr>
            </w:pPr>
            <w:r>
              <w:rPr>
                <w:rFonts w:ascii="Arial" w:cs="Arial" w:eastAsia="Arial" w:hAnsi="Arial"/>
                <w:sz w:val="13"/>
                <w:szCs w:val="13"/>
                <w:b w:val="1"/>
                <w:bCs w:val="1"/>
                <w:color w:val="231F20"/>
              </w:rPr>
              <w:t>Net expenses</w:t>
            </w:r>
          </w:p>
        </w:tc>
        <w:tc>
          <w:tcPr>
            <w:tcW w:w="3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20"/>
              <w:spacing w:after="0" w:line="144" w:lineRule="exact"/>
              <w:rPr>
                <w:sz w:val="20"/>
                <w:szCs w:val="20"/>
                <w:color w:val="auto"/>
              </w:rPr>
            </w:pPr>
            <w:r>
              <w:rPr>
                <w:rFonts w:ascii="Arial" w:cs="Arial" w:eastAsia="Arial" w:hAnsi="Arial"/>
                <w:sz w:val="13"/>
                <w:szCs w:val="13"/>
                <w:b w:val="1"/>
                <w:bCs w:val="1"/>
                <w:color w:val="auto"/>
              </w:rPr>
              <w:t>10,199,217</w:t>
            </w:r>
          </w:p>
        </w:tc>
        <w:tc>
          <w:tcPr>
            <w:tcW w:w="80" w:type="dxa"/>
            <w:vAlign w:val="bottom"/>
          </w:tcPr>
          <w:p>
            <w:pPr>
              <w:spacing w:after="0"/>
              <w:rPr>
                <w:sz w:val="12"/>
                <w:szCs w:val="12"/>
                <w:color w:val="auto"/>
              </w:rPr>
            </w:pPr>
          </w:p>
        </w:tc>
      </w:tr>
      <w:tr>
        <w:trPr>
          <w:trHeight w:val="143"/>
        </w:trPr>
        <w:tc>
          <w:tcPr>
            <w:tcW w:w="6300" w:type="dxa"/>
            <w:vAlign w:val="bottom"/>
          </w:tcPr>
          <w:p>
            <w:pPr>
              <w:ind w:left="20"/>
              <w:spacing w:after="0" w:line="144" w:lineRule="exact"/>
              <w:rPr>
                <w:sz w:val="20"/>
                <w:szCs w:val="20"/>
                <w:color w:val="auto"/>
              </w:rPr>
            </w:pPr>
            <w:r>
              <w:rPr>
                <w:rFonts w:ascii="Arial" w:cs="Arial" w:eastAsia="Arial" w:hAnsi="Arial"/>
                <w:sz w:val="13"/>
                <w:szCs w:val="13"/>
                <w:b w:val="1"/>
                <w:bCs w:val="1"/>
                <w:color w:val="231F20"/>
              </w:rPr>
              <w:t>Net investment income</w:t>
            </w:r>
          </w:p>
        </w:tc>
        <w:tc>
          <w:tcPr>
            <w:tcW w:w="3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right"/>
              <w:ind w:right="20"/>
              <w:spacing w:after="0" w:line="144" w:lineRule="exact"/>
              <w:rPr>
                <w:sz w:val="20"/>
                <w:szCs w:val="20"/>
                <w:color w:val="auto"/>
              </w:rPr>
            </w:pPr>
            <w:r>
              <w:rPr>
                <w:rFonts w:ascii="Arial" w:cs="Arial" w:eastAsia="Arial" w:hAnsi="Arial"/>
                <w:sz w:val="13"/>
                <w:szCs w:val="13"/>
                <w:b w:val="1"/>
                <w:bCs w:val="1"/>
                <w:color w:val="auto"/>
              </w:rPr>
              <w:t>16,335,779</w:t>
            </w:r>
          </w:p>
        </w:tc>
        <w:tc>
          <w:tcPr>
            <w:tcW w:w="80" w:type="dxa"/>
            <w:vAlign w:val="bottom"/>
          </w:tcPr>
          <w:p>
            <w:pPr>
              <w:spacing w:after="0"/>
              <w:rPr>
                <w:sz w:val="12"/>
                <w:szCs w:val="12"/>
                <w:color w:val="auto"/>
              </w:rPr>
            </w:pPr>
          </w:p>
        </w:tc>
      </w:tr>
      <w:tr>
        <w:trPr>
          <w:trHeight w:val="194"/>
        </w:trPr>
        <w:tc>
          <w:tcPr>
            <w:tcW w:w="952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1"/>
        </w:trPr>
        <w:tc>
          <w:tcPr>
            <w:tcW w:w="9520" w:type="dxa"/>
            <w:vAlign w:val="bottom"/>
            <w:gridSpan w:val="2"/>
            <w:shd w:val="clear" w:color="auto" w:fill="296B38"/>
          </w:tcPr>
          <w:p>
            <w:pPr>
              <w:ind w:left="20"/>
              <w:spacing w:after="0"/>
              <w:rPr>
                <w:sz w:val="20"/>
                <w:szCs w:val="20"/>
                <w:color w:val="auto"/>
              </w:rPr>
            </w:pPr>
            <w:r>
              <w:rPr>
                <w:rFonts w:ascii="Arial" w:cs="Arial" w:eastAsia="Arial" w:hAnsi="Arial"/>
                <w:sz w:val="13"/>
                <w:szCs w:val="13"/>
                <w:b w:val="1"/>
                <w:bCs w:val="1"/>
                <w:color w:val="FFFFFF"/>
              </w:rPr>
              <w:t>Realized and Unrealized Gain/(Loss) on Investments, Written Options, Forward Foreign Currency Contracts and Foreign Currency Translations</w:t>
            </w:r>
          </w:p>
        </w:tc>
        <w:tc>
          <w:tcPr>
            <w:tcW w:w="380" w:type="dxa"/>
            <w:vAlign w:val="bottom"/>
            <w:shd w:val="clear" w:color="auto" w:fill="296B38"/>
          </w:tcPr>
          <w:p>
            <w:pPr>
              <w:spacing w:after="0"/>
              <w:rPr>
                <w:sz w:val="13"/>
                <w:szCs w:val="13"/>
                <w:color w:val="auto"/>
              </w:rPr>
            </w:pPr>
          </w:p>
        </w:tc>
        <w:tc>
          <w:tcPr>
            <w:tcW w:w="20" w:type="dxa"/>
            <w:vAlign w:val="bottom"/>
            <w:shd w:val="clear" w:color="auto" w:fill="296B38"/>
          </w:tcPr>
          <w:p>
            <w:pPr>
              <w:spacing w:after="0"/>
              <w:rPr>
                <w:sz w:val="13"/>
                <w:szCs w:val="13"/>
                <w:color w:val="auto"/>
              </w:rPr>
            </w:pPr>
          </w:p>
        </w:tc>
        <w:tc>
          <w:tcPr>
            <w:tcW w:w="180" w:type="dxa"/>
            <w:vAlign w:val="bottom"/>
            <w:shd w:val="clear" w:color="auto" w:fill="296B38"/>
          </w:tcPr>
          <w:p>
            <w:pPr>
              <w:spacing w:after="0"/>
              <w:rPr>
                <w:sz w:val="13"/>
                <w:szCs w:val="13"/>
                <w:color w:val="auto"/>
              </w:rPr>
            </w:pPr>
          </w:p>
        </w:tc>
        <w:tc>
          <w:tcPr>
            <w:tcW w:w="620" w:type="dxa"/>
            <w:vAlign w:val="bottom"/>
            <w:shd w:val="clear" w:color="auto" w:fill="296B38"/>
          </w:tcPr>
          <w:p>
            <w:pPr>
              <w:spacing w:after="0"/>
              <w:rPr>
                <w:sz w:val="13"/>
                <w:szCs w:val="13"/>
                <w:color w:val="auto"/>
              </w:rPr>
            </w:pPr>
          </w:p>
        </w:tc>
        <w:tc>
          <w:tcPr>
            <w:tcW w:w="420" w:type="dxa"/>
            <w:vAlign w:val="bottom"/>
            <w:shd w:val="clear" w:color="auto" w:fill="296B38"/>
          </w:tcPr>
          <w:p>
            <w:pPr>
              <w:spacing w:after="0"/>
              <w:rPr>
                <w:sz w:val="13"/>
                <w:szCs w:val="13"/>
                <w:color w:val="auto"/>
              </w:rPr>
            </w:pPr>
          </w:p>
        </w:tc>
        <w:tc>
          <w:tcPr>
            <w:tcW w:w="20" w:type="dxa"/>
            <w:vAlign w:val="bottom"/>
            <w:shd w:val="clear" w:color="auto" w:fill="296B38"/>
          </w:tcPr>
          <w:p>
            <w:pPr>
              <w:spacing w:after="0"/>
              <w:rPr>
                <w:sz w:val="13"/>
                <w:szCs w:val="13"/>
                <w:color w:val="auto"/>
              </w:rPr>
            </w:pPr>
          </w:p>
        </w:tc>
        <w:tc>
          <w:tcPr>
            <w:tcW w:w="80" w:type="dxa"/>
            <w:vAlign w:val="bottom"/>
            <w:shd w:val="clear" w:color="auto" w:fill="296B38"/>
          </w:tcPr>
          <w:p>
            <w:pPr>
              <w:spacing w:after="0"/>
              <w:rPr>
                <w:sz w:val="13"/>
                <w:szCs w:val="13"/>
                <w:color w:val="auto"/>
              </w:rPr>
            </w:pPr>
          </w:p>
        </w:tc>
      </w:tr>
      <w:tr>
        <w:trPr>
          <w:trHeight w:val="143"/>
        </w:trPr>
        <w:tc>
          <w:tcPr>
            <w:tcW w:w="6300" w:type="dxa"/>
            <w:vAlign w:val="bottom"/>
          </w:tcPr>
          <w:p>
            <w:pPr>
              <w:ind w:left="20"/>
              <w:spacing w:after="0" w:line="143" w:lineRule="exact"/>
              <w:rPr>
                <w:sz w:val="20"/>
                <w:szCs w:val="20"/>
                <w:color w:val="auto"/>
              </w:rPr>
            </w:pPr>
            <w:r>
              <w:rPr>
                <w:rFonts w:ascii="Arial" w:cs="Arial" w:eastAsia="Arial" w:hAnsi="Arial"/>
                <w:sz w:val="13"/>
                <w:szCs w:val="13"/>
                <w:color w:val="231F20"/>
              </w:rPr>
              <w:t>Net realized loss on investments</w:t>
            </w:r>
          </w:p>
        </w:tc>
        <w:tc>
          <w:tcPr>
            <w:tcW w:w="3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4"/>
          </w:tcPr>
          <w:p>
            <w:pPr>
              <w:jc w:val="right"/>
              <w:ind w:right="1"/>
              <w:spacing w:after="0" w:line="143" w:lineRule="exact"/>
              <w:rPr>
                <w:sz w:val="20"/>
                <w:szCs w:val="20"/>
                <w:color w:val="auto"/>
              </w:rPr>
            </w:pPr>
            <w:r>
              <w:rPr>
                <w:rFonts w:ascii="Arial" w:cs="Arial" w:eastAsia="Arial" w:hAnsi="Arial"/>
                <w:sz w:val="13"/>
                <w:szCs w:val="13"/>
                <w:color w:val="231F20"/>
              </w:rPr>
              <w:t>(4,056,521)</w:t>
            </w: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Net realized loss from forward foreign currency contracts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4"/>
          </w:tcPr>
          <w:p>
            <w:pPr>
              <w:jc w:val="right"/>
              <w:ind w:right="1"/>
              <w:spacing w:after="0"/>
              <w:rPr>
                <w:sz w:val="20"/>
                <w:szCs w:val="20"/>
                <w:color w:val="auto"/>
              </w:rPr>
            </w:pPr>
            <w:r>
              <w:rPr>
                <w:rFonts w:ascii="Arial" w:cs="Arial" w:eastAsia="Arial" w:hAnsi="Arial"/>
                <w:sz w:val="13"/>
                <w:szCs w:val="13"/>
                <w:color w:val="231F20"/>
              </w:rPr>
              <w:t>(5,109,920)</w:t>
            </w: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Net realized loss from foreign currency translations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4"/>
          </w:tcPr>
          <w:p>
            <w:pPr>
              <w:jc w:val="right"/>
              <w:ind w:right="1"/>
              <w:spacing w:after="0"/>
              <w:rPr>
                <w:sz w:val="20"/>
                <w:szCs w:val="20"/>
                <w:color w:val="auto"/>
              </w:rPr>
            </w:pPr>
            <w:r>
              <w:rPr>
                <w:rFonts w:ascii="Arial" w:cs="Arial" w:eastAsia="Arial" w:hAnsi="Arial"/>
                <w:sz w:val="13"/>
                <w:szCs w:val="13"/>
                <w:color w:val="231F20"/>
              </w:rPr>
              <w:t>(184,523)</w:t>
            </w: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Net change in unrealized appreciation on unaffiliated investments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11,417,270</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Net change in unrealized appreciation on affiliated investments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231F20"/>
              </w:rPr>
              <w:t>319,898</w:t>
            </w:r>
          </w:p>
        </w:tc>
        <w:tc>
          <w:tcPr>
            <w:tcW w:w="80" w:type="dxa"/>
            <w:vAlign w:val="bottom"/>
          </w:tcPr>
          <w:p>
            <w:pPr>
              <w:spacing w:after="0"/>
              <w:rPr>
                <w:sz w:val="13"/>
                <w:szCs w:val="13"/>
                <w:color w:val="auto"/>
              </w:rPr>
            </w:pP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Net change in unrealized depreciation on written options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4"/>
          </w:tcPr>
          <w:p>
            <w:pPr>
              <w:jc w:val="right"/>
              <w:ind w:right="1"/>
              <w:spacing w:after="0"/>
              <w:rPr>
                <w:sz w:val="20"/>
                <w:szCs w:val="20"/>
                <w:color w:val="auto"/>
              </w:rPr>
            </w:pPr>
            <w:r>
              <w:rPr>
                <w:rFonts w:ascii="Arial" w:cs="Arial" w:eastAsia="Arial" w:hAnsi="Arial"/>
                <w:sz w:val="13"/>
                <w:szCs w:val="13"/>
                <w:color w:val="231F20"/>
              </w:rPr>
              <w:t>(612,115)</w:t>
            </w:r>
          </w:p>
        </w:tc>
      </w:tr>
      <w:tr>
        <w:trPr>
          <w:trHeight w:val="151"/>
        </w:trPr>
        <w:tc>
          <w:tcPr>
            <w:tcW w:w="6300" w:type="dxa"/>
            <w:vAlign w:val="bottom"/>
          </w:tcPr>
          <w:p>
            <w:pPr>
              <w:ind w:left="20"/>
              <w:spacing w:after="0"/>
              <w:rPr>
                <w:sz w:val="20"/>
                <w:szCs w:val="20"/>
                <w:color w:val="auto"/>
              </w:rPr>
            </w:pPr>
            <w:r>
              <w:rPr>
                <w:rFonts w:ascii="Arial" w:cs="Arial" w:eastAsia="Arial" w:hAnsi="Arial"/>
                <w:sz w:val="13"/>
                <w:szCs w:val="13"/>
                <w:color w:val="231F20"/>
              </w:rPr>
              <w:t>Net change in unrealized depreciation on forward foreign currency contracts</w:t>
            </w:r>
          </w:p>
        </w:tc>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4"/>
          </w:tcPr>
          <w:p>
            <w:pPr>
              <w:jc w:val="right"/>
              <w:ind w:right="1"/>
              <w:spacing w:after="0"/>
              <w:rPr>
                <w:sz w:val="20"/>
                <w:szCs w:val="20"/>
                <w:color w:val="auto"/>
              </w:rPr>
            </w:pPr>
            <w:r>
              <w:rPr>
                <w:rFonts w:ascii="Arial" w:cs="Arial" w:eastAsia="Arial" w:hAnsi="Arial"/>
                <w:sz w:val="13"/>
                <w:szCs w:val="13"/>
                <w:color w:val="231F20"/>
              </w:rPr>
              <w:t>(261,397)</w:t>
            </w:r>
          </w:p>
        </w:tc>
      </w:tr>
      <w:tr>
        <w:trPr>
          <w:trHeight w:val="171"/>
        </w:trPr>
        <w:tc>
          <w:tcPr>
            <w:tcW w:w="6300" w:type="dxa"/>
            <w:vAlign w:val="bottom"/>
          </w:tcPr>
          <w:p>
            <w:pPr>
              <w:ind w:left="20"/>
              <w:spacing w:after="0"/>
              <w:rPr>
                <w:sz w:val="20"/>
                <w:szCs w:val="20"/>
                <w:color w:val="auto"/>
              </w:rPr>
            </w:pPr>
            <w:r>
              <w:rPr>
                <w:rFonts w:ascii="Arial" w:cs="Arial" w:eastAsia="Arial" w:hAnsi="Arial"/>
                <w:sz w:val="13"/>
                <w:szCs w:val="13"/>
                <w:color w:val="231F20"/>
              </w:rPr>
              <w:t>Net change in unrealized appreciation on foreign currency translations</w:t>
            </w:r>
          </w:p>
        </w:tc>
        <w:tc>
          <w:tcPr>
            <w:tcW w:w="3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gridSpan w:val="3"/>
          </w:tcPr>
          <w:p>
            <w:pPr>
              <w:jc w:val="right"/>
              <w:ind w:right="61"/>
              <w:spacing w:after="0"/>
              <w:rPr>
                <w:sz w:val="20"/>
                <w:szCs w:val="20"/>
                <w:color w:val="auto"/>
              </w:rPr>
            </w:pPr>
            <w:r>
              <w:rPr>
                <w:rFonts w:ascii="Arial" w:cs="Arial" w:eastAsia="Arial" w:hAnsi="Arial"/>
                <w:sz w:val="13"/>
                <w:szCs w:val="13"/>
                <w:color w:val="auto"/>
              </w:rPr>
              <w:t>39,627</w:t>
            </w:r>
          </w:p>
        </w:tc>
      </w:tr>
      <w:tr>
        <w:trPr>
          <w:trHeight w:val="143"/>
        </w:trPr>
        <w:tc>
          <w:tcPr>
            <w:tcW w:w="952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231F20"/>
              </w:rPr>
              <w:t>Net realized and unrealized gain/(loss) on investments, written options, forward foreign currency contracts and forward foreign translations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20"/>
              <w:spacing w:after="0" w:line="144" w:lineRule="exact"/>
              <w:rPr>
                <w:sz w:val="20"/>
                <w:szCs w:val="20"/>
                <w:color w:val="auto"/>
              </w:rPr>
            </w:pPr>
            <w:r>
              <w:rPr>
                <w:rFonts w:ascii="Arial" w:cs="Arial" w:eastAsia="Arial" w:hAnsi="Arial"/>
                <w:sz w:val="13"/>
                <w:szCs w:val="13"/>
                <w:b w:val="1"/>
                <w:bCs w:val="1"/>
                <w:color w:val="auto"/>
              </w:rPr>
              <w:t>1,552,319</w:t>
            </w:r>
          </w:p>
        </w:tc>
        <w:tc>
          <w:tcPr>
            <w:tcW w:w="80" w:type="dxa"/>
            <w:vAlign w:val="bottom"/>
          </w:tcPr>
          <w:p>
            <w:pPr>
              <w:spacing w:after="0"/>
              <w:rPr>
                <w:sz w:val="12"/>
                <w:szCs w:val="12"/>
                <w:color w:val="auto"/>
              </w:rPr>
            </w:pPr>
          </w:p>
        </w:tc>
      </w:tr>
      <w:tr>
        <w:trPr>
          <w:trHeight w:val="319"/>
        </w:trPr>
        <w:tc>
          <w:tcPr>
            <w:tcW w:w="6300" w:type="dxa"/>
            <w:vAlign w:val="bottom"/>
          </w:tcPr>
          <w:p>
            <w:pPr>
              <w:ind w:left="20"/>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3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17,888,098</w:t>
            </w:r>
          </w:p>
        </w:tc>
        <w:tc>
          <w:tcPr>
            <w:tcW w:w="80" w:type="dxa"/>
            <w:vAlign w:val="bottom"/>
          </w:tcPr>
          <w:p>
            <w:pPr>
              <w:spacing w:after="0"/>
              <w:rPr>
                <w:sz w:val="24"/>
                <w:szCs w:val="24"/>
                <w:color w:val="auto"/>
              </w:rPr>
            </w:pPr>
          </w:p>
        </w:tc>
      </w:tr>
      <w:tr>
        <w:trPr>
          <w:trHeight w:val="20"/>
        </w:trPr>
        <w:tc>
          <w:tcPr>
            <w:tcW w:w="630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52"/>
        </w:trPr>
        <w:tc>
          <w:tcPr>
            <w:tcW w:w="6300" w:type="dxa"/>
            <w:vAlign w:val="bottom"/>
          </w:tcPr>
          <w:p>
            <w:pPr>
              <w:spacing w:after="0"/>
              <w:rPr>
                <w:sz w:val="20"/>
                <w:szCs w:val="20"/>
                <w:color w:val="auto"/>
              </w:rPr>
            </w:pPr>
            <w:r>
              <w:rPr>
                <w:rFonts w:ascii="Arial" w:cs="Arial" w:eastAsia="Arial" w:hAnsi="Arial"/>
                <w:sz w:val="13"/>
                <w:szCs w:val="13"/>
                <w:color w:val="296B38"/>
              </w:rPr>
              <w:t>See Notes to financial statements.</w:t>
            </w:r>
          </w:p>
        </w:tc>
        <w:tc>
          <w:tcPr>
            <w:tcW w:w="4420" w:type="dxa"/>
            <w:vAlign w:val="bottom"/>
            <w:gridSpan w:val="5"/>
          </w:tcPr>
          <w:p>
            <w:pPr>
              <w:ind w:left="178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520" w:type="dxa"/>
            <w:vAlign w:val="bottom"/>
            <w:gridSpan w:val="3"/>
          </w:tcPr>
          <w:p>
            <w:pPr>
              <w:jc w:val="right"/>
              <w:spacing w:after="0"/>
              <w:rPr>
                <w:sz w:val="20"/>
                <w:szCs w:val="20"/>
                <w:color w:val="auto"/>
              </w:rPr>
            </w:pPr>
            <w:r>
              <w:rPr>
                <w:rFonts w:ascii="Arial" w:cs="Arial" w:eastAsia="Arial" w:hAnsi="Arial"/>
                <w:sz w:val="15"/>
                <w:szCs w:val="15"/>
                <w:color w:val="296B38"/>
              </w:rPr>
              <w:t>12</w:t>
            </w:r>
          </w:p>
        </w:tc>
      </w:tr>
      <w:tr>
        <w:trPr>
          <w:trHeight w:val="404"/>
        </w:trPr>
        <w:tc>
          <w:tcPr>
            <w:tcW w:w="63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5" w:right="339" w:bottom="1440" w:gutter="0" w:footer="0" w:header="0"/>
        </w:sectPr>
      </w:pPr>
    </w:p>
    <w:bookmarkStart w:id="17" w:name="page18"/>
    <w:bookmarkEnd w:id="17"/>
    <w:p>
      <w:pPr>
        <w:spacing w:after="0"/>
        <w:rPr>
          <w:sz w:val="20"/>
          <w:szCs w:val="20"/>
          <w:color w:val="auto"/>
        </w:rPr>
      </w:pPr>
      <w:r>
        <w:rPr>
          <w:rFonts w:ascii="Arial" w:cs="Arial" w:eastAsia="Arial" w:hAnsi="Arial"/>
          <w:sz w:val="23"/>
          <w:szCs w:val="23"/>
          <w:color w:val="296B38"/>
        </w:rPr>
        <w:drawing>
          <wp:anchor simplePos="0" relativeHeight="251657728" behindDoc="1" locked="0" layoutInCell="0" allowOverlap="1">
            <wp:simplePos x="0" y="0"/>
            <wp:positionH relativeFrom="page">
              <wp:posOffset>203835</wp:posOffset>
            </wp:positionH>
            <wp:positionV relativeFrom="page">
              <wp:posOffset>535940</wp:posOffset>
            </wp:positionV>
            <wp:extent cx="7141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845" cy="8255"/>
                    </a:xfrm>
                    <a:prstGeom prst="rect">
                      <a:avLst/>
                    </a:prstGeom>
                    <a:noFill/>
                  </pic:spPr>
                </pic:pic>
              </a:graphicData>
            </a:graphic>
          </wp:anchor>
        </w:drawing>
        <w:t>Consolidated Statements of Changes In Net Assets</w:t>
      </w:r>
    </w:p>
    <w:p>
      <w:pPr>
        <w:spacing w:after="0" w:line="237" w:lineRule="exact"/>
        <w:rPr>
          <w:sz w:val="20"/>
          <w:szCs w:val="20"/>
          <w:color w:val="auto"/>
        </w:rPr>
      </w:pPr>
    </w:p>
    <w:p>
      <w:pPr>
        <w:ind w:right="300"/>
        <w:spacing w:after="0" w:line="296" w:lineRule="auto"/>
        <w:rPr>
          <w:sz w:val="20"/>
          <w:szCs w:val="20"/>
          <w:color w:val="auto"/>
        </w:rPr>
      </w:pPr>
      <w:r>
        <w:rPr>
          <w:rFonts w:ascii="Arial" w:cs="Arial" w:eastAsia="Arial" w:hAnsi="Arial"/>
          <w:sz w:val="15"/>
          <w:szCs w:val="15"/>
          <w:color w:val="auto"/>
        </w:rPr>
        <w:t>These statements of changes in net assets show how the value of the Company’s net assets has changed during the last two periods stated. The difference reflects earnings less expenses, any investment gains and losses, distributions, if any, paid to shareholders and the net of Company share transactions.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281"/>
              <w:spacing w:after="0"/>
              <w:rPr>
                <w:sz w:val="20"/>
                <w:szCs w:val="20"/>
                <w:color w:val="auto"/>
              </w:rPr>
            </w:pPr>
            <w:r>
              <w:rPr>
                <w:rFonts w:ascii="Arial" w:cs="Arial" w:eastAsia="Arial" w:hAnsi="Arial"/>
                <w:sz w:val="13"/>
                <w:szCs w:val="13"/>
                <w:b w:val="1"/>
                <w:bCs w:val="1"/>
                <w:color w:val="auto"/>
                <w:w w:val="99"/>
              </w:rPr>
              <w:t>For the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right="234"/>
              <w:spacing w:after="0"/>
              <w:rPr>
                <w:sz w:val="20"/>
                <w:szCs w:val="20"/>
                <w:color w:val="auto"/>
              </w:rPr>
            </w:pPr>
            <w:r>
              <w:rPr>
                <w:rFonts w:ascii="Arial" w:cs="Arial" w:eastAsia="Arial" w:hAnsi="Arial"/>
                <w:sz w:val="13"/>
                <w:szCs w:val="13"/>
                <w:b w:val="1"/>
                <w:bCs w:val="1"/>
                <w:color w:val="auto"/>
              </w:rPr>
              <w:t>For the</w:t>
            </w: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261"/>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right="234"/>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361"/>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right="214"/>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80" w:type="dxa"/>
            <w:vAlign w:val="bottom"/>
            <w:gridSpan w:val="2"/>
            <w:shd w:val="clear" w:color="auto" w:fill="296B38"/>
          </w:tcPr>
          <w:p>
            <w:pPr>
              <w:spacing w:after="0"/>
              <w:rPr>
                <w:sz w:val="20"/>
                <w:szCs w:val="20"/>
                <w:color w:val="auto"/>
              </w:rPr>
            </w:pPr>
            <w:r>
              <w:rPr>
                <w:rFonts w:ascii="Arial" w:cs="Arial" w:eastAsia="Arial" w:hAnsi="Arial"/>
                <w:sz w:val="13"/>
                <w:szCs w:val="13"/>
                <w:b w:val="1"/>
                <w:bCs w:val="1"/>
                <w:color w:val="FFFFFF"/>
              </w:rPr>
              <w:t>Increase (Decrease) in Net Assets</w:t>
            </w:r>
          </w:p>
        </w:tc>
        <w:tc>
          <w:tcPr>
            <w:tcW w:w="280" w:type="dxa"/>
            <w:vAlign w:val="bottom"/>
            <w:shd w:val="clear" w:color="auto" w:fill="296B38"/>
          </w:tcPr>
          <w:p>
            <w:pPr>
              <w:spacing w:after="0"/>
              <w:rPr>
                <w:sz w:val="13"/>
                <w:szCs w:val="13"/>
                <w:color w:val="auto"/>
              </w:rPr>
            </w:pPr>
          </w:p>
        </w:tc>
        <w:tc>
          <w:tcPr>
            <w:tcW w:w="220" w:type="dxa"/>
            <w:vAlign w:val="bottom"/>
            <w:shd w:val="clear" w:color="auto" w:fill="296B38"/>
          </w:tcPr>
          <w:p>
            <w:pPr>
              <w:spacing w:after="0"/>
              <w:rPr>
                <w:sz w:val="13"/>
                <w:szCs w:val="13"/>
                <w:color w:val="auto"/>
              </w:rPr>
            </w:pPr>
          </w:p>
        </w:tc>
        <w:tc>
          <w:tcPr>
            <w:tcW w:w="1240" w:type="dxa"/>
            <w:vAlign w:val="bottom"/>
            <w:shd w:val="clear" w:color="auto" w:fill="296B38"/>
          </w:tcPr>
          <w:p>
            <w:pPr>
              <w:spacing w:after="0"/>
              <w:rPr>
                <w:sz w:val="13"/>
                <w:szCs w:val="13"/>
                <w:color w:val="auto"/>
              </w:rPr>
            </w:pPr>
          </w:p>
        </w:tc>
        <w:tc>
          <w:tcPr>
            <w:tcW w:w="160" w:type="dxa"/>
            <w:vAlign w:val="bottom"/>
            <w:shd w:val="clear" w:color="auto" w:fill="296B38"/>
          </w:tcPr>
          <w:p>
            <w:pPr>
              <w:spacing w:after="0"/>
              <w:rPr>
                <w:sz w:val="13"/>
                <w:szCs w:val="13"/>
                <w:color w:val="auto"/>
              </w:rPr>
            </w:pPr>
          </w:p>
        </w:tc>
        <w:tc>
          <w:tcPr>
            <w:tcW w:w="100" w:type="dxa"/>
            <w:vAlign w:val="bottom"/>
            <w:shd w:val="clear" w:color="auto" w:fill="296B38"/>
          </w:tcPr>
          <w:p>
            <w:pPr>
              <w:spacing w:after="0"/>
              <w:rPr>
                <w:sz w:val="13"/>
                <w:szCs w:val="13"/>
                <w:color w:val="auto"/>
              </w:rPr>
            </w:pPr>
          </w:p>
        </w:tc>
        <w:tc>
          <w:tcPr>
            <w:tcW w:w="220" w:type="dxa"/>
            <w:vAlign w:val="bottom"/>
            <w:shd w:val="clear" w:color="auto" w:fill="296B38"/>
          </w:tcPr>
          <w:p>
            <w:pPr>
              <w:spacing w:after="0"/>
              <w:rPr>
                <w:sz w:val="13"/>
                <w:szCs w:val="13"/>
                <w:color w:val="auto"/>
              </w:rPr>
            </w:pPr>
          </w:p>
        </w:tc>
        <w:tc>
          <w:tcPr>
            <w:tcW w:w="1240" w:type="dxa"/>
            <w:vAlign w:val="bottom"/>
            <w:shd w:val="clear" w:color="auto" w:fill="296B38"/>
          </w:tcPr>
          <w:p>
            <w:pPr>
              <w:spacing w:after="0"/>
              <w:rPr>
                <w:sz w:val="13"/>
                <w:szCs w:val="13"/>
                <w:color w:val="auto"/>
              </w:rPr>
            </w:pPr>
          </w:p>
        </w:tc>
        <w:tc>
          <w:tcPr>
            <w:tcW w:w="20" w:type="dxa"/>
            <w:vAlign w:val="bottom"/>
            <w:shd w:val="clear" w:color="auto" w:fill="296B38"/>
          </w:tcPr>
          <w:p>
            <w:pPr>
              <w:spacing w:after="0"/>
              <w:rPr>
                <w:sz w:val="13"/>
                <w:szCs w:val="13"/>
                <w:color w:val="auto"/>
              </w:rPr>
            </w:pPr>
          </w:p>
        </w:tc>
        <w:tc>
          <w:tcPr>
            <w:tcW w:w="80" w:type="dxa"/>
            <w:vAlign w:val="bottom"/>
            <w:shd w:val="clear" w:color="auto" w:fill="296B38"/>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6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From Operations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680" w:type="dxa"/>
            <w:vAlign w:val="bottom"/>
            <w:gridSpan w:val="2"/>
          </w:tcPr>
          <w:p>
            <w:pPr>
              <w:spacing w:after="0"/>
              <w:rPr>
                <w:sz w:val="20"/>
                <w:szCs w:val="20"/>
                <w:color w:val="auto"/>
              </w:rPr>
            </w:pPr>
            <w:r>
              <w:rPr>
                <w:rFonts w:ascii="Arial" w:cs="Arial" w:eastAsia="Arial" w:hAnsi="Arial"/>
                <w:sz w:val="13"/>
                <w:szCs w:val="13"/>
                <w:color w:val="auto"/>
              </w:rPr>
              <w:t>Net investment income</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121"/>
              <w:spacing w:after="0"/>
              <w:rPr>
                <w:sz w:val="20"/>
                <w:szCs w:val="20"/>
                <w:color w:val="auto"/>
              </w:rPr>
            </w:pPr>
            <w:r>
              <w:rPr>
                <w:rFonts w:ascii="Arial" w:cs="Arial" w:eastAsia="Arial" w:hAnsi="Arial"/>
                <w:sz w:val="13"/>
                <w:szCs w:val="13"/>
                <w:color w:val="auto"/>
              </w:rPr>
              <w:t>16,335,779</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18,891,683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80" w:type="dxa"/>
            <w:vAlign w:val="bottom"/>
            <w:gridSpan w:val="2"/>
          </w:tcPr>
          <w:p>
            <w:pPr>
              <w:spacing w:after="0"/>
              <w:rPr>
                <w:sz w:val="20"/>
                <w:szCs w:val="20"/>
                <w:color w:val="auto"/>
              </w:rPr>
            </w:pPr>
            <w:r>
              <w:rPr>
                <w:rFonts w:ascii="Arial" w:cs="Arial" w:eastAsia="Arial" w:hAnsi="Arial"/>
                <w:sz w:val="13"/>
                <w:szCs w:val="13"/>
                <w:color w:val="auto"/>
              </w:rPr>
              <w:t>Net realized gain/(loss) on investments, forward foreign currency contracts and foreign currency translations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81"/>
              <w:spacing w:after="0"/>
              <w:rPr>
                <w:sz w:val="20"/>
                <w:szCs w:val="20"/>
                <w:color w:val="auto"/>
              </w:rPr>
            </w:pPr>
            <w:r>
              <w:rPr>
                <w:rFonts w:ascii="Arial" w:cs="Arial" w:eastAsia="Arial" w:hAnsi="Arial"/>
                <w:sz w:val="13"/>
                <w:szCs w:val="13"/>
                <w:color w:val="auto"/>
              </w:rPr>
              <w:t>(9,350,964)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644,820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80" w:type="dxa"/>
            <w:vAlign w:val="bottom"/>
            <w:gridSpan w:val="2"/>
          </w:tcPr>
          <w:p>
            <w:pPr>
              <w:spacing w:after="0"/>
              <w:rPr>
                <w:sz w:val="20"/>
                <w:szCs w:val="20"/>
                <w:color w:val="auto"/>
              </w:rPr>
            </w:pPr>
            <w:r>
              <w:rPr>
                <w:rFonts w:ascii="Arial" w:cs="Arial" w:eastAsia="Arial" w:hAnsi="Arial"/>
                <w:sz w:val="13"/>
                <w:szCs w:val="13"/>
                <w:color w:val="auto"/>
              </w:rPr>
              <w:t>Net change in unrealized appreciation/(depreciation) on investments, forward foreign currency contracts and foreign currency</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680" w:type="dxa"/>
            <w:vAlign w:val="bottom"/>
            <w:gridSpan w:val="2"/>
          </w:tcPr>
          <w:p>
            <w:pPr>
              <w:ind w:left="160"/>
              <w:spacing w:after="0"/>
              <w:rPr>
                <w:sz w:val="20"/>
                <w:szCs w:val="20"/>
                <w:color w:val="auto"/>
              </w:rPr>
            </w:pPr>
            <w:r>
              <w:rPr>
                <w:rFonts w:ascii="Arial" w:cs="Arial" w:eastAsia="Arial" w:hAnsi="Arial"/>
                <w:sz w:val="13"/>
                <w:szCs w:val="13"/>
                <w:color w:val="auto"/>
              </w:rPr>
              <w:t>translations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10,903,283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right"/>
              <w:ind w:right="54"/>
              <w:spacing w:after="0"/>
              <w:rPr>
                <w:sz w:val="20"/>
                <w:szCs w:val="20"/>
                <w:color w:val="auto"/>
              </w:rPr>
            </w:pPr>
            <w:r>
              <w:rPr>
                <w:rFonts w:ascii="Arial" w:cs="Arial" w:eastAsia="Arial" w:hAnsi="Arial"/>
                <w:sz w:val="13"/>
                <w:szCs w:val="13"/>
                <w:color w:val="auto"/>
              </w:rPr>
              <w:t>(2,791,509)</w:t>
            </w:r>
          </w:p>
        </w:tc>
        <w:tc>
          <w:tcPr>
            <w:tcW w:w="0" w:type="dxa"/>
            <w:vAlign w:val="bottom"/>
          </w:tcPr>
          <w:p>
            <w:pPr>
              <w:spacing w:after="0"/>
              <w:rPr>
                <w:sz w:val="1"/>
                <w:szCs w:val="1"/>
                <w:color w:val="auto"/>
              </w:rPr>
            </w:pPr>
          </w:p>
        </w:tc>
      </w:tr>
      <w:tr>
        <w:trPr>
          <w:trHeight w:val="294"/>
        </w:trPr>
        <w:tc>
          <w:tcPr>
            <w:tcW w:w="7680" w:type="dxa"/>
            <w:vAlign w:val="bottom"/>
            <w:gridSpan w:val="2"/>
          </w:tcPr>
          <w:p>
            <w:pPr>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17,888,098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16,744,994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680" w:type="dxa"/>
            <w:vAlign w:val="bottom"/>
            <w:gridSpan w:val="2"/>
          </w:tcPr>
          <w:p>
            <w:pPr>
              <w:spacing w:after="0"/>
              <w:rPr>
                <w:sz w:val="20"/>
                <w:szCs w:val="20"/>
                <w:color w:val="auto"/>
              </w:rPr>
            </w:pPr>
            <w:r>
              <w:rPr>
                <w:rFonts w:ascii="Arial" w:cs="Arial" w:eastAsia="Arial" w:hAnsi="Arial"/>
                <w:sz w:val="13"/>
                <w:szCs w:val="13"/>
                <w:b w:val="1"/>
                <w:bCs w:val="1"/>
                <w:color w:val="auto"/>
              </w:rPr>
              <w:t>Distributions to shareholders</w:t>
            </w: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680" w:type="dxa"/>
            <w:vAlign w:val="bottom"/>
            <w:gridSpan w:val="2"/>
          </w:tcPr>
          <w:p>
            <w:pPr>
              <w:spacing w:after="0"/>
              <w:rPr>
                <w:sz w:val="20"/>
                <w:szCs w:val="20"/>
                <w:color w:val="auto"/>
              </w:rPr>
            </w:pPr>
            <w:r>
              <w:rPr>
                <w:rFonts w:ascii="Arial" w:cs="Arial" w:eastAsia="Arial" w:hAnsi="Arial"/>
                <w:sz w:val="13"/>
                <w:szCs w:val="13"/>
                <w:color w:val="auto"/>
              </w:rPr>
              <w:t>From total distributable earnings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81"/>
              <w:spacing w:after="0"/>
              <w:rPr>
                <w:sz w:val="20"/>
                <w:szCs w:val="20"/>
                <w:color w:val="auto"/>
              </w:rPr>
            </w:pPr>
            <w:r>
              <w:rPr>
                <w:rFonts w:ascii="Arial" w:cs="Arial" w:eastAsia="Arial" w:hAnsi="Arial"/>
                <w:sz w:val="13"/>
                <w:szCs w:val="13"/>
                <w:color w:val="auto"/>
              </w:rPr>
              <w:t>(16,700,279)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right"/>
              <w:ind w:right="54"/>
              <w:spacing w:after="0"/>
              <w:rPr>
                <w:sz w:val="20"/>
                <w:szCs w:val="20"/>
                <w:color w:val="auto"/>
              </w:rPr>
            </w:pPr>
            <w:r>
              <w:rPr>
                <w:rFonts w:ascii="Arial" w:cs="Arial" w:eastAsia="Arial" w:hAnsi="Arial"/>
                <w:sz w:val="13"/>
                <w:szCs w:val="13"/>
                <w:color w:val="auto"/>
              </w:rPr>
              <w:t>(14,236,215)</w:t>
            </w:r>
          </w:p>
        </w:tc>
        <w:tc>
          <w:tcPr>
            <w:tcW w:w="0" w:type="dxa"/>
            <w:vAlign w:val="bottom"/>
          </w:tcPr>
          <w:p>
            <w:pPr>
              <w:spacing w:after="0"/>
              <w:rPr>
                <w:sz w:val="1"/>
                <w:szCs w:val="1"/>
                <w:color w:val="auto"/>
              </w:rPr>
            </w:pPr>
          </w:p>
        </w:tc>
      </w:tr>
      <w:tr>
        <w:trPr>
          <w:trHeight w:val="156"/>
        </w:trPr>
        <w:tc>
          <w:tcPr>
            <w:tcW w:w="7680" w:type="dxa"/>
            <w:vAlign w:val="bottom"/>
            <w:gridSpan w:val="2"/>
          </w:tcPr>
          <w:p>
            <w:pPr>
              <w:spacing w:after="0"/>
              <w:rPr>
                <w:sz w:val="20"/>
                <w:szCs w:val="20"/>
                <w:color w:val="auto"/>
              </w:rPr>
            </w:pPr>
            <w:r>
              <w:rPr>
                <w:rFonts w:ascii="Arial" w:cs="Arial" w:eastAsia="Arial" w:hAnsi="Arial"/>
                <w:sz w:val="13"/>
                <w:szCs w:val="13"/>
                <w:b w:val="1"/>
                <w:bCs w:val="1"/>
                <w:color w:val="auto"/>
              </w:rPr>
              <w:t>Total distributions</w:t>
            </w: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(16,700,279</w:t>
            </w:r>
          </w:p>
        </w:tc>
        <w:tc>
          <w:tcPr>
            <w:tcW w:w="160" w:type="dxa"/>
            <w:vAlign w:val="bottom"/>
          </w:tcPr>
          <w:p>
            <w:pPr>
              <w:jc w:val="right"/>
              <w:ind w:right="81"/>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(14,236,215</w:t>
            </w:r>
          </w:p>
        </w:tc>
        <w:tc>
          <w:tcPr>
            <w:tcW w:w="80" w:type="dxa"/>
            <w:vAlign w:val="bottom"/>
          </w:tcPr>
          <w:p>
            <w:pPr>
              <w:jc w:val="right"/>
              <w:ind w:right="54"/>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287"/>
        </w:trPr>
        <w:tc>
          <w:tcPr>
            <w:tcW w:w="7680" w:type="dxa"/>
            <w:vAlign w:val="bottom"/>
            <w:gridSpan w:val="2"/>
          </w:tcPr>
          <w:p>
            <w:pPr>
              <w:spacing w:after="0"/>
              <w:rPr>
                <w:sz w:val="20"/>
                <w:szCs w:val="20"/>
                <w:color w:val="auto"/>
              </w:rPr>
            </w:pPr>
            <w:r>
              <w:rPr>
                <w:rFonts w:ascii="Arial" w:cs="Arial" w:eastAsia="Arial" w:hAnsi="Arial"/>
                <w:sz w:val="13"/>
                <w:szCs w:val="13"/>
                <w:b w:val="1"/>
                <w:bCs w:val="1"/>
                <w:color w:val="auto"/>
              </w:rPr>
              <w:t>From Company share transactions</w:t>
            </w: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680" w:type="dxa"/>
            <w:vAlign w:val="bottom"/>
            <w:gridSpan w:val="2"/>
          </w:tcPr>
          <w:p>
            <w:pPr>
              <w:spacing w:after="0"/>
              <w:rPr>
                <w:sz w:val="20"/>
                <w:szCs w:val="20"/>
                <w:color w:val="auto"/>
              </w:rPr>
            </w:pPr>
            <w:r>
              <w:rPr>
                <w:rFonts w:ascii="Arial" w:cs="Arial" w:eastAsia="Arial" w:hAnsi="Arial"/>
                <w:sz w:val="13"/>
                <w:szCs w:val="13"/>
                <w:color w:val="auto"/>
              </w:rPr>
              <w:t>Proceeds from sales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3"/>
                <w:szCs w:val="13"/>
                <w:color w:val="auto"/>
              </w:rPr>
              <w:t>15,012,896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680" w:type="dxa"/>
            <w:vAlign w:val="bottom"/>
            <w:gridSpan w:val="2"/>
          </w:tcPr>
          <w:p>
            <w:pPr>
              <w:spacing w:after="0"/>
              <w:rPr>
                <w:sz w:val="20"/>
                <w:szCs w:val="20"/>
                <w:color w:val="auto"/>
              </w:rPr>
            </w:pPr>
            <w:r>
              <w:rPr>
                <w:rFonts w:ascii="Arial" w:cs="Arial" w:eastAsia="Arial" w:hAnsi="Arial"/>
                <w:sz w:val="13"/>
                <w:szCs w:val="13"/>
                <w:color w:val="auto"/>
              </w:rPr>
              <w:t>Reinvestment of distributions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3"/>
                <w:szCs w:val="13"/>
                <w:color w:val="auto"/>
              </w:rPr>
              <w:t>241,887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155,463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6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Increase in net assets resulting from Company share transactions</w:t>
            </w:r>
          </w:p>
        </w:tc>
        <w:tc>
          <w:tcPr>
            <w:tcW w:w="2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15,254,783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20"/>
              <w:spacing w:after="0" w:line="144" w:lineRule="exact"/>
              <w:rPr>
                <w:sz w:val="20"/>
                <w:szCs w:val="20"/>
                <w:color w:val="auto"/>
              </w:rPr>
            </w:pPr>
            <w:r>
              <w:rPr>
                <w:rFonts w:ascii="Arial" w:cs="Arial" w:eastAsia="Arial" w:hAnsi="Arial"/>
                <w:sz w:val="13"/>
                <w:szCs w:val="13"/>
                <w:b w:val="1"/>
                <w:bCs w:val="1"/>
                <w:color w:val="auto"/>
              </w:rPr>
              <w:t>155,463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7680" w:type="dxa"/>
            <w:vAlign w:val="bottom"/>
            <w:gridSpan w:val="2"/>
          </w:tcPr>
          <w:p>
            <w:pPr>
              <w:spacing w:after="0"/>
              <w:rPr>
                <w:sz w:val="20"/>
                <w:szCs w:val="20"/>
                <w:color w:val="auto"/>
              </w:rPr>
            </w:pPr>
            <w:r>
              <w:rPr>
                <w:rFonts w:ascii="Arial" w:cs="Arial" w:eastAsia="Arial" w:hAnsi="Arial"/>
                <w:sz w:val="13"/>
                <w:szCs w:val="13"/>
                <w:b w:val="1"/>
                <w:bCs w:val="1"/>
                <w:color w:val="auto"/>
              </w:rPr>
              <w:t>Total increase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3"/>
                <w:szCs w:val="13"/>
                <w:b w:val="1"/>
                <w:bCs w:val="1"/>
                <w:color w:val="auto"/>
              </w:rPr>
              <w:t>16,442,602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2,664,242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680" w:type="dxa"/>
            <w:vAlign w:val="bottom"/>
            <w:gridSpan w:val="2"/>
          </w:tcPr>
          <w:p>
            <w:pPr>
              <w:spacing w:after="0"/>
              <w:rPr>
                <w:sz w:val="20"/>
                <w:szCs w:val="20"/>
                <w:color w:val="auto"/>
              </w:rPr>
            </w:pPr>
            <w:r>
              <w:rPr>
                <w:rFonts w:ascii="Arial" w:cs="Arial" w:eastAsia="Arial" w:hAnsi="Arial"/>
                <w:sz w:val="13"/>
                <w:szCs w:val="13"/>
                <w:b w:val="1"/>
                <w:bCs w:val="1"/>
                <w:color w:val="auto"/>
              </w:rPr>
              <w:t>Net assets</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7680" w:type="dxa"/>
            <w:vAlign w:val="bottom"/>
            <w:gridSpan w:val="2"/>
          </w:tcPr>
          <w:p>
            <w:pPr>
              <w:spacing w:after="0"/>
              <w:rPr>
                <w:sz w:val="20"/>
                <w:szCs w:val="20"/>
                <w:color w:val="auto"/>
              </w:rPr>
            </w:pPr>
            <w:r>
              <w:rPr>
                <w:rFonts w:ascii="Arial" w:cs="Arial" w:eastAsia="Arial" w:hAnsi="Arial"/>
                <w:sz w:val="13"/>
                <w:szCs w:val="13"/>
                <w:b w:val="1"/>
                <w:bCs w:val="1"/>
                <w:color w:val="auto"/>
              </w:rPr>
              <w:t>Beginning of year</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155,099,793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152,435,551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80" w:type="dxa"/>
            <w:vAlign w:val="bottom"/>
            <w:gridSpan w:val="2"/>
          </w:tcPr>
          <w:p>
            <w:pPr>
              <w:spacing w:after="0"/>
              <w:rPr>
                <w:sz w:val="20"/>
                <w:szCs w:val="20"/>
                <w:color w:val="auto"/>
              </w:rPr>
            </w:pPr>
            <w:r>
              <w:rPr>
                <w:rFonts w:ascii="Arial" w:cs="Arial" w:eastAsia="Arial" w:hAnsi="Arial"/>
                <w:sz w:val="13"/>
                <w:szCs w:val="13"/>
                <w:b w:val="1"/>
                <w:bCs w:val="1"/>
                <w:color w:val="auto"/>
              </w:rPr>
              <w:t>End of year</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400" w:type="dxa"/>
            <w:vAlign w:val="bottom"/>
            <w:gridSpan w:val="2"/>
          </w:tcPr>
          <w:p>
            <w:pPr>
              <w:jc w:val="right"/>
              <w:ind w:right="121"/>
              <w:spacing w:after="0"/>
              <w:rPr>
                <w:sz w:val="20"/>
                <w:szCs w:val="20"/>
                <w:color w:val="auto"/>
              </w:rPr>
            </w:pPr>
            <w:r>
              <w:rPr>
                <w:rFonts w:ascii="Arial" w:cs="Arial" w:eastAsia="Arial" w:hAnsi="Arial"/>
                <w:sz w:val="13"/>
                <w:szCs w:val="13"/>
                <w:b w:val="1"/>
                <w:bCs w:val="1"/>
                <w:color w:val="auto"/>
              </w:rPr>
              <w:t>171,542,395</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155,099,793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Shares outstanding</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6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680" w:type="dxa"/>
            <w:vAlign w:val="bottom"/>
            <w:gridSpan w:val="2"/>
          </w:tcPr>
          <w:p>
            <w:pPr>
              <w:spacing w:after="0"/>
              <w:rPr>
                <w:sz w:val="20"/>
                <w:szCs w:val="20"/>
                <w:color w:val="auto"/>
              </w:rPr>
            </w:pPr>
            <w:r>
              <w:rPr>
                <w:rFonts w:ascii="Arial" w:cs="Arial" w:eastAsia="Arial" w:hAnsi="Arial"/>
                <w:sz w:val="13"/>
                <w:szCs w:val="13"/>
                <w:color w:val="auto"/>
              </w:rPr>
              <w:t>Beginning of year</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3"/>
                <w:szCs w:val="13"/>
                <w:color w:val="auto"/>
              </w:rPr>
              <w:t>7,120,782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7,112,453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80" w:type="dxa"/>
            <w:vAlign w:val="bottom"/>
            <w:gridSpan w:val="2"/>
          </w:tcPr>
          <w:p>
            <w:pPr>
              <w:spacing w:after="0"/>
              <w:rPr>
                <w:sz w:val="20"/>
                <w:szCs w:val="20"/>
                <w:color w:val="auto"/>
              </w:rPr>
            </w:pPr>
            <w:r>
              <w:rPr>
                <w:rFonts w:ascii="Arial" w:cs="Arial" w:eastAsia="Arial" w:hAnsi="Arial"/>
                <w:sz w:val="13"/>
                <w:szCs w:val="13"/>
                <w:color w:val="auto"/>
              </w:rPr>
              <w:t>Proceeds from sales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3"/>
                <w:szCs w:val="13"/>
                <w:color w:val="auto"/>
              </w:rPr>
              <w:t>677,880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680" w:type="dxa"/>
            <w:vAlign w:val="bottom"/>
            <w:gridSpan w:val="2"/>
          </w:tcPr>
          <w:p>
            <w:pPr>
              <w:spacing w:after="0"/>
              <w:rPr>
                <w:sz w:val="20"/>
                <w:szCs w:val="20"/>
                <w:color w:val="auto"/>
              </w:rPr>
            </w:pPr>
            <w:r>
              <w:rPr>
                <w:rFonts w:ascii="Arial" w:cs="Arial" w:eastAsia="Arial" w:hAnsi="Arial"/>
                <w:sz w:val="13"/>
                <w:szCs w:val="13"/>
                <w:color w:val="auto"/>
              </w:rPr>
              <w:t>Reinvestment of distributions</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8,329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80" w:type="dxa"/>
            <w:vAlign w:val="bottom"/>
            <w:gridSpan w:val="2"/>
          </w:tcPr>
          <w:p>
            <w:pPr>
              <w:spacing w:after="0"/>
              <w:rPr>
                <w:sz w:val="20"/>
                <w:szCs w:val="20"/>
                <w:color w:val="auto"/>
              </w:rPr>
            </w:pPr>
            <w:r>
              <w:rPr>
                <w:rFonts w:ascii="Arial" w:cs="Arial" w:eastAsia="Arial" w:hAnsi="Arial"/>
                <w:sz w:val="13"/>
                <w:szCs w:val="13"/>
                <w:b w:val="1"/>
                <w:bCs w:val="1"/>
                <w:color w:val="auto"/>
              </w:rPr>
              <w:t>End of year</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7,810,362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7,120,782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5"/>
                <w:szCs w:val="15"/>
                <w:color w:val="286B38"/>
              </w:rPr>
              <w:t>13</w:t>
            </w:r>
          </w:p>
        </w:tc>
        <w:tc>
          <w:tcPr>
            <w:tcW w:w="7300" w:type="dxa"/>
            <w:vAlign w:val="bottom"/>
            <w:vMerge w:val="restart"/>
          </w:tcPr>
          <w:p>
            <w:pPr>
              <w:ind w:left="200"/>
              <w:spacing w:after="0"/>
              <w:rPr>
                <w:sz w:val="20"/>
                <w:szCs w:val="20"/>
                <w:color w:val="auto"/>
              </w:rPr>
            </w:pPr>
            <w:r>
              <w:rPr>
                <w:rFonts w:ascii="Arial" w:cs="Arial" w:eastAsia="Arial" w:hAnsi="Arial"/>
                <w:sz w:val="13"/>
                <w:szCs w:val="13"/>
                <w:color w:val="286B38"/>
              </w:rPr>
              <w:t>ArrowMark Financial Corp.</w:t>
            </w:r>
            <w:r>
              <w:rPr>
                <w:rFonts w:ascii="Arial" w:cs="Arial" w:eastAsia="Arial" w:hAnsi="Arial"/>
                <w:sz w:val="13"/>
                <w:szCs w:val="13"/>
                <w:b w:val="1"/>
                <w:bCs w:val="1"/>
                <w:color w:val="286B38"/>
              </w:rPr>
              <w:t>| Annual Report</w:t>
            </w: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80" w:type="dxa"/>
            <w:vAlign w:val="bottom"/>
            <w:vMerge w:val="continue"/>
          </w:tcPr>
          <w:p>
            <w:pPr>
              <w:spacing w:after="0"/>
              <w:rPr>
                <w:sz w:val="24"/>
                <w:szCs w:val="24"/>
                <w:color w:val="auto"/>
              </w:rPr>
            </w:pPr>
          </w:p>
        </w:tc>
        <w:tc>
          <w:tcPr>
            <w:tcW w:w="7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7"/>
          </w:tcPr>
          <w:p>
            <w:pPr>
              <w:jc w:val="right"/>
              <w:spacing w:after="0"/>
              <w:rPr>
                <w:sz w:val="20"/>
                <w:szCs w:val="20"/>
                <w:color w:val="auto"/>
              </w:rPr>
            </w:pPr>
            <w:r>
              <w:rPr>
                <w:rFonts w:ascii="Arial" w:cs="Arial" w:eastAsia="Arial" w:hAnsi="Arial"/>
                <w:sz w:val="13"/>
                <w:szCs w:val="13"/>
                <w:color w:val="296B38"/>
              </w:rPr>
              <w:t>See Notes to financial statements.</w:t>
            </w:r>
          </w:p>
        </w:tc>
        <w:tc>
          <w:tcPr>
            <w:tcW w:w="0" w:type="dxa"/>
            <w:vAlign w:val="bottom"/>
          </w:tcPr>
          <w:p>
            <w:pPr>
              <w:spacing w:after="0"/>
              <w:rPr>
                <w:sz w:val="1"/>
                <w:szCs w:val="1"/>
                <w:color w:val="auto"/>
              </w:rPr>
            </w:pPr>
          </w:p>
        </w:tc>
      </w:tr>
      <w:tr>
        <w:trPr>
          <w:trHeight w:val="404"/>
        </w:trPr>
        <w:tc>
          <w:tcPr>
            <w:tcW w:w="38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6" w:right="339" w:bottom="1440" w:gutter="0" w:footer="0" w:header="0"/>
        </w:sectPr>
      </w:pPr>
    </w:p>
    <w:bookmarkStart w:id="18" w:name="page19"/>
    <w:bookmarkEnd w:id="18"/>
    <w:p>
      <w:pPr>
        <w:spacing w:after="0"/>
        <w:rPr>
          <w:sz w:val="20"/>
          <w:szCs w:val="20"/>
          <w:color w:val="auto"/>
        </w:rPr>
      </w:pPr>
      <w:r>
        <w:rPr>
          <w:rFonts w:ascii="Arial" w:cs="Arial" w:eastAsia="Arial" w:hAnsi="Arial"/>
          <w:sz w:val="23"/>
          <w:szCs w:val="23"/>
          <w:color w:val="286B38"/>
        </w:rPr>
        <w:drawing>
          <wp:anchor simplePos="0" relativeHeight="251657728" behindDoc="1" locked="0" layoutInCell="0" allowOverlap="1">
            <wp:simplePos x="0" y="0"/>
            <wp:positionH relativeFrom="page">
              <wp:posOffset>203835</wp:posOffset>
            </wp:positionH>
            <wp:positionV relativeFrom="page">
              <wp:posOffset>535940</wp:posOffset>
            </wp:positionV>
            <wp:extent cx="7141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845" cy="8255"/>
                    </a:xfrm>
                    <a:prstGeom prst="rect">
                      <a:avLst/>
                    </a:prstGeom>
                    <a:noFill/>
                  </pic:spPr>
                </pic:pic>
              </a:graphicData>
            </a:graphic>
          </wp:anchor>
        </w:drawing>
        <w:t>Consolidated Statement of Cash Flow</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231F20"/>
        </w:rPr>
        <w:t>This Statement of Cash Flows shows cash flow from operating and financing activities for the year stated.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7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For the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1"/>
        </w:trPr>
        <w:tc>
          <w:tcPr>
            <w:tcW w:w="77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77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40" w:type="dxa"/>
            <w:vAlign w:val="bottom"/>
            <w:gridSpan w:val="4"/>
          </w:tcPr>
          <w:p>
            <w:pPr>
              <w:jc w:val="center"/>
              <w:ind w:right="33"/>
              <w:spacing w:after="0"/>
              <w:rPr>
                <w:sz w:val="20"/>
                <w:szCs w:val="20"/>
                <w:color w:val="auto"/>
              </w:rPr>
            </w:pPr>
            <w:r>
              <w:rPr>
                <w:rFonts w:ascii="Arial" w:cs="Arial" w:eastAsia="Arial" w:hAnsi="Arial"/>
                <w:sz w:val="13"/>
                <w:szCs w:val="13"/>
                <w:b w:val="1"/>
                <w:bCs w:val="1"/>
                <w:color w:val="auto"/>
              </w:rPr>
              <w:t>December 31, 2025</w:t>
            </w:r>
          </w:p>
        </w:tc>
      </w:tr>
      <w:tr>
        <w:trPr>
          <w:trHeight w:val="151"/>
        </w:trPr>
        <w:tc>
          <w:tcPr>
            <w:tcW w:w="7700" w:type="dxa"/>
            <w:vAlign w:val="bottom"/>
            <w:shd w:val="clear" w:color="auto" w:fill="296B38"/>
          </w:tcPr>
          <w:p>
            <w:pPr>
              <w:spacing w:after="0"/>
              <w:rPr>
                <w:sz w:val="20"/>
                <w:szCs w:val="20"/>
                <w:color w:val="auto"/>
              </w:rPr>
            </w:pPr>
            <w:r>
              <w:rPr>
                <w:rFonts w:ascii="Arial" w:cs="Arial" w:eastAsia="Arial" w:hAnsi="Arial"/>
                <w:sz w:val="13"/>
                <w:szCs w:val="13"/>
                <w:b w:val="1"/>
                <w:bCs w:val="1"/>
                <w:color w:val="FFFFFF"/>
              </w:rPr>
              <w:t>Cash flows from operating activities</w:t>
            </w:r>
          </w:p>
        </w:tc>
        <w:tc>
          <w:tcPr>
            <w:tcW w:w="2200" w:type="dxa"/>
            <w:vAlign w:val="bottom"/>
            <w:shd w:val="clear" w:color="auto" w:fill="296B38"/>
          </w:tcPr>
          <w:p>
            <w:pPr>
              <w:spacing w:after="0"/>
              <w:rPr>
                <w:sz w:val="13"/>
                <w:szCs w:val="13"/>
                <w:color w:val="auto"/>
              </w:rPr>
            </w:pPr>
          </w:p>
        </w:tc>
        <w:tc>
          <w:tcPr>
            <w:tcW w:w="160" w:type="dxa"/>
            <w:vAlign w:val="bottom"/>
            <w:shd w:val="clear" w:color="auto" w:fill="296B38"/>
          </w:tcPr>
          <w:p>
            <w:pPr>
              <w:spacing w:after="0"/>
              <w:rPr>
                <w:sz w:val="13"/>
                <w:szCs w:val="13"/>
                <w:color w:val="auto"/>
              </w:rPr>
            </w:pPr>
          </w:p>
        </w:tc>
        <w:tc>
          <w:tcPr>
            <w:tcW w:w="920" w:type="dxa"/>
            <w:vAlign w:val="bottom"/>
            <w:shd w:val="clear" w:color="auto" w:fill="296B38"/>
          </w:tcPr>
          <w:p>
            <w:pPr>
              <w:spacing w:after="0"/>
              <w:rPr>
                <w:sz w:val="13"/>
                <w:szCs w:val="13"/>
                <w:color w:val="auto"/>
              </w:rPr>
            </w:pPr>
          </w:p>
        </w:tc>
        <w:tc>
          <w:tcPr>
            <w:tcW w:w="160" w:type="dxa"/>
            <w:vAlign w:val="bottom"/>
            <w:shd w:val="clear" w:color="auto" w:fill="296B38"/>
          </w:tcPr>
          <w:p>
            <w:pPr>
              <w:spacing w:after="0"/>
              <w:rPr>
                <w:sz w:val="13"/>
                <w:szCs w:val="13"/>
                <w:color w:val="auto"/>
              </w:rPr>
            </w:pPr>
          </w:p>
        </w:tc>
        <w:tc>
          <w:tcPr>
            <w:tcW w:w="100" w:type="dxa"/>
            <w:vAlign w:val="bottom"/>
            <w:shd w:val="clear" w:color="auto" w:fill="296B38"/>
          </w:tcPr>
          <w:p>
            <w:pPr>
              <w:spacing w:after="0"/>
              <w:rPr>
                <w:sz w:val="13"/>
                <w:szCs w:val="13"/>
                <w:color w:val="auto"/>
              </w:rPr>
            </w:pPr>
          </w:p>
        </w:tc>
      </w:tr>
      <w:tr>
        <w:trPr>
          <w:trHeight w:val="175"/>
        </w:trPr>
        <w:tc>
          <w:tcPr>
            <w:tcW w:w="7700" w:type="dxa"/>
            <w:vAlign w:val="bottom"/>
          </w:tcPr>
          <w:p>
            <w:pPr>
              <w:spacing w:after="0"/>
              <w:rPr>
                <w:sz w:val="20"/>
                <w:szCs w:val="20"/>
                <w:color w:val="auto"/>
              </w:rPr>
            </w:pPr>
            <w:r>
              <w:rPr>
                <w:rFonts w:ascii="Arial" w:cs="Arial" w:eastAsia="Arial" w:hAnsi="Arial"/>
                <w:sz w:val="13"/>
                <w:szCs w:val="13"/>
                <w:color w:val="auto"/>
              </w:rPr>
              <w:t>Net increase in net assets from operations</w:t>
            </w:r>
          </w:p>
        </w:tc>
        <w:tc>
          <w:tcPr>
            <w:tcW w:w="236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17,888,098</w:t>
            </w:r>
          </w:p>
        </w:tc>
        <w:tc>
          <w:tcPr>
            <w:tcW w:w="100" w:type="dxa"/>
            <w:vAlign w:val="bottom"/>
          </w:tcPr>
          <w:p>
            <w:pPr>
              <w:spacing w:after="0"/>
              <w:rPr>
                <w:sz w:val="15"/>
                <w:szCs w:val="15"/>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3"/>
                <w:szCs w:val="13"/>
                <w:b w:val="1"/>
                <w:bCs w:val="1"/>
                <w:color w:val="auto"/>
              </w:rPr>
              <w:t>Adjustments to reconcile net increase in net assets from operations to net cash provided by operating activities:</w:t>
            </w:r>
          </w:p>
        </w:tc>
        <w:tc>
          <w:tcPr>
            <w:tcW w:w="2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Purchase of investments securities</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(47,743,416)</w:t>
            </w: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Proceeds from sales and redemptions of investment securities</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55,375,377</w:t>
            </w:r>
          </w:p>
        </w:tc>
        <w:tc>
          <w:tcPr>
            <w:tcW w:w="100" w:type="dxa"/>
            <w:vAlign w:val="bottom"/>
          </w:tcPr>
          <w:p>
            <w:pPr>
              <w:spacing w:after="0"/>
              <w:rPr>
                <w:sz w:val="13"/>
                <w:szCs w:val="13"/>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Net sales of short-term investments</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5,246,412</w:t>
            </w:r>
          </w:p>
        </w:tc>
        <w:tc>
          <w:tcPr>
            <w:tcW w:w="100" w:type="dxa"/>
            <w:vAlign w:val="bottom"/>
          </w:tcPr>
          <w:p>
            <w:pPr>
              <w:spacing w:after="0"/>
              <w:rPr>
                <w:sz w:val="13"/>
                <w:szCs w:val="13"/>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Proceeds from written options, net</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1,154,991</w:t>
            </w:r>
          </w:p>
        </w:tc>
        <w:tc>
          <w:tcPr>
            <w:tcW w:w="100" w:type="dxa"/>
            <w:vAlign w:val="bottom"/>
          </w:tcPr>
          <w:p>
            <w:pPr>
              <w:spacing w:after="0"/>
              <w:rPr>
                <w:sz w:val="13"/>
                <w:szCs w:val="13"/>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Net realized loss on investments</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4,056,521</w:t>
            </w:r>
          </w:p>
        </w:tc>
        <w:tc>
          <w:tcPr>
            <w:tcW w:w="100" w:type="dxa"/>
            <w:vAlign w:val="bottom"/>
          </w:tcPr>
          <w:p>
            <w:pPr>
              <w:spacing w:after="0"/>
              <w:rPr>
                <w:sz w:val="13"/>
                <w:szCs w:val="13"/>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Net change in net unrealized appreciation on investments</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(11,737,168)</w:t>
            </w: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Net change in unrealized depreciation on forward foreign currency contracts</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261,397</w:t>
            </w:r>
          </w:p>
        </w:tc>
        <w:tc>
          <w:tcPr>
            <w:tcW w:w="100" w:type="dxa"/>
            <w:vAlign w:val="bottom"/>
          </w:tcPr>
          <w:p>
            <w:pPr>
              <w:spacing w:after="0"/>
              <w:rPr>
                <w:sz w:val="13"/>
                <w:szCs w:val="13"/>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Net change in unrealized depreciation on written options</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612,115</w:t>
            </w:r>
          </w:p>
        </w:tc>
        <w:tc>
          <w:tcPr>
            <w:tcW w:w="100" w:type="dxa"/>
            <w:vAlign w:val="bottom"/>
          </w:tcPr>
          <w:p>
            <w:pPr>
              <w:spacing w:after="0"/>
              <w:rPr>
                <w:sz w:val="13"/>
                <w:szCs w:val="13"/>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Net accretion of discount</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(153,353)</w:t>
            </w: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Increase in prepaid expenses</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(515,518)</w:t>
            </w: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Increase in receivable for investments sold</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(846,747)</w:t>
            </w: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Decrease in interest receivable and dividends receivable</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109,124</w:t>
            </w:r>
          </w:p>
        </w:tc>
        <w:tc>
          <w:tcPr>
            <w:tcW w:w="100" w:type="dxa"/>
            <w:vAlign w:val="bottom"/>
          </w:tcPr>
          <w:p>
            <w:pPr>
              <w:spacing w:after="0"/>
              <w:rPr>
                <w:sz w:val="13"/>
                <w:szCs w:val="13"/>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Decrease in advisory fees payable</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(25,547)</w:t>
            </w: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Increase in loan interest payable</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ind w:right="33"/>
              <w:spacing w:after="0"/>
              <w:rPr>
                <w:sz w:val="20"/>
                <w:szCs w:val="20"/>
                <w:color w:val="auto"/>
              </w:rPr>
            </w:pPr>
            <w:r>
              <w:rPr>
                <w:rFonts w:ascii="Arial" w:cs="Arial" w:eastAsia="Arial" w:hAnsi="Arial"/>
                <w:sz w:val="13"/>
                <w:szCs w:val="13"/>
                <w:color w:val="auto"/>
              </w:rPr>
              <w:t>97,790</w:t>
            </w: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Increase in directors’ fees payable</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ind w:right="33"/>
              <w:spacing w:after="0"/>
              <w:rPr>
                <w:sz w:val="20"/>
                <w:szCs w:val="20"/>
                <w:color w:val="auto"/>
              </w:rPr>
            </w:pPr>
            <w:r>
              <w:rPr>
                <w:rFonts w:ascii="Arial" w:cs="Arial" w:eastAsia="Arial" w:hAnsi="Arial"/>
                <w:sz w:val="13"/>
                <w:szCs w:val="13"/>
                <w:color w:val="auto"/>
              </w:rPr>
              <w:t>53,965</w:t>
            </w: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Decrease in excise tax payable</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(265,605)</w:t>
            </w:r>
          </w:p>
        </w:tc>
      </w:tr>
      <w:tr>
        <w:trPr>
          <w:trHeight w:val="171"/>
        </w:trPr>
        <w:tc>
          <w:tcPr>
            <w:tcW w:w="7700" w:type="dxa"/>
            <w:vAlign w:val="bottom"/>
          </w:tcPr>
          <w:p>
            <w:pPr>
              <w:spacing w:after="0"/>
              <w:rPr>
                <w:sz w:val="20"/>
                <w:szCs w:val="20"/>
                <w:color w:val="auto"/>
              </w:rPr>
            </w:pPr>
            <w:r>
              <w:rPr>
                <w:rFonts w:ascii="Arial" w:cs="Arial" w:eastAsia="Arial" w:hAnsi="Arial"/>
                <w:sz w:val="13"/>
                <w:szCs w:val="13"/>
                <w:color w:val="auto"/>
              </w:rPr>
              <w:t>Increase in accrued fees payable</w:t>
            </w:r>
          </w:p>
        </w:tc>
        <w:tc>
          <w:tcPr>
            <w:tcW w:w="2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180,652</w:t>
            </w:r>
          </w:p>
        </w:tc>
        <w:tc>
          <w:tcPr>
            <w:tcW w:w="100" w:type="dxa"/>
            <w:vAlign w:val="bottom"/>
          </w:tcPr>
          <w:p>
            <w:pPr>
              <w:spacing w:after="0"/>
              <w:rPr>
                <w:sz w:val="14"/>
                <w:szCs w:val="14"/>
                <w:color w:val="auto"/>
              </w:rPr>
            </w:pPr>
          </w:p>
        </w:tc>
      </w:tr>
      <w:tr>
        <w:trPr>
          <w:trHeight w:val="143"/>
        </w:trPr>
        <w:tc>
          <w:tcPr>
            <w:tcW w:w="7700" w:type="dxa"/>
            <w:vAlign w:val="bottom"/>
          </w:tcPr>
          <w:p>
            <w:pPr>
              <w:spacing w:after="0" w:line="144" w:lineRule="exact"/>
              <w:rPr>
                <w:sz w:val="20"/>
                <w:szCs w:val="20"/>
                <w:color w:val="auto"/>
              </w:rPr>
            </w:pPr>
            <w:r>
              <w:rPr>
                <w:rFonts w:ascii="Arial" w:cs="Arial" w:eastAsia="Arial" w:hAnsi="Arial"/>
                <w:sz w:val="13"/>
                <w:szCs w:val="13"/>
                <w:b w:val="1"/>
                <w:bCs w:val="1"/>
                <w:color w:val="auto"/>
              </w:rPr>
              <w:t>Net cash used for operating activities</w:t>
            </w: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23,749,088</w:t>
            </w:r>
          </w:p>
        </w:tc>
        <w:tc>
          <w:tcPr>
            <w:tcW w:w="100" w:type="dxa"/>
            <w:vAlign w:val="bottom"/>
          </w:tcPr>
          <w:p>
            <w:pPr>
              <w:spacing w:after="0"/>
              <w:rPr>
                <w:sz w:val="12"/>
                <w:szCs w:val="12"/>
                <w:color w:val="auto"/>
              </w:rPr>
            </w:pPr>
          </w:p>
        </w:tc>
      </w:tr>
      <w:tr>
        <w:trPr>
          <w:trHeight w:val="151"/>
        </w:trPr>
        <w:tc>
          <w:tcPr>
            <w:tcW w:w="7700" w:type="dxa"/>
            <w:vAlign w:val="bottom"/>
            <w:shd w:val="clear" w:color="auto" w:fill="296B38"/>
          </w:tcPr>
          <w:p>
            <w:pPr>
              <w:spacing w:after="0"/>
              <w:rPr>
                <w:sz w:val="20"/>
                <w:szCs w:val="20"/>
                <w:color w:val="auto"/>
              </w:rPr>
            </w:pPr>
            <w:r>
              <w:rPr>
                <w:rFonts w:ascii="Arial" w:cs="Arial" w:eastAsia="Arial" w:hAnsi="Arial"/>
                <w:sz w:val="13"/>
                <w:szCs w:val="13"/>
                <w:b w:val="1"/>
                <w:bCs w:val="1"/>
                <w:color w:val="FFFFFF"/>
              </w:rPr>
              <w:t>Cash flows from financing activities</w:t>
            </w:r>
          </w:p>
        </w:tc>
        <w:tc>
          <w:tcPr>
            <w:tcW w:w="2200" w:type="dxa"/>
            <w:vAlign w:val="bottom"/>
            <w:shd w:val="clear" w:color="auto" w:fill="296B38"/>
          </w:tcPr>
          <w:p>
            <w:pPr>
              <w:spacing w:after="0"/>
              <w:rPr>
                <w:sz w:val="13"/>
                <w:szCs w:val="13"/>
                <w:color w:val="auto"/>
              </w:rPr>
            </w:pPr>
          </w:p>
        </w:tc>
        <w:tc>
          <w:tcPr>
            <w:tcW w:w="160" w:type="dxa"/>
            <w:vAlign w:val="bottom"/>
            <w:shd w:val="clear" w:color="auto" w:fill="296B38"/>
          </w:tcPr>
          <w:p>
            <w:pPr>
              <w:spacing w:after="0"/>
              <w:rPr>
                <w:sz w:val="13"/>
                <w:szCs w:val="13"/>
                <w:color w:val="auto"/>
              </w:rPr>
            </w:pPr>
          </w:p>
        </w:tc>
        <w:tc>
          <w:tcPr>
            <w:tcW w:w="920" w:type="dxa"/>
            <w:vAlign w:val="bottom"/>
            <w:shd w:val="clear" w:color="auto" w:fill="296B38"/>
          </w:tcPr>
          <w:p>
            <w:pPr>
              <w:spacing w:after="0"/>
              <w:rPr>
                <w:sz w:val="13"/>
                <w:szCs w:val="13"/>
                <w:color w:val="auto"/>
              </w:rPr>
            </w:pPr>
          </w:p>
        </w:tc>
        <w:tc>
          <w:tcPr>
            <w:tcW w:w="160" w:type="dxa"/>
            <w:vAlign w:val="bottom"/>
            <w:shd w:val="clear" w:color="auto" w:fill="296B38"/>
          </w:tcPr>
          <w:p>
            <w:pPr>
              <w:spacing w:after="0"/>
              <w:rPr>
                <w:sz w:val="13"/>
                <w:szCs w:val="13"/>
                <w:color w:val="auto"/>
              </w:rPr>
            </w:pPr>
          </w:p>
        </w:tc>
        <w:tc>
          <w:tcPr>
            <w:tcW w:w="100" w:type="dxa"/>
            <w:vAlign w:val="bottom"/>
            <w:shd w:val="clear" w:color="auto" w:fill="296B38"/>
          </w:tcPr>
          <w:p>
            <w:pPr>
              <w:spacing w:after="0"/>
              <w:rPr>
                <w:sz w:val="13"/>
                <w:szCs w:val="13"/>
                <w:color w:val="auto"/>
              </w:rPr>
            </w:pPr>
          </w:p>
        </w:tc>
      </w:tr>
      <w:tr>
        <w:trPr>
          <w:trHeight w:val="143"/>
        </w:trPr>
        <w:tc>
          <w:tcPr>
            <w:tcW w:w="7700" w:type="dxa"/>
            <w:vAlign w:val="bottom"/>
          </w:tcPr>
          <w:p>
            <w:pPr>
              <w:spacing w:after="0" w:line="143" w:lineRule="exact"/>
              <w:rPr>
                <w:sz w:val="20"/>
                <w:szCs w:val="20"/>
                <w:color w:val="auto"/>
              </w:rPr>
            </w:pPr>
            <w:r>
              <w:rPr>
                <w:rFonts w:ascii="Arial" w:cs="Arial" w:eastAsia="Arial" w:hAnsi="Arial"/>
                <w:sz w:val="13"/>
                <w:szCs w:val="13"/>
                <w:color w:val="auto"/>
              </w:rPr>
              <w:t>Cash contributions by shareholders, net of issuance costs ($90,000)</w:t>
            </w: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15,012,896</w:t>
            </w:r>
          </w:p>
        </w:tc>
        <w:tc>
          <w:tcPr>
            <w:tcW w:w="100" w:type="dxa"/>
            <w:vAlign w:val="bottom"/>
          </w:tcPr>
          <w:p>
            <w:pPr>
              <w:spacing w:after="0"/>
              <w:rPr>
                <w:sz w:val="12"/>
                <w:szCs w:val="12"/>
                <w:color w:val="auto"/>
              </w:rPr>
            </w:pPr>
          </w:p>
        </w:tc>
      </w:tr>
      <w:tr>
        <w:trPr>
          <w:trHeight w:val="151"/>
        </w:trPr>
        <w:tc>
          <w:tcPr>
            <w:tcW w:w="7700" w:type="dxa"/>
            <w:vAlign w:val="bottom"/>
          </w:tcPr>
          <w:p>
            <w:pPr>
              <w:spacing w:after="0"/>
              <w:rPr>
                <w:sz w:val="20"/>
                <w:szCs w:val="20"/>
                <w:color w:val="auto"/>
              </w:rPr>
            </w:pPr>
            <w:r>
              <w:rPr>
                <w:rFonts w:ascii="Arial" w:cs="Arial" w:eastAsia="Arial" w:hAnsi="Arial"/>
                <w:sz w:val="13"/>
                <w:szCs w:val="13"/>
                <w:color w:val="auto"/>
              </w:rPr>
              <w:t>Decrease in loan payable</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(21,600,000)</w:t>
            </w:r>
          </w:p>
        </w:tc>
      </w:tr>
      <w:tr>
        <w:trPr>
          <w:trHeight w:val="171"/>
        </w:trPr>
        <w:tc>
          <w:tcPr>
            <w:tcW w:w="7700" w:type="dxa"/>
            <w:vAlign w:val="bottom"/>
          </w:tcPr>
          <w:p>
            <w:pPr>
              <w:spacing w:after="0"/>
              <w:rPr>
                <w:sz w:val="20"/>
                <w:szCs w:val="20"/>
                <w:color w:val="auto"/>
              </w:rPr>
            </w:pPr>
            <w:r>
              <w:rPr>
                <w:rFonts w:ascii="Arial" w:cs="Arial" w:eastAsia="Arial" w:hAnsi="Arial"/>
                <w:sz w:val="13"/>
                <w:szCs w:val="13"/>
                <w:color w:val="auto"/>
              </w:rPr>
              <w:t>Cash distributions to shareholders</w:t>
            </w: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(17,572,265)</w:t>
            </w:r>
          </w:p>
        </w:tc>
      </w:tr>
      <w:tr>
        <w:trPr>
          <w:trHeight w:val="143"/>
        </w:trPr>
        <w:tc>
          <w:tcPr>
            <w:tcW w:w="7700" w:type="dxa"/>
            <w:vAlign w:val="bottom"/>
          </w:tcPr>
          <w:p>
            <w:pPr>
              <w:spacing w:after="0" w:line="144" w:lineRule="exact"/>
              <w:rPr>
                <w:sz w:val="20"/>
                <w:szCs w:val="20"/>
                <w:color w:val="auto"/>
              </w:rPr>
            </w:pPr>
            <w:r>
              <w:rPr>
                <w:rFonts w:ascii="Arial" w:cs="Arial" w:eastAsia="Arial" w:hAnsi="Arial"/>
                <w:sz w:val="13"/>
                <w:szCs w:val="13"/>
                <w:b w:val="1"/>
                <w:bCs w:val="1"/>
                <w:color w:val="auto"/>
              </w:rPr>
              <w:t>Net cash provided by financing activities</w:t>
            </w:r>
          </w:p>
        </w:tc>
        <w:tc>
          <w:tcPr>
            <w:tcW w:w="2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(24,159,369</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91"/>
              </w:rPr>
              <w:t>)</w:t>
            </w:r>
          </w:p>
        </w:tc>
      </w:tr>
      <w:tr>
        <w:trPr>
          <w:trHeight w:val="134"/>
        </w:trPr>
        <w:tc>
          <w:tcPr>
            <w:tcW w:w="7700" w:type="dxa"/>
            <w:vAlign w:val="bottom"/>
          </w:tcPr>
          <w:p>
            <w:pPr>
              <w:spacing w:after="0" w:line="134" w:lineRule="exact"/>
              <w:rPr>
                <w:sz w:val="20"/>
                <w:szCs w:val="20"/>
                <w:color w:val="auto"/>
              </w:rPr>
            </w:pPr>
            <w:r>
              <w:rPr>
                <w:rFonts w:ascii="Arial" w:cs="Arial" w:eastAsia="Arial" w:hAnsi="Arial"/>
                <w:sz w:val="13"/>
                <w:szCs w:val="13"/>
                <w:color w:val="auto"/>
              </w:rPr>
              <w:t>Net decrease in cash</w:t>
            </w: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(410,281)</w:t>
            </w:r>
          </w:p>
        </w:tc>
        <w:tc>
          <w:tcPr>
            <w:tcW w:w="100" w:type="dxa"/>
            <w:vAlign w:val="bottom"/>
          </w:tcPr>
          <w:p>
            <w:pPr>
              <w:spacing w:after="0"/>
              <w:rPr>
                <w:sz w:val="11"/>
                <w:szCs w:val="1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b w:val="1"/>
                <w:bCs w:val="1"/>
                <w:color w:val="auto"/>
              </w:rPr>
              <w:t>Cash and Foreign Cash:</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7700" w:type="dxa"/>
            <w:vAlign w:val="bottom"/>
          </w:tcPr>
          <w:p>
            <w:pPr>
              <w:spacing w:after="0"/>
              <w:rPr>
                <w:sz w:val="20"/>
                <w:szCs w:val="20"/>
                <w:color w:val="auto"/>
              </w:rPr>
            </w:pPr>
            <w:r>
              <w:rPr>
                <w:rFonts w:ascii="Arial" w:cs="Arial" w:eastAsia="Arial" w:hAnsi="Arial"/>
                <w:sz w:val="13"/>
                <w:szCs w:val="13"/>
                <w:color w:val="auto"/>
              </w:rPr>
              <w:t>Beginning of year</w:t>
            </w:r>
          </w:p>
        </w:tc>
        <w:tc>
          <w:tcPr>
            <w:tcW w:w="2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2,661,187</w:t>
            </w:r>
          </w:p>
        </w:tc>
        <w:tc>
          <w:tcPr>
            <w:tcW w:w="100" w:type="dxa"/>
            <w:vAlign w:val="bottom"/>
          </w:tcPr>
          <w:p>
            <w:pPr>
              <w:spacing w:after="0"/>
              <w:rPr>
                <w:sz w:val="14"/>
                <w:szCs w:val="14"/>
                <w:color w:val="auto"/>
              </w:rPr>
            </w:pPr>
          </w:p>
        </w:tc>
      </w:tr>
      <w:tr>
        <w:trPr>
          <w:trHeight w:val="156"/>
        </w:trPr>
        <w:tc>
          <w:tcPr>
            <w:tcW w:w="7700" w:type="dxa"/>
            <w:vAlign w:val="bottom"/>
          </w:tcPr>
          <w:p>
            <w:pPr>
              <w:spacing w:after="0"/>
              <w:rPr>
                <w:sz w:val="20"/>
                <w:szCs w:val="20"/>
                <w:color w:val="auto"/>
              </w:rPr>
            </w:pPr>
            <w:r>
              <w:rPr>
                <w:rFonts w:ascii="Arial" w:cs="Arial" w:eastAsia="Arial" w:hAnsi="Arial"/>
                <w:sz w:val="13"/>
                <w:szCs w:val="13"/>
                <w:color w:val="auto"/>
              </w:rPr>
              <w:t>End of year</w:t>
            </w:r>
          </w:p>
        </w:tc>
        <w:tc>
          <w:tcPr>
            <w:tcW w:w="236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2,250,906</w:t>
            </w:r>
          </w:p>
        </w:tc>
        <w:tc>
          <w:tcPr>
            <w:tcW w:w="100" w:type="dxa"/>
            <w:vAlign w:val="bottom"/>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1"/>
        </w:trPr>
        <w:tc>
          <w:tcPr>
            <w:tcW w:w="7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7700" w:type="dxa"/>
            <w:vAlign w:val="bottom"/>
            <w:shd w:val="clear" w:color="auto" w:fill="296B38"/>
          </w:tcPr>
          <w:p>
            <w:pPr>
              <w:spacing w:after="0"/>
              <w:rPr>
                <w:sz w:val="20"/>
                <w:szCs w:val="20"/>
                <w:color w:val="auto"/>
              </w:rPr>
            </w:pPr>
            <w:r>
              <w:rPr>
                <w:rFonts w:ascii="Arial" w:cs="Arial" w:eastAsia="Arial" w:hAnsi="Arial"/>
                <w:sz w:val="13"/>
                <w:szCs w:val="13"/>
                <w:b w:val="1"/>
                <w:bCs w:val="1"/>
                <w:color w:val="FFFFFF"/>
              </w:rPr>
              <w:t>Supplemental disclosure of cash flow information</w:t>
            </w:r>
          </w:p>
        </w:tc>
        <w:tc>
          <w:tcPr>
            <w:tcW w:w="2200" w:type="dxa"/>
            <w:vAlign w:val="bottom"/>
            <w:shd w:val="clear" w:color="auto" w:fill="296B38"/>
          </w:tcPr>
          <w:p>
            <w:pPr>
              <w:spacing w:after="0"/>
              <w:rPr>
                <w:sz w:val="13"/>
                <w:szCs w:val="13"/>
                <w:color w:val="auto"/>
              </w:rPr>
            </w:pPr>
          </w:p>
        </w:tc>
        <w:tc>
          <w:tcPr>
            <w:tcW w:w="160" w:type="dxa"/>
            <w:vAlign w:val="bottom"/>
            <w:shd w:val="clear" w:color="auto" w:fill="296B38"/>
          </w:tcPr>
          <w:p>
            <w:pPr>
              <w:spacing w:after="0"/>
              <w:rPr>
                <w:sz w:val="13"/>
                <w:szCs w:val="13"/>
                <w:color w:val="auto"/>
              </w:rPr>
            </w:pPr>
          </w:p>
        </w:tc>
        <w:tc>
          <w:tcPr>
            <w:tcW w:w="920" w:type="dxa"/>
            <w:vAlign w:val="bottom"/>
            <w:shd w:val="clear" w:color="auto" w:fill="296B38"/>
          </w:tcPr>
          <w:p>
            <w:pPr>
              <w:spacing w:after="0"/>
              <w:rPr>
                <w:sz w:val="13"/>
                <w:szCs w:val="13"/>
                <w:color w:val="auto"/>
              </w:rPr>
            </w:pPr>
          </w:p>
        </w:tc>
        <w:tc>
          <w:tcPr>
            <w:tcW w:w="160" w:type="dxa"/>
            <w:vAlign w:val="bottom"/>
            <w:shd w:val="clear" w:color="auto" w:fill="296B38"/>
          </w:tcPr>
          <w:p>
            <w:pPr>
              <w:spacing w:after="0"/>
              <w:rPr>
                <w:sz w:val="13"/>
                <w:szCs w:val="13"/>
                <w:color w:val="auto"/>
              </w:rPr>
            </w:pPr>
          </w:p>
        </w:tc>
        <w:tc>
          <w:tcPr>
            <w:tcW w:w="100" w:type="dxa"/>
            <w:vAlign w:val="bottom"/>
            <w:shd w:val="clear" w:color="auto" w:fill="296B38"/>
          </w:tcPr>
          <w:p>
            <w:pPr>
              <w:spacing w:after="0"/>
              <w:rPr>
                <w:sz w:val="13"/>
                <w:szCs w:val="13"/>
                <w:color w:val="auto"/>
              </w:rPr>
            </w:pPr>
          </w:p>
        </w:tc>
      </w:tr>
      <w:tr>
        <w:trPr>
          <w:trHeight w:val="141"/>
        </w:trPr>
        <w:tc>
          <w:tcPr>
            <w:tcW w:w="7700" w:type="dxa"/>
            <w:vAlign w:val="bottom"/>
          </w:tcPr>
          <w:p>
            <w:pPr>
              <w:spacing w:after="0" w:line="141" w:lineRule="exact"/>
              <w:rPr>
                <w:sz w:val="20"/>
                <w:szCs w:val="20"/>
                <w:color w:val="auto"/>
              </w:rPr>
            </w:pPr>
            <w:r>
              <w:rPr>
                <w:rFonts w:ascii="Arial" w:cs="Arial" w:eastAsia="Arial" w:hAnsi="Arial"/>
                <w:sz w:val="13"/>
                <w:szCs w:val="13"/>
                <w:b w:val="1"/>
                <w:bCs w:val="1"/>
                <w:color w:val="auto"/>
              </w:rPr>
              <w:t>Cash paid for interest</w:t>
            </w:r>
          </w:p>
        </w:tc>
        <w:tc>
          <w:tcPr>
            <w:tcW w:w="2360" w:type="dxa"/>
            <w:vAlign w:val="bottom"/>
            <w:gridSpan w:val="2"/>
          </w:tcPr>
          <w:p>
            <w:pPr>
              <w:jc w:val="right"/>
              <w:ind w:right="13"/>
              <w:spacing w:after="0" w:line="141" w:lineRule="exact"/>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rPr>
              <w:t>3,420,615</w:t>
            </w:r>
          </w:p>
        </w:tc>
        <w:tc>
          <w:tcPr>
            <w:tcW w:w="100" w:type="dxa"/>
            <w:vAlign w:val="bottom"/>
          </w:tcPr>
          <w:p>
            <w:pPr>
              <w:spacing w:after="0"/>
              <w:rPr>
                <w:sz w:val="12"/>
                <w:szCs w:val="12"/>
                <w:color w:val="auto"/>
              </w:rPr>
            </w:pPr>
          </w:p>
        </w:tc>
      </w:tr>
      <w:tr>
        <w:trPr>
          <w:trHeight w:val="185"/>
        </w:trPr>
        <w:tc>
          <w:tcPr>
            <w:tcW w:w="7700" w:type="dxa"/>
            <w:vAlign w:val="bottom"/>
          </w:tcPr>
          <w:p>
            <w:pPr>
              <w:spacing w:after="0"/>
              <w:rPr>
                <w:sz w:val="20"/>
                <w:szCs w:val="20"/>
                <w:color w:val="auto"/>
              </w:rPr>
            </w:pPr>
            <w:r>
              <w:rPr>
                <w:rFonts w:ascii="Arial" w:cs="Arial" w:eastAsia="Arial" w:hAnsi="Arial"/>
                <w:sz w:val="13"/>
                <w:szCs w:val="13"/>
                <w:b w:val="1"/>
                <w:bCs w:val="1"/>
                <w:color w:val="auto"/>
              </w:rPr>
              <w:t>Distributions reinvested</w:t>
            </w:r>
          </w:p>
        </w:tc>
        <w:tc>
          <w:tcPr>
            <w:tcW w:w="236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241,887</w:t>
            </w:r>
          </w:p>
        </w:tc>
        <w:tc>
          <w:tcPr>
            <w:tcW w:w="100" w:type="dxa"/>
            <w:vAlign w:val="bottom"/>
          </w:tcPr>
          <w:p>
            <w:pPr>
              <w:spacing w:after="0"/>
              <w:rPr>
                <w:sz w:val="16"/>
                <w:szCs w:val="16"/>
                <w:color w:val="auto"/>
              </w:rPr>
            </w:pPr>
          </w:p>
        </w:tc>
      </w:tr>
      <w:tr>
        <w:trPr>
          <w:trHeight w:val="350"/>
        </w:trPr>
        <w:tc>
          <w:tcPr>
            <w:tcW w:w="7700" w:type="dxa"/>
            <w:vAlign w:val="bottom"/>
          </w:tcPr>
          <w:p>
            <w:pPr>
              <w:spacing w:after="0"/>
              <w:rPr>
                <w:sz w:val="20"/>
                <w:szCs w:val="20"/>
                <w:color w:val="auto"/>
              </w:rPr>
            </w:pPr>
            <w:r>
              <w:rPr>
                <w:rFonts w:ascii="Arial" w:cs="Arial" w:eastAsia="Arial" w:hAnsi="Arial"/>
                <w:sz w:val="13"/>
                <w:szCs w:val="13"/>
                <w:color w:val="296B38"/>
              </w:rPr>
              <w:t>See Notes to financial statements.</w:t>
            </w:r>
          </w:p>
        </w:tc>
        <w:tc>
          <w:tcPr>
            <w:tcW w:w="3280" w:type="dxa"/>
            <w:vAlign w:val="bottom"/>
            <w:gridSpan w:val="3"/>
          </w:tcPr>
          <w:p>
            <w:pPr>
              <w:ind w:left="52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260" w:type="dxa"/>
            <w:vAlign w:val="bottom"/>
            <w:gridSpan w:val="2"/>
          </w:tcPr>
          <w:p>
            <w:pPr>
              <w:jc w:val="right"/>
              <w:spacing w:after="0"/>
              <w:rPr>
                <w:sz w:val="20"/>
                <w:szCs w:val="20"/>
                <w:color w:val="auto"/>
              </w:rPr>
            </w:pPr>
            <w:r>
              <w:rPr>
                <w:rFonts w:ascii="Arial" w:cs="Arial" w:eastAsia="Arial" w:hAnsi="Arial"/>
                <w:sz w:val="15"/>
                <w:szCs w:val="15"/>
                <w:color w:val="296B38"/>
              </w:rPr>
              <w:t>14</w:t>
            </w:r>
          </w:p>
        </w:tc>
      </w:tr>
      <w:tr>
        <w:trPr>
          <w:trHeight w:val="404"/>
        </w:trPr>
        <w:tc>
          <w:tcPr>
            <w:tcW w:w="77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36"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527685</wp:posOffset>
            </wp:positionV>
            <wp:extent cx="7200265" cy="821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00265" cy="82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financial highlights show how the Company’s net asset value for a common stock share has changed during the 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78"/>
              <w:spacing w:after="0"/>
              <w:rPr>
                <w:sz w:val="20"/>
                <w:szCs w:val="20"/>
                <w:color w:val="auto"/>
              </w:rPr>
            </w:pPr>
            <w:r>
              <w:rPr>
                <w:rFonts w:ascii="Arial" w:cs="Arial" w:eastAsia="Arial" w:hAnsi="Arial"/>
                <w:sz w:val="13"/>
                <w:szCs w:val="13"/>
                <w:b w:val="1"/>
                <w:bCs w:val="1"/>
                <w:color w:val="auto"/>
                <w:w w:val="95"/>
              </w:rPr>
              <w:t>For the</w:t>
            </w:r>
          </w:p>
        </w:tc>
        <w:tc>
          <w:tcPr>
            <w:tcW w:w="80" w:type="dxa"/>
            <w:vAlign w:val="bottom"/>
          </w:tcPr>
          <w:p>
            <w:pPr>
              <w:spacing w:after="0"/>
              <w:rPr>
                <w:sz w:val="13"/>
                <w:szCs w:val="13"/>
                <w:color w:val="auto"/>
              </w:rPr>
            </w:pPr>
          </w:p>
        </w:tc>
        <w:tc>
          <w:tcPr>
            <w:tcW w:w="110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95"/>
              </w:rPr>
              <w:t>For the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58"/>
              <w:spacing w:after="0"/>
              <w:rPr>
                <w:sz w:val="20"/>
                <w:szCs w:val="20"/>
                <w:color w:val="auto"/>
              </w:rPr>
            </w:pPr>
            <w:r>
              <w:rPr>
                <w:rFonts w:ascii="Arial" w:cs="Arial" w:eastAsia="Arial" w:hAnsi="Arial"/>
                <w:sz w:val="13"/>
                <w:szCs w:val="13"/>
                <w:b w:val="1"/>
                <w:bCs w:val="1"/>
                <w:color w:val="auto"/>
                <w:w w:val="95"/>
              </w:rPr>
              <w:t>For the</w:t>
            </w:r>
          </w:p>
        </w:tc>
        <w:tc>
          <w:tcPr>
            <w:tcW w:w="80" w:type="dxa"/>
            <w:vAlign w:val="bottom"/>
          </w:tcPr>
          <w:p>
            <w:pPr>
              <w:spacing w:after="0"/>
              <w:rPr>
                <w:sz w:val="13"/>
                <w:szCs w:val="13"/>
                <w:color w:val="auto"/>
              </w:rPr>
            </w:pPr>
          </w:p>
        </w:tc>
        <w:tc>
          <w:tcPr>
            <w:tcW w:w="1180" w:type="dxa"/>
            <w:vAlign w:val="bottom"/>
            <w:gridSpan w:val="2"/>
          </w:tcPr>
          <w:p>
            <w:pPr>
              <w:jc w:val="center"/>
              <w:ind w:right="298"/>
              <w:spacing w:after="0"/>
              <w:rPr>
                <w:sz w:val="20"/>
                <w:szCs w:val="20"/>
                <w:color w:val="auto"/>
              </w:rPr>
            </w:pPr>
            <w:r>
              <w:rPr>
                <w:rFonts w:ascii="Arial" w:cs="Arial" w:eastAsia="Arial" w:hAnsi="Arial"/>
                <w:sz w:val="13"/>
                <w:szCs w:val="13"/>
                <w:b w:val="1"/>
                <w:bCs w:val="1"/>
                <w:color w:val="auto"/>
                <w:w w:val="99"/>
              </w:rPr>
              <w:t>For the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center"/>
              <w:ind w:right="175"/>
              <w:spacing w:after="0"/>
              <w:rPr>
                <w:sz w:val="20"/>
                <w:szCs w:val="20"/>
                <w:color w:val="auto"/>
              </w:rPr>
            </w:pPr>
            <w:r>
              <w:rPr>
                <w:rFonts w:ascii="Arial" w:cs="Arial" w:eastAsia="Arial" w:hAnsi="Arial"/>
                <w:sz w:val="13"/>
                <w:szCs w:val="13"/>
                <w:b w:val="1"/>
                <w:bCs w:val="1"/>
                <w:color w:val="auto"/>
                <w:w w:val="99"/>
              </w:rPr>
              <w:t>For the</w:t>
            </w:r>
          </w:p>
        </w:tc>
        <w:tc>
          <w:tcPr>
            <w:tcW w:w="0" w:type="dxa"/>
            <w:vAlign w:val="bottom"/>
          </w:tcPr>
          <w:p>
            <w:pPr>
              <w:spacing w:after="0"/>
              <w:rPr>
                <w:sz w:val="1"/>
                <w:szCs w:val="1"/>
                <w:color w:val="auto"/>
              </w:rPr>
            </w:pPr>
          </w:p>
        </w:tc>
      </w:tr>
      <w:tr>
        <w:trPr>
          <w:trHeight w:val="138"/>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78"/>
              <w:spacing w:after="0" w:line="138" w:lineRule="exact"/>
              <w:rPr>
                <w:sz w:val="20"/>
                <w:szCs w:val="20"/>
                <w:color w:val="auto"/>
              </w:rPr>
            </w:pPr>
            <w:r>
              <w:rPr>
                <w:rFonts w:ascii="Arial" w:cs="Arial" w:eastAsia="Arial" w:hAnsi="Arial"/>
                <w:sz w:val="13"/>
                <w:szCs w:val="13"/>
                <w:b w:val="1"/>
                <w:bCs w:val="1"/>
                <w:color w:val="auto"/>
                <w:w w:val="92"/>
              </w:rPr>
              <w:t>Year</w:t>
            </w:r>
          </w:p>
        </w:tc>
        <w:tc>
          <w:tcPr>
            <w:tcW w:w="80" w:type="dxa"/>
            <w:vAlign w:val="bottom"/>
          </w:tcPr>
          <w:p>
            <w:pPr>
              <w:spacing w:after="0"/>
              <w:rPr>
                <w:sz w:val="12"/>
                <w:szCs w:val="12"/>
                <w:color w:val="auto"/>
              </w:rPr>
            </w:pPr>
          </w:p>
        </w:tc>
        <w:tc>
          <w:tcPr>
            <w:tcW w:w="1100" w:type="dxa"/>
            <w:vAlign w:val="bottom"/>
            <w:gridSpan w:val="2"/>
          </w:tcPr>
          <w:p>
            <w:pPr>
              <w:jc w:val="center"/>
              <w:ind w:right="198"/>
              <w:spacing w:after="0" w:line="138" w:lineRule="exact"/>
              <w:rPr>
                <w:sz w:val="20"/>
                <w:szCs w:val="20"/>
                <w:color w:val="auto"/>
              </w:rPr>
            </w:pPr>
            <w:r>
              <w:rPr>
                <w:rFonts w:ascii="Arial" w:cs="Arial" w:eastAsia="Arial" w:hAnsi="Arial"/>
                <w:sz w:val="13"/>
                <w:szCs w:val="13"/>
                <w:b w:val="1"/>
                <w:bCs w:val="1"/>
                <w:color w:val="auto"/>
                <w:w w:val="92"/>
              </w:rPr>
              <w:t>Year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58"/>
              <w:spacing w:after="0" w:line="138" w:lineRule="exact"/>
              <w:rPr>
                <w:sz w:val="20"/>
                <w:szCs w:val="20"/>
                <w:color w:val="auto"/>
              </w:rPr>
            </w:pPr>
            <w:r>
              <w:rPr>
                <w:rFonts w:ascii="Arial" w:cs="Arial" w:eastAsia="Arial" w:hAnsi="Arial"/>
                <w:sz w:val="13"/>
                <w:szCs w:val="13"/>
                <w:b w:val="1"/>
                <w:bCs w:val="1"/>
                <w:color w:val="auto"/>
                <w:w w:val="92"/>
              </w:rPr>
              <w:t>Year</w:t>
            </w:r>
          </w:p>
        </w:tc>
        <w:tc>
          <w:tcPr>
            <w:tcW w:w="80" w:type="dxa"/>
            <w:vAlign w:val="bottom"/>
          </w:tcPr>
          <w:p>
            <w:pPr>
              <w:spacing w:after="0"/>
              <w:rPr>
                <w:sz w:val="12"/>
                <w:szCs w:val="12"/>
                <w:color w:val="auto"/>
              </w:rPr>
            </w:pPr>
          </w:p>
        </w:tc>
        <w:tc>
          <w:tcPr>
            <w:tcW w:w="1180" w:type="dxa"/>
            <w:vAlign w:val="bottom"/>
            <w:gridSpan w:val="2"/>
          </w:tcPr>
          <w:p>
            <w:pPr>
              <w:jc w:val="center"/>
              <w:ind w:right="298"/>
              <w:spacing w:after="0" w:line="138" w:lineRule="exact"/>
              <w:rPr>
                <w:sz w:val="20"/>
                <w:szCs w:val="20"/>
                <w:color w:val="auto"/>
              </w:rPr>
            </w:pPr>
            <w:r>
              <w:rPr>
                <w:rFonts w:ascii="Arial" w:cs="Arial" w:eastAsia="Arial" w:hAnsi="Arial"/>
                <w:sz w:val="13"/>
                <w:szCs w:val="13"/>
                <w:b w:val="1"/>
                <w:bCs w:val="1"/>
                <w:color w:val="auto"/>
                <w:w w:val="99"/>
              </w:rPr>
              <w:t>Year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75"/>
              <w:spacing w:after="0" w:line="138" w:lineRule="exact"/>
              <w:rPr>
                <w:sz w:val="20"/>
                <w:szCs w:val="20"/>
                <w:color w:val="auto"/>
              </w:rPr>
            </w:pPr>
            <w:r>
              <w:rPr>
                <w:rFonts w:ascii="Arial" w:cs="Arial" w:eastAsia="Arial" w:hAnsi="Arial"/>
                <w:sz w:val="13"/>
                <w:szCs w:val="13"/>
                <w:b w:val="1"/>
                <w:bCs w:val="1"/>
                <w:color w:val="auto"/>
                <w:w w:val="99"/>
              </w:rPr>
              <w:t>Year</w:t>
            </w:r>
          </w:p>
        </w:tc>
        <w:tc>
          <w:tcPr>
            <w:tcW w:w="0" w:type="dxa"/>
            <w:vAlign w:val="bottom"/>
          </w:tcPr>
          <w:p>
            <w:pPr>
              <w:spacing w:after="0"/>
              <w:rPr>
                <w:sz w:val="1"/>
                <w:szCs w:val="1"/>
                <w:color w:val="auto"/>
              </w:rPr>
            </w:pPr>
          </w:p>
        </w:tc>
      </w:tr>
      <w:tr>
        <w:trPr>
          <w:trHeight w:val="138"/>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78"/>
              <w:spacing w:after="0" w:line="138" w:lineRule="exact"/>
              <w:rPr>
                <w:sz w:val="20"/>
                <w:szCs w:val="20"/>
                <w:color w:val="auto"/>
              </w:rPr>
            </w:pPr>
            <w:r>
              <w:rPr>
                <w:rFonts w:ascii="Arial" w:cs="Arial" w:eastAsia="Arial" w:hAnsi="Arial"/>
                <w:sz w:val="13"/>
                <w:szCs w:val="13"/>
                <w:b w:val="1"/>
                <w:bCs w:val="1"/>
                <w:color w:val="auto"/>
                <w:w w:val="95"/>
              </w:rPr>
              <w:t>Ended</w:t>
            </w:r>
          </w:p>
        </w:tc>
        <w:tc>
          <w:tcPr>
            <w:tcW w:w="80" w:type="dxa"/>
            <w:vAlign w:val="bottom"/>
          </w:tcPr>
          <w:p>
            <w:pPr>
              <w:spacing w:after="0"/>
              <w:rPr>
                <w:sz w:val="12"/>
                <w:szCs w:val="12"/>
                <w:color w:val="auto"/>
              </w:rPr>
            </w:pPr>
          </w:p>
        </w:tc>
        <w:tc>
          <w:tcPr>
            <w:tcW w:w="1100" w:type="dxa"/>
            <w:vAlign w:val="bottom"/>
            <w:gridSpan w:val="2"/>
          </w:tcPr>
          <w:p>
            <w:pPr>
              <w:jc w:val="center"/>
              <w:ind w:right="198"/>
              <w:spacing w:after="0" w:line="138" w:lineRule="exact"/>
              <w:rPr>
                <w:sz w:val="20"/>
                <w:szCs w:val="20"/>
                <w:color w:val="auto"/>
              </w:rPr>
            </w:pPr>
            <w:r>
              <w:rPr>
                <w:rFonts w:ascii="Arial" w:cs="Arial" w:eastAsia="Arial" w:hAnsi="Arial"/>
                <w:sz w:val="13"/>
                <w:szCs w:val="13"/>
                <w:b w:val="1"/>
                <w:bCs w:val="1"/>
                <w:color w:val="auto"/>
                <w:w w:val="95"/>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58"/>
              <w:spacing w:after="0" w:line="138" w:lineRule="exact"/>
              <w:rPr>
                <w:sz w:val="20"/>
                <w:szCs w:val="20"/>
                <w:color w:val="auto"/>
              </w:rPr>
            </w:pPr>
            <w:r>
              <w:rPr>
                <w:rFonts w:ascii="Arial" w:cs="Arial" w:eastAsia="Arial" w:hAnsi="Arial"/>
                <w:sz w:val="13"/>
                <w:szCs w:val="13"/>
                <w:b w:val="1"/>
                <w:bCs w:val="1"/>
                <w:color w:val="auto"/>
                <w:w w:val="95"/>
              </w:rPr>
              <w:t>Ended</w:t>
            </w:r>
          </w:p>
        </w:tc>
        <w:tc>
          <w:tcPr>
            <w:tcW w:w="80" w:type="dxa"/>
            <w:vAlign w:val="bottom"/>
          </w:tcPr>
          <w:p>
            <w:pPr>
              <w:spacing w:after="0"/>
              <w:rPr>
                <w:sz w:val="12"/>
                <w:szCs w:val="12"/>
                <w:color w:val="auto"/>
              </w:rPr>
            </w:pPr>
          </w:p>
        </w:tc>
        <w:tc>
          <w:tcPr>
            <w:tcW w:w="1180" w:type="dxa"/>
            <w:vAlign w:val="bottom"/>
            <w:gridSpan w:val="2"/>
          </w:tcPr>
          <w:p>
            <w:pPr>
              <w:jc w:val="center"/>
              <w:ind w:right="298"/>
              <w:spacing w:after="0" w:line="138" w:lineRule="exact"/>
              <w:rPr>
                <w:sz w:val="20"/>
                <w:szCs w:val="20"/>
                <w:color w:val="auto"/>
              </w:rPr>
            </w:pPr>
            <w:r>
              <w:rPr>
                <w:rFonts w:ascii="Arial" w:cs="Arial" w:eastAsia="Arial" w:hAnsi="Arial"/>
                <w:sz w:val="13"/>
                <w:szCs w:val="13"/>
                <w:b w:val="1"/>
                <w:bCs w:val="1"/>
                <w:color w:val="auto"/>
              </w:rPr>
              <w:t>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75"/>
              <w:spacing w:after="0" w:line="138" w:lineRule="exact"/>
              <w:rPr>
                <w:sz w:val="20"/>
                <w:szCs w:val="20"/>
                <w:color w:val="auto"/>
              </w:rPr>
            </w:pPr>
            <w:r>
              <w:rPr>
                <w:rFonts w:ascii="Arial" w:cs="Arial" w:eastAsia="Arial" w:hAnsi="Arial"/>
                <w:sz w:val="13"/>
                <w:szCs w:val="13"/>
                <w:b w:val="1"/>
                <w:bCs w:val="1"/>
                <w:color w:val="auto"/>
              </w:rPr>
              <w:t>Ended</w:t>
            </w:r>
          </w:p>
        </w:tc>
        <w:tc>
          <w:tcPr>
            <w:tcW w:w="0" w:type="dxa"/>
            <w:vAlign w:val="bottom"/>
          </w:tcPr>
          <w:p>
            <w:pPr>
              <w:spacing w:after="0"/>
              <w:rPr>
                <w:sz w:val="1"/>
                <w:szCs w:val="1"/>
                <w:color w:val="auto"/>
              </w:rPr>
            </w:pPr>
          </w:p>
        </w:tc>
      </w:tr>
      <w:tr>
        <w:trPr>
          <w:trHeight w:val="138"/>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78"/>
              <w:spacing w:after="0" w:line="138" w:lineRule="exact"/>
              <w:rPr>
                <w:sz w:val="20"/>
                <w:szCs w:val="20"/>
                <w:color w:val="auto"/>
              </w:rPr>
            </w:pPr>
            <w:r>
              <w:rPr>
                <w:rFonts w:ascii="Arial" w:cs="Arial" w:eastAsia="Arial" w:hAnsi="Arial"/>
                <w:sz w:val="13"/>
                <w:szCs w:val="13"/>
                <w:b w:val="1"/>
                <w:bCs w:val="1"/>
                <w:color w:val="auto"/>
                <w:w w:val="96"/>
              </w:rPr>
              <w:t>December 31,</w:t>
            </w:r>
          </w:p>
        </w:tc>
        <w:tc>
          <w:tcPr>
            <w:tcW w:w="80" w:type="dxa"/>
            <w:vAlign w:val="bottom"/>
          </w:tcPr>
          <w:p>
            <w:pPr>
              <w:spacing w:after="0"/>
              <w:rPr>
                <w:sz w:val="12"/>
                <w:szCs w:val="12"/>
                <w:color w:val="auto"/>
              </w:rPr>
            </w:pPr>
          </w:p>
        </w:tc>
        <w:tc>
          <w:tcPr>
            <w:tcW w:w="1100" w:type="dxa"/>
            <w:vAlign w:val="bottom"/>
            <w:gridSpan w:val="2"/>
          </w:tcPr>
          <w:p>
            <w:pPr>
              <w:jc w:val="center"/>
              <w:ind w:right="198"/>
              <w:spacing w:after="0" w:line="138"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58"/>
              <w:spacing w:after="0" w:line="138" w:lineRule="exact"/>
              <w:rPr>
                <w:sz w:val="20"/>
                <w:szCs w:val="20"/>
                <w:color w:val="auto"/>
              </w:rPr>
            </w:pPr>
            <w:r>
              <w:rPr>
                <w:rFonts w:ascii="Arial" w:cs="Arial" w:eastAsia="Arial" w:hAnsi="Arial"/>
                <w:sz w:val="13"/>
                <w:szCs w:val="13"/>
                <w:b w:val="1"/>
                <w:bCs w:val="1"/>
                <w:color w:val="auto"/>
                <w:w w:val="96"/>
              </w:rPr>
              <w:t>December 31,</w:t>
            </w:r>
          </w:p>
        </w:tc>
        <w:tc>
          <w:tcPr>
            <w:tcW w:w="80" w:type="dxa"/>
            <w:vAlign w:val="bottom"/>
          </w:tcPr>
          <w:p>
            <w:pPr>
              <w:spacing w:after="0"/>
              <w:rPr>
                <w:sz w:val="12"/>
                <w:szCs w:val="12"/>
                <w:color w:val="auto"/>
              </w:rPr>
            </w:pPr>
          </w:p>
        </w:tc>
        <w:tc>
          <w:tcPr>
            <w:tcW w:w="1180" w:type="dxa"/>
            <w:vAlign w:val="bottom"/>
            <w:gridSpan w:val="2"/>
          </w:tcPr>
          <w:p>
            <w:pPr>
              <w:jc w:val="center"/>
              <w:ind w:right="278"/>
              <w:spacing w:after="0" w:line="138"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95"/>
              <w:spacing w:after="0" w:line="138"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2025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2024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2023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2022</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00" w:type="dxa"/>
            <w:vAlign w:val="bottom"/>
            <w:shd w:val="clear" w:color="auto" w:fill="296B38"/>
          </w:tcPr>
          <w:p>
            <w:pPr>
              <w:spacing w:after="0" w:line="138" w:lineRule="exact"/>
              <w:rPr>
                <w:sz w:val="20"/>
                <w:szCs w:val="20"/>
                <w:color w:val="auto"/>
              </w:rPr>
            </w:pPr>
            <w:r>
              <w:rPr>
                <w:rFonts w:ascii="Arial" w:cs="Arial" w:eastAsia="Arial" w:hAnsi="Arial"/>
                <w:sz w:val="13"/>
                <w:szCs w:val="13"/>
                <w:b w:val="1"/>
                <w:bCs w:val="1"/>
                <w:color w:val="FFFFFF"/>
              </w:rPr>
              <w:t>Per share operating performance</w:t>
            </w:r>
          </w:p>
        </w:tc>
        <w:tc>
          <w:tcPr>
            <w:tcW w:w="98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24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16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20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26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line="134" w:lineRule="exact"/>
              <w:rPr>
                <w:sz w:val="20"/>
                <w:szCs w:val="20"/>
                <w:color w:val="auto"/>
              </w:rPr>
            </w:pPr>
            <w:r>
              <w:rPr>
                <w:rFonts w:ascii="Arial" w:cs="Arial" w:eastAsia="Arial" w:hAnsi="Arial"/>
                <w:sz w:val="13"/>
                <w:szCs w:val="13"/>
                <w:b w:val="1"/>
                <w:bCs w:val="1"/>
                <w:color w:val="auto"/>
              </w:rPr>
              <w:t>Net Asset value, beginning of year</w:t>
            </w:r>
          </w:p>
        </w:tc>
        <w:tc>
          <w:tcPr>
            <w:tcW w:w="106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1180" w:type="dxa"/>
            <w:vAlign w:val="bottom"/>
            <w:gridSpan w:val="2"/>
          </w:tcPr>
          <w:p>
            <w:pPr>
              <w:jc w:val="right"/>
              <w:ind w:right="198"/>
              <w:spacing w:after="0" w:line="134" w:lineRule="exact"/>
              <w:rPr>
                <w:sz w:val="20"/>
                <w:szCs w:val="20"/>
                <w:color w:val="auto"/>
              </w:rPr>
            </w:pPr>
            <w:r>
              <w:rPr>
                <w:rFonts w:ascii="Arial" w:cs="Arial" w:eastAsia="Arial" w:hAnsi="Arial"/>
                <w:sz w:val="13"/>
                <w:szCs w:val="13"/>
                <w:b w:val="1"/>
                <w:bCs w:val="1"/>
                <w:color w:val="auto"/>
              </w:rPr>
              <w:t>21.78</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21.43</w:t>
            </w:r>
          </w:p>
        </w:tc>
        <w:tc>
          <w:tcPr>
            <w:tcW w:w="160" w:type="dxa"/>
            <w:vAlign w:val="bottom"/>
          </w:tcPr>
          <w:p>
            <w:pPr>
              <w:spacing w:after="0"/>
              <w:rPr>
                <w:sz w:val="11"/>
                <w:szCs w:val="11"/>
                <w:color w:val="auto"/>
              </w:rPr>
            </w:pPr>
          </w:p>
        </w:tc>
        <w:tc>
          <w:tcPr>
            <w:tcW w:w="14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1120" w:type="dxa"/>
            <w:vAlign w:val="bottom"/>
            <w:gridSpan w:val="2"/>
          </w:tcPr>
          <w:p>
            <w:pPr>
              <w:jc w:val="right"/>
              <w:ind w:right="158"/>
              <w:spacing w:after="0" w:line="134" w:lineRule="exact"/>
              <w:rPr>
                <w:sz w:val="20"/>
                <w:szCs w:val="20"/>
                <w:color w:val="auto"/>
              </w:rPr>
            </w:pPr>
            <w:r>
              <w:rPr>
                <w:rFonts w:ascii="Arial" w:cs="Arial" w:eastAsia="Arial" w:hAnsi="Arial"/>
                <w:sz w:val="13"/>
                <w:szCs w:val="13"/>
                <w:b w:val="1"/>
                <w:bCs w:val="1"/>
                <w:color w:val="auto"/>
              </w:rPr>
              <w:t>20.79</w:t>
            </w:r>
          </w:p>
        </w:tc>
        <w:tc>
          <w:tcPr>
            <w:tcW w:w="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82"/>
              </w:rPr>
              <w:t>$</w:t>
            </w:r>
          </w:p>
        </w:tc>
        <w:tc>
          <w:tcPr>
            <w:tcW w:w="1180" w:type="dxa"/>
            <w:vAlign w:val="bottom"/>
            <w:gridSpan w:val="2"/>
          </w:tcPr>
          <w:p>
            <w:pPr>
              <w:jc w:val="right"/>
              <w:ind w:right="218"/>
              <w:spacing w:after="0" w:line="134" w:lineRule="exact"/>
              <w:rPr>
                <w:sz w:val="20"/>
                <w:szCs w:val="20"/>
                <w:color w:val="auto"/>
              </w:rPr>
            </w:pPr>
            <w:r>
              <w:rPr>
                <w:rFonts w:ascii="Arial" w:cs="Arial" w:eastAsia="Arial" w:hAnsi="Arial"/>
                <w:sz w:val="13"/>
                <w:szCs w:val="13"/>
                <w:b w:val="1"/>
                <w:bCs w:val="1"/>
                <w:color w:val="auto"/>
              </w:rPr>
              <w:t>21.70</w:t>
            </w:r>
          </w:p>
        </w:tc>
        <w:tc>
          <w:tcPr>
            <w:tcW w:w="8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w w:val="82"/>
              </w:rPr>
              <w:t>$</w:t>
            </w:r>
          </w:p>
        </w:tc>
        <w:tc>
          <w:tcPr>
            <w:tcW w:w="940" w:type="dxa"/>
            <w:vAlign w:val="bottom"/>
            <w:gridSpan w:val="2"/>
          </w:tcPr>
          <w:p>
            <w:pPr>
              <w:jc w:val="right"/>
              <w:ind w:right="20"/>
              <w:spacing w:after="0" w:line="134" w:lineRule="exact"/>
              <w:rPr>
                <w:sz w:val="20"/>
                <w:szCs w:val="20"/>
                <w:color w:val="auto"/>
              </w:rPr>
            </w:pPr>
            <w:r>
              <w:rPr>
                <w:rFonts w:ascii="Arial" w:cs="Arial" w:eastAsia="Arial" w:hAnsi="Arial"/>
                <w:sz w:val="13"/>
                <w:szCs w:val="13"/>
                <w:b w:val="1"/>
                <w:bCs w:val="1"/>
                <w:color w:val="auto"/>
              </w:rPr>
              <w:t>21.44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3"/>
                <w:szCs w:val="13"/>
                <w:color w:val="auto"/>
              </w:rPr>
              <w:t>Net investment income</w:t>
            </w:r>
            <w:r>
              <w:rPr>
                <w:rFonts w:ascii="Arial" w:cs="Arial" w:eastAsia="Arial" w:hAnsi="Arial"/>
                <w:sz w:val="20"/>
                <w:szCs w:val="20"/>
                <w:color w:val="auto"/>
                <w:vertAlign w:val="superscript"/>
              </w:rPr>
              <w:t>1</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98"/>
              <w:spacing w:after="0"/>
              <w:rPr>
                <w:sz w:val="20"/>
                <w:szCs w:val="20"/>
                <w:color w:val="auto"/>
              </w:rPr>
            </w:pPr>
            <w:r>
              <w:rPr>
                <w:rFonts w:ascii="Arial" w:cs="Arial" w:eastAsia="Arial" w:hAnsi="Arial"/>
                <w:sz w:val="13"/>
                <w:szCs w:val="13"/>
                <w:color w:val="auto"/>
              </w:rPr>
              <w:t>2.29</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58"/>
              <w:spacing w:after="0"/>
              <w:rPr>
                <w:sz w:val="20"/>
                <w:szCs w:val="20"/>
                <w:color w:val="auto"/>
              </w:rPr>
            </w:pPr>
            <w:r>
              <w:rPr>
                <w:rFonts w:ascii="Arial" w:cs="Arial" w:eastAsia="Arial" w:hAnsi="Arial"/>
                <w:sz w:val="13"/>
                <w:szCs w:val="13"/>
                <w:color w:val="auto"/>
              </w:rPr>
              <w:t>2.63</w:t>
            </w:r>
          </w:p>
        </w:tc>
        <w:tc>
          <w:tcPr>
            <w:tcW w:w="80" w:type="dxa"/>
            <w:vAlign w:val="bottom"/>
          </w:tcPr>
          <w:p>
            <w:pPr>
              <w:spacing w:after="0"/>
              <w:rPr>
                <w:sz w:val="15"/>
                <w:szCs w:val="15"/>
                <w:color w:val="auto"/>
              </w:rPr>
            </w:pPr>
          </w:p>
        </w:tc>
        <w:tc>
          <w:tcPr>
            <w:tcW w:w="1180" w:type="dxa"/>
            <w:vAlign w:val="bottom"/>
            <w:gridSpan w:val="2"/>
          </w:tcPr>
          <w:p>
            <w:pPr>
              <w:jc w:val="right"/>
              <w:ind w:right="218"/>
              <w:spacing w:after="0"/>
              <w:rPr>
                <w:sz w:val="20"/>
                <w:szCs w:val="20"/>
                <w:color w:val="auto"/>
              </w:rPr>
            </w:pPr>
            <w:r>
              <w:rPr>
                <w:rFonts w:ascii="Arial" w:cs="Arial" w:eastAsia="Arial" w:hAnsi="Arial"/>
                <w:sz w:val="13"/>
                <w:szCs w:val="13"/>
                <w:color w:val="auto"/>
              </w:rPr>
              <w:t>1.84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00" w:type="dxa"/>
            <w:vAlign w:val="bottom"/>
          </w:tcPr>
          <w:p>
            <w:pPr>
              <w:spacing w:after="0" w:line="180" w:lineRule="exact"/>
              <w:rPr>
                <w:sz w:val="20"/>
                <w:szCs w:val="20"/>
                <w:color w:val="auto"/>
              </w:rPr>
            </w:pPr>
            <w:r>
              <w:rPr>
                <w:rFonts w:ascii="Arial" w:cs="Arial" w:eastAsia="Arial" w:hAnsi="Arial"/>
                <w:sz w:val="13"/>
                <w:szCs w:val="13"/>
                <w:color w:val="auto"/>
              </w:rPr>
              <w:t>Net realized and unrealized gain/(loss) on investments</w:t>
            </w:r>
            <w:r>
              <w:rPr>
                <w:rFonts w:ascii="Arial" w:cs="Arial" w:eastAsia="Arial" w:hAnsi="Arial"/>
                <w:sz w:val="20"/>
                <w:szCs w:val="20"/>
                <w:color w:val="auto"/>
                <w:vertAlign w:val="superscript"/>
              </w:rPr>
              <w:t>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98"/>
              <w:spacing w:after="0"/>
              <w:rPr>
                <w:sz w:val="20"/>
                <w:szCs w:val="20"/>
                <w:color w:val="auto"/>
              </w:rPr>
            </w:pPr>
            <w:r>
              <w:rPr>
                <w:rFonts w:ascii="Arial" w:cs="Arial" w:eastAsia="Arial" w:hAnsi="Arial"/>
                <w:sz w:val="13"/>
                <w:szCs w:val="13"/>
                <w:color w:val="auto"/>
              </w:rPr>
              <w:t>0.18</w:t>
            </w:r>
          </w:p>
        </w:tc>
        <w:tc>
          <w:tcPr>
            <w:tcW w:w="8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3"/>
                <w:szCs w:val="13"/>
                <w:color w:val="auto"/>
              </w:rPr>
              <w:t>(0.30)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58"/>
              <w:spacing w:after="0"/>
              <w:rPr>
                <w:sz w:val="20"/>
                <w:szCs w:val="20"/>
                <w:color w:val="auto"/>
              </w:rPr>
            </w:pPr>
            <w:r>
              <w:rPr>
                <w:rFonts w:ascii="Arial" w:cs="Arial" w:eastAsia="Arial" w:hAnsi="Arial"/>
                <w:sz w:val="13"/>
                <w:szCs w:val="13"/>
                <w:color w:val="auto"/>
              </w:rPr>
              <w:t>0.21</w:t>
            </w:r>
          </w:p>
        </w:tc>
        <w:tc>
          <w:tcPr>
            <w:tcW w:w="80" w:type="dxa"/>
            <w:vAlign w:val="bottom"/>
          </w:tcPr>
          <w:p>
            <w:pPr>
              <w:spacing w:after="0"/>
              <w:rPr>
                <w:sz w:val="16"/>
                <w:szCs w:val="16"/>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3"/>
                <w:szCs w:val="13"/>
                <w:color w:val="auto"/>
              </w:rPr>
              <w:t>(1.09)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0.28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line="138" w:lineRule="exact"/>
              <w:rPr>
                <w:sz w:val="20"/>
                <w:szCs w:val="20"/>
                <w:color w:val="auto"/>
              </w:rPr>
            </w:pPr>
            <w:r>
              <w:rPr>
                <w:rFonts w:ascii="Arial" w:cs="Arial" w:eastAsia="Arial" w:hAnsi="Arial"/>
                <w:sz w:val="13"/>
                <w:szCs w:val="13"/>
                <w:b w:val="1"/>
                <w:bCs w:val="1"/>
                <w:color w:val="auto"/>
              </w:rPr>
              <w:t>Total from investment operations</w:t>
            </w: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2.47</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2.35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2.84</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0.75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20"/>
              <w:spacing w:after="0" w:line="138" w:lineRule="exact"/>
              <w:rPr>
                <w:sz w:val="20"/>
                <w:szCs w:val="20"/>
                <w:color w:val="auto"/>
              </w:rPr>
            </w:pPr>
            <w:r>
              <w:rPr>
                <w:rFonts w:ascii="Arial" w:cs="Arial" w:eastAsia="Arial" w:hAnsi="Arial"/>
                <w:sz w:val="13"/>
                <w:szCs w:val="13"/>
                <w:b w:val="1"/>
                <w:bCs w:val="1"/>
                <w:color w:val="auto"/>
              </w:rPr>
              <w:t>1.88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200" w:type="dxa"/>
            <w:vAlign w:val="bottom"/>
          </w:tcPr>
          <w:p>
            <w:pPr>
              <w:spacing w:after="0" w:line="118" w:lineRule="exact"/>
              <w:rPr>
                <w:sz w:val="20"/>
                <w:szCs w:val="20"/>
                <w:color w:val="auto"/>
              </w:rPr>
            </w:pPr>
            <w:r>
              <w:rPr>
                <w:rFonts w:ascii="Arial" w:cs="Arial" w:eastAsia="Arial" w:hAnsi="Arial"/>
                <w:sz w:val="13"/>
                <w:szCs w:val="13"/>
                <w:b w:val="1"/>
                <w:bCs w:val="1"/>
                <w:color w:val="auto"/>
              </w:rPr>
              <w:t>Less distributions to shareholders</w:t>
            </w:r>
          </w:p>
        </w:tc>
        <w:tc>
          <w:tcPr>
            <w:tcW w:w="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line="138" w:lineRule="exact"/>
              <w:rPr>
                <w:sz w:val="20"/>
                <w:szCs w:val="20"/>
                <w:color w:val="auto"/>
              </w:rPr>
            </w:pPr>
            <w:r>
              <w:rPr>
                <w:rFonts w:ascii="Arial" w:cs="Arial" w:eastAsia="Arial" w:hAnsi="Arial"/>
                <w:sz w:val="13"/>
                <w:szCs w:val="13"/>
                <w:color w:val="auto"/>
              </w:rPr>
              <w:t>From net investment income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58"/>
              <w:spacing w:after="0" w:line="138" w:lineRule="exact"/>
              <w:rPr>
                <w:sz w:val="20"/>
                <w:szCs w:val="20"/>
                <w:color w:val="auto"/>
              </w:rPr>
            </w:pPr>
            <w:r>
              <w:rPr>
                <w:rFonts w:ascii="Arial" w:cs="Arial" w:eastAsia="Arial" w:hAnsi="Arial"/>
                <w:sz w:val="13"/>
                <w:szCs w:val="13"/>
                <w:color w:val="auto"/>
              </w:rPr>
              <w:t>(2.30)</w:t>
            </w:r>
          </w:p>
        </w:tc>
        <w:tc>
          <w:tcPr>
            <w:tcW w:w="80" w:type="dxa"/>
            <w:vAlign w:val="bottom"/>
          </w:tcPr>
          <w:p>
            <w:pPr>
              <w:spacing w:after="0"/>
              <w:rPr>
                <w:sz w:val="12"/>
                <w:szCs w:val="12"/>
                <w:color w:val="auto"/>
              </w:rPr>
            </w:pPr>
          </w:p>
        </w:tc>
        <w:tc>
          <w:tcPr>
            <w:tcW w:w="1100" w:type="dxa"/>
            <w:vAlign w:val="bottom"/>
            <w:gridSpan w:val="2"/>
          </w:tcPr>
          <w:p>
            <w:pPr>
              <w:jc w:val="right"/>
              <w:ind w:right="78"/>
              <w:spacing w:after="0" w:line="138" w:lineRule="exact"/>
              <w:rPr>
                <w:sz w:val="20"/>
                <w:szCs w:val="20"/>
                <w:color w:val="auto"/>
              </w:rPr>
            </w:pPr>
            <w:r>
              <w:rPr>
                <w:rFonts w:ascii="Arial" w:cs="Arial" w:eastAsia="Arial" w:hAnsi="Arial"/>
                <w:sz w:val="13"/>
                <w:szCs w:val="13"/>
                <w:color w:val="auto"/>
              </w:rPr>
              <w:t>(2.00)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18"/>
              <w:spacing w:after="0" w:line="138" w:lineRule="exact"/>
              <w:rPr>
                <w:sz w:val="20"/>
                <w:szCs w:val="20"/>
                <w:color w:val="auto"/>
              </w:rPr>
            </w:pPr>
            <w:r>
              <w:rPr>
                <w:rFonts w:ascii="Arial" w:cs="Arial" w:eastAsia="Arial" w:hAnsi="Arial"/>
                <w:sz w:val="13"/>
                <w:szCs w:val="13"/>
                <w:color w:val="auto"/>
              </w:rPr>
              <w:t>(1.78)</w:t>
            </w:r>
          </w:p>
        </w:tc>
        <w:tc>
          <w:tcPr>
            <w:tcW w:w="80" w:type="dxa"/>
            <w:vAlign w:val="bottom"/>
          </w:tcPr>
          <w:p>
            <w:pPr>
              <w:spacing w:after="0"/>
              <w:rPr>
                <w:sz w:val="12"/>
                <w:szCs w:val="12"/>
                <w:color w:val="auto"/>
              </w:rPr>
            </w:pPr>
          </w:p>
        </w:tc>
        <w:tc>
          <w:tcPr>
            <w:tcW w:w="1180" w:type="dxa"/>
            <w:vAlign w:val="bottom"/>
            <w:gridSpan w:val="2"/>
          </w:tcPr>
          <w:p>
            <w:pPr>
              <w:jc w:val="right"/>
              <w:ind w:right="178"/>
              <w:spacing w:after="0" w:line="138" w:lineRule="exact"/>
              <w:rPr>
                <w:sz w:val="20"/>
                <w:szCs w:val="20"/>
                <w:color w:val="auto"/>
              </w:rPr>
            </w:pPr>
            <w:r>
              <w:rPr>
                <w:rFonts w:ascii="Arial" w:cs="Arial" w:eastAsia="Arial" w:hAnsi="Arial"/>
                <w:sz w:val="13"/>
                <w:szCs w:val="13"/>
                <w:color w:val="auto"/>
              </w:rPr>
              <w:t>(1.66)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55"/>
              <w:spacing w:after="0" w:line="138" w:lineRule="exact"/>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20"/>
                <w:szCs w:val="20"/>
                <w:color w:val="auto"/>
              </w:rPr>
            </w:pPr>
            <w:r>
              <w:rPr>
                <w:rFonts w:ascii="Arial" w:cs="Arial" w:eastAsia="Arial" w:hAnsi="Arial"/>
                <w:sz w:val="13"/>
                <w:szCs w:val="13"/>
                <w:color w:val="auto"/>
              </w:rPr>
              <w:t>From net realized capital gains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18"/>
              <w:spacing w:after="0"/>
              <w:rPr>
                <w:sz w:val="20"/>
                <w:szCs w:val="20"/>
                <w:color w:val="auto"/>
              </w:rPr>
            </w:pPr>
            <w:r>
              <w:rPr>
                <w:rFonts w:ascii="Arial" w:cs="Arial" w:eastAsia="Arial" w:hAnsi="Arial"/>
                <w:sz w:val="13"/>
                <w:szCs w:val="13"/>
                <w:color w:val="auto"/>
              </w:rPr>
              <w:t>(0.42)</w:t>
            </w:r>
          </w:p>
        </w:tc>
        <w:tc>
          <w:tcPr>
            <w:tcW w:w="80" w:type="dxa"/>
            <w:vAlign w:val="bottom"/>
          </w:tcPr>
          <w:p>
            <w:pPr>
              <w:spacing w:after="0"/>
              <w:rPr>
                <w:sz w:val="13"/>
                <w:szCs w:val="13"/>
                <w:color w:val="auto"/>
              </w:rPr>
            </w:pPr>
          </w:p>
        </w:tc>
        <w:tc>
          <w:tcPr>
            <w:tcW w:w="1180" w:type="dxa"/>
            <w:vAlign w:val="bottom"/>
            <w:gridSpan w:val="2"/>
          </w:tcPr>
          <w:p>
            <w:pPr>
              <w:jc w:val="right"/>
              <w:ind w:right="21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right"/>
              <w:ind w:right="9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4200" w:type="dxa"/>
            <w:vAlign w:val="bottom"/>
          </w:tcPr>
          <w:p>
            <w:pPr>
              <w:spacing w:after="0" w:line="126" w:lineRule="exact"/>
              <w:rPr>
                <w:sz w:val="20"/>
                <w:szCs w:val="20"/>
                <w:color w:val="auto"/>
              </w:rPr>
            </w:pPr>
            <w:r>
              <w:rPr>
                <w:rFonts w:ascii="Arial" w:cs="Arial" w:eastAsia="Arial" w:hAnsi="Arial"/>
                <w:sz w:val="13"/>
                <w:szCs w:val="13"/>
                <w:b w:val="1"/>
                <w:bCs w:val="1"/>
                <w:color w:val="auto"/>
              </w:rPr>
              <w:t>Total distributions</w:t>
            </w:r>
          </w:p>
        </w:tc>
        <w:tc>
          <w:tcPr>
            <w:tcW w:w="9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b w:val="1"/>
                <w:bCs w:val="1"/>
                <w:color w:val="auto"/>
              </w:rPr>
              <w:t>(2.30</w:t>
            </w:r>
          </w:p>
        </w:tc>
        <w:tc>
          <w:tcPr>
            <w:tcW w:w="240" w:type="dxa"/>
            <w:vAlign w:val="bottom"/>
          </w:tcPr>
          <w:p>
            <w:pPr>
              <w:jc w:val="right"/>
              <w:ind w:right="158"/>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b w:val="1"/>
                <w:bCs w:val="1"/>
                <w:color w:val="auto"/>
              </w:rPr>
              <w:t>(2.00</w:t>
            </w:r>
          </w:p>
        </w:tc>
        <w:tc>
          <w:tcPr>
            <w:tcW w:w="160" w:type="dxa"/>
            <w:vAlign w:val="bottom"/>
          </w:tcPr>
          <w:p>
            <w:pPr>
              <w:jc w:val="right"/>
              <w:ind w:right="78"/>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b w:val="1"/>
                <w:bCs w:val="1"/>
                <w:color w:val="auto"/>
              </w:rPr>
              <w:t>(2.20</w:t>
            </w:r>
          </w:p>
        </w:tc>
        <w:tc>
          <w:tcPr>
            <w:tcW w:w="200" w:type="dxa"/>
            <w:vAlign w:val="bottom"/>
          </w:tcPr>
          <w:p>
            <w:pPr>
              <w:jc w:val="right"/>
              <w:ind w:right="118"/>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b w:val="1"/>
                <w:bCs w:val="1"/>
                <w:color w:val="auto"/>
              </w:rPr>
              <w:t>(1.66</w:t>
            </w:r>
          </w:p>
        </w:tc>
        <w:tc>
          <w:tcPr>
            <w:tcW w:w="260" w:type="dxa"/>
            <w:vAlign w:val="bottom"/>
          </w:tcPr>
          <w:p>
            <w:pPr>
              <w:jc w:val="right"/>
              <w:ind w:right="178"/>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ind w:right="20"/>
              <w:spacing w:after="0" w:line="126" w:lineRule="exact"/>
              <w:rPr>
                <w:sz w:val="20"/>
                <w:szCs w:val="20"/>
                <w:color w:val="auto"/>
              </w:rPr>
            </w:pPr>
            <w:r>
              <w:rPr>
                <w:rFonts w:ascii="Arial" w:cs="Arial" w:eastAsia="Arial" w:hAnsi="Arial"/>
                <w:sz w:val="13"/>
                <w:szCs w:val="13"/>
                <w:b w:val="1"/>
                <w:bCs w:val="1"/>
                <w:color w:val="auto"/>
              </w:rPr>
              <w:t>(1.62</w:t>
            </w:r>
          </w:p>
        </w:tc>
        <w:tc>
          <w:tcPr>
            <w:tcW w:w="80" w:type="dxa"/>
            <w:vAlign w:val="bottom"/>
          </w:tcPr>
          <w:p>
            <w:pPr>
              <w:jc w:val="right"/>
              <w:ind w:right="55"/>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51"/>
        </w:trPr>
        <w:tc>
          <w:tcPr>
            <w:tcW w:w="4200" w:type="dxa"/>
            <w:vAlign w:val="bottom"/>
          </w:tcPr>
          <w:p>
            <w:pPr>
              <w:spacing w:after="0" w:line="147" w:lineRule="exact"/>
              <w:rPr>
                <w:sz w:val="20"/>
                <w:szCs w:val="20"/>
                <w:color w:val="auto"/>
              </w:rPr>
            </w:pPr>
            <w:r>
              <w:rPr>
                <w:rFonts w:ascii="Arial" w:cs="Arial" w:eastAsia="Arial" w:hAnsi="Arial"/>
                <w:sz w:val="13"/>
                <w:szCs w:val="13"/>
                <w:b w:val="1"/>
                <w:bCs w:val="1"/>
                <w:color w:val="auto"/>
              </w:rPr>
              <w:t>Anti-dilutive effect of registered direct offering</w:t>
            </w:r>
          </w:p>
        </w:tc>
        <w:tc>
          <w:tcPr>
            <w:tcW w:w="9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0.01</w:t>
            </w:r>
          </w:p>
        </w:tc>
        <w:tc>
          <w:tcPr>
            <w:tcW w:w="2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3"/>
                <w:szCs w:val="13"/>
                <w:b w:val="1"/>
                <w:bCs w:val="1"/>
                <w:color w:val="auto"/>
              </w:rPr>
              <w:t>Net asset value, end of year</w:t>
            </w:r>
          </w:p>
        </w:tc>
        <w:tc>
          <w:tcPr>
            <w:tcW w:w="9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21.96</w:t>
            </w:r>
          </w:p>
        </w:tc>
        <w:tc>
          <w:tcPr>
            <w:tcW w:w="240" w:type="dxa"/>
            <w:vAlign w:val="bottom"/>
            <w:vMerge w:val="continue"/>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21.78</w:t>
            </w:r>
          </w:p>
        </w:tc>
        <w:tc>
          <w:tcPr>
            <w:tcW w:w="1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21.43</w:t>
            </w:r>
          </w:p>
        </w:tc>
        <w:tc>
          <w:tcPr>
            <w:tcW w:w="200" w:type="dxa"/>
            <w:vAlign w:val="bottom"/>
            <w:vMerge w:val="continue"/>
          </w:tcPr>
          <w:p>
            <w:pPr>
              <w:spacing w:after="0"/>
              <w:rPr>
                <w:sz w:val="10"/>
                <w:szCs w:val="10"/>
                <w:color w:val="auto"/>
              </w:rPr>
            </w:pPr>
          </w:p>
        </w:tc>
        <w:tc>
          <w:tcPr>
            <w:tcW w:w="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20.79</w:t>
            </w:r>
          </w:p>
        </w:tc>
        <w:tc>
          <w:tcPr>
            <w:tcW w:w="260" w:type="dxa"/>
            <w:vAlign w:val="bottom"/>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21.70</w:t>
            </w:r>
          </w:p>
        </w:tc>
        <w:tc>
          <w:tcPr>
            <w:tcW w:w="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3"/>
                <w:szCs w:val="13"/>
                <w:b w:val="1"/>
                <w:bCs w:val="1"/>
                <w:color w:val="auto"/>
              </w:rPr>
              <w:t>Per share market value, end of year</w:t>
            </w:r>
          </w:p>
        </w:tc>
        <w:tc>
          <w:tcPr>
            <w:tcW w:w="9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2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jc w:val="right"/>
              <w:spacing w:after="0" w:line="112" w:lineRule="exact"/>
              <w:rPr>
                <w:sz w:val="20"/>
                <w:szCs w:val="20"/>
                <w:color w:val="auto"/>
              </w:rPr>
            </w:pPr>
            <w:r>
              <w:rPr>
                <w:rFonts w:ascii="Arial" w:cs="Arial" w:eastAsia="Arial" w:hAnsi="Arial"/>
                <w:sz w:val="10"/>
                <w:szCs w:val="10"/>
                <w:b w:val="1"/>
                <w:bCs w:val="1"/>
                <w:color w:val="auto"/>
                <w:w w:val="71"/>
              </w:rPr>
              <w:t>$</w:t>
            </w:r>
          </w:p>
        </w:tc>
        <w:tc>
          <w:tcPr>
            <w:tcW w:w="940" w:type="dxa"/>
            <w:vAlign w:val="bottom"/>
          </w:tcPr>
          <w:p>
            <w:pPr>
              <w:jc w:val="right"/>
              <w:spacing w:after="0" w:line="112" w:lineRule="exact"/>
              <w:rPr>
                <w:sz w:val="20"/>
                <w:szCs w:val="20"/>
                <w:color w:val="auto"/>
              </w:rPr>
            </w:pPr>
            <w:r>
              <w:rPr>
                <w:rFonts w:ascii="Arial" w:cs="Arial" w:eastAsia="Arial" w:hAnsi="Arial"/>
                <w:sz w:val="12"/>
                <w:szCs w:val="12"/>
                <w:b w:val="1"/>
                <w:bCs w:val="1"/>
                <w:color w:val="auto"/>
              </w:rPr>
              <w:t>21.82</w:t>
            </w:r>
          </w:p>
        </w:tc>
        <w:tc>
          <w:tcPr>
            <w:tcW w:w="240" w:type="dxa"/>
            <w:vAlign w:val="bottom"/>
            <w:vMerge w:val="continue"/>
          </w:tcPr>
          <w:p>
            <w:pPr>
              <w:spacing w:after="0"/>
              <w:rPr>
                <w:sz w:val="9"/>
                <w:szCs w:val="9"/>
                <w:color w:val="auto"/>
              </w:rPr>
            </w:pPr>
          </w:p>
        </w:tc>
        <w:tc>
          <w:tcPr>
            <w:tcW w:w="80" w:type="dxa"/>
            <w:vAlign w:val="bottom"/>
          </w:tcPr>
          <w:p>
            <w:pPr>
              <w:jc w:val="right"/>
              <w:spacing w:after="0" w:line="112" w:lineRule="exact"/>
              <w:rPr>
                <w:sz w:val="20"/>
                <w:szCs w:val="20"/>
                <w:color w:val="auto"/>
              </w:rPr>
            </w:pPr>
            <w:r>
              <w:rPr>
                <w:rFonts w:ascii="Arial" w:cs="Arial" w:eastAsia="Arial" w:hAnsi="Arial"/>
                <w:sz w:val="10"/>
                <w:szCs w:val="10"/>
                <w:b w:val="1"/>
                <w:bCs w:val="1"/>
                <w:color w:val="auto"/>
                <w:w w:val="71"/>
              </w:rPr>
              <w:t>$</w:t>
            </w:r>
          </w:p>
        </w:tc>
        <w:tc>
          <w:tcPr>
            <w:tcW w:w="940" w:type="dxa"/>
            <w:vAlign w:val="bottom"/>
          </w:tcPr>
          <w:p>
            <w:pPr>
              <w:jc w:val="right"/>
              <w:spacing w:after="0" w:line="112" w:lineRule="exact"/>
              <w:rPr>
                <w:sz w:val="20"/>
                <w:szCs w:val="20"/>
                <w:color w:val="auto"/>
              </w:rPr>
            </w:pPr>
            <w:r>
              <w:rPr>
                <w:rFonts w:ascii="Arial" w:cs="Arial" w:eastAsia="Arial" w:hAnsi="Arial"/>
                <w:sz w:val="12"/>
                <w:szCs w:val="12"/>
                <w:b w:val="1"/>
                <w:bCs w:val="1"/>
                <w:color w:val="auto"/>
              </w:rPr>
              <w:t>20.98</w:t>
            </w:r>
          </w:p>
        </w:tc>
        <w:tc>
          <w:tcPr>
            <w:tcW w:w="16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0" w:type="dxa"/>
            <w:vAlign w:val="bottom"/>
          </w:tcPr>
          <w:p>
            <w:pPr>
              <w:jc w:val="right"/>
              <w:spacing w:after="0" w:line="112" w:lineRule="exact"/>
              <w:rPr>
                <w:sz w:val="20"/>
                <w:szCs w:val="20"/>
                <w:color w:val="auto"/>
              </w:rPr>
            </w:pPr>
            <w:r>
              <w:rPr>
                <w:rFonts w:ascii="Arial" w:cs="Arial" w:eastAsia="Arial" w:hAnsi="Arial"/>
                <w:sz w:val="10"/>
                <w:szCs w:val="10"/>
                <w:b w:val="1"/>
                <w:bCs w:val="1"/>
                <w:color w:val="auto"/>
                <w:w w:val="71"/>
              </w:rPr>
              <w:t>$</w:t>
            </w:r>
          </w:p>
        </w:tc>
        <w:tc>
          <w:tcPr>
            <w:tcW w:w="920" w:type="dxa"/>
            <w:vAlign w:val="bottom"/>
          </w:tcPr>
          <w:p>
            <w:pPr>
              <w:jc w:val="right"/>
              <w:spacing w:after="0" w:line="112" w:lineRule="exact"/>
              <w:rPr>
                <w:sz w:val="20"/>
                <w:szCs w:val="20"/>
                <w:color w:val="auto"/>
              </w:rPr>
            </w:pPr>
            <w:r>
              <w:rPr>
                <w:rFonts w:ascii="Arial" w:cs="Arial" w:eastAsia="Arial" w:hAnsi="Arial"/>
                <w:sz w:val="12"/>
                <w:szCs w:val="12"/>
                <w:b w:val="1"/>
                <w:bCs w:val="1"/>
                <w:color w:val="auto"/>
              </w:rPr>
              <w:t>18.16</w:t>
            </w:r>
          </w:p>
        </w:tc>
        <w:tc>
          <w:tcPr>
            <w:tcW w:w="200" w:type="dxa"/>
            <w:vAlign w:val="bottom"/>
            <w:vMerge w:val="continue"/>
          </w:tcPr>
          <w:p>
            <w:pPr>
              <w:spacing w:after="0"/>
              <w:rPr>
                <w:sz w:val="9"/>
                <w:szCs w:val="9"/>
                <w:color w:val="auto"/>
              </w:rPr>
            </w:pPr>
          </w:p>
        </w:tc>
        <w:tc>
          <w:tcPr>
            <w:tcW w:w="80" w:type="dxa"/>
            <w:vAlign w:val="bottom"/>
          </w:tcPr>
          <w:p>
            <w:pPr>
              <w:jc w:val="right"/>
              <w:spacing w:after="0" w:line="112" w:lineRule="exact"/>
              <w:rPr>
                <w:sz w:val="20"/>
                <w:szCs w:val="20"/>
                <w:color w:val="auto"/>
              </w:rPr>
            </w:pPr>
            <w:r>
              <w:rPr>
                <w:rFonts w:ascii="Arial" w:cs="Arial" w:eastAsia="Arial" w:hAnsi="Arial"/>
                <w:sz w:val="12"/>
                <w:szCs w:val="12"/>
                <w:b w:val="1"/>
                <w:bCs w:val="1"/>
                <w:color w:val="auto"/>
                <w:w w:val="89"/>
              </w:rPr>
              <w:t>$</w:t>
            </w:r>
          </w:p>
        </w:tc>
        <w:tc>
          <w:tcPr>
            <w:tcW w:w="920" w:type="dxa"/>
            <w:vAlign w:val="bottom"/>
          </w:tcPr>
          <w:p>
            <w:pPr>
              <w:jc w:val="right"/>
              <w:spacing w:after="0" w:line="112" w:lineRule="exact"/>
              <w:rPr>
                <w:sz w:val="20"/>
                <w:szCs w:val="20"/>
                <w:color w:val="auto"/>
              </w:rPr>
            </w:pPr>
            <w:r>
              <w:rPr>
                <w:rFonts w:ascii="Arial" w:cs="Arial" w:eastAsia="Arial" w:hAnsi="Arial"/>
                <w:sz w:val="12"/>
                <w:szCs w:val="12"/>
                <w:b w:val="1"/>
                <w:bCs w:val="1"/>
                <w:color w:val="auto"/>
              </w:rPr>
              <w:t>17.04</w:t>
            </w:r>
          </w:p>
        </w:tc>
        <w:tc>
          <w:tcPr>
            <w:tcW w:w="26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60" w:type="dxa"/>
            <w:vAlign w:val="bottom"/>
          </w:tcPr>
          <w:p>
            <w:pPr>
              <w:jc w:val="right"/>
              <w:spacing w:after="0" w:line="112" w:lineRule="exact"/>
              <w:rPr>
                <w:sz w:val="20"/>
                <w:szCs w:val="20"/>
                <w:color w:val="auto"/>
              </w:rPr>
            </w:pPr>
            <w:r>
              <w:rPr>
                <w:rFonts w:ascii="Arial" w:cs="Arial" w:eastAsia="Arial" w:hAnsi="Arial"/>
                <w:sz w:val="10"/>
                <w:szCs w:val="10"/>
                <w:b w:val="1"/>
                <w:bCs w:val="1"/>
                <w:color w:val="auto"/>
                <w:w w:val="71"/>
              </w:rPr>
              <w:t>$</w:t>
            </w:r>
          </w:p>
        </w:tc>
        <w:tc>
          <w:tcPr>
            <w:tcW w:w="920" w:type="dxa"/>
            <w:vAlign w:val="bottom"/>
          </w:tcPr>
          <w:p>
            <w:pPr>
              <w:jc w:val="right"/>
              <w:spacing w:after="0" w:line="112" w:lineRule="exact"/>
              <w:rPr>
                <w:sz w:val="20"/>
                <w:szCs w:val="20"/>
                <w:color w:val="auto"/>
              </w:rPr>
            </w:pPr>
            <w:r>
              <w:rPr>
                <w:rFonts w:ascii="Arial" w:cs="Arial" w:eastAsia="Arial" w:hAnsi="Arial"/>
                <w:sz w:val="12"/>
                <w:szCs w:val="12"/>
                <w:b w:val="1"/>
                <w:bCs w:val="1"/>
                <w:color w:val="auto"/>
              </w:rPr>
              <w:t>21.97</w:t>
            </w: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3"/>
                <w:szCs w:val="13"/>
                <w:b w:val="1"/>
                <w:bCs w:val="1"/>
                <w:color w:val="auto"/>
              </w:rPr>
              <w:t>Total investment return based on market value</w:t>
            </w:r>
            <w:r>
              <w:rPr>
                <w:rFonts w:ascii="Arial" w:cs="Arial" w:eastAsia="Arial" w:hAnsi="Arial"/>
                <w:sz w:val="20"/>
                <w:szCs w:val="20"/>
                <w:b w:val="1"/>
                <w:bCs w:val="1"/>
                <w:color w:val="auto"/>
                <w:vertAlign w:val="superscript"/>
              </w:rPr>
              <w:t>2</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98"/>
              <w:spacing w:after="0"/>
              <w:rPr>
                <w:sz w:val="20"/>
                <w:szCs w:val="20"/>
                <w:color w:val="auto"/>
              </w:rPr>
            </w:pPr>
            <w:r>
              <w:rPr>
                <w:rFonts w:ascii="Arial" w:cs="Arial" w:eastAsia="Arial" w:hAnsi="Arial"/>
                <w:sz w:val="13"/>
                <w:szCs w:val="13"/>
                <w:b w:val="1"/>
                <w:bCs w:val="1"/>
                <w:color w:val="auto"/>
              </w:rPr>
              <w:t>15.93%</w:t>
            </w:r>
          </w:p>
        </w:tc>
        <w:tc>
          <w:tcPr>
            <w:tcW w:w="80" w:type="dxa"/>
            <w:vAlign w:val="bottom"/>
          </w:tcPr>
          <w:p>
            <w:pPr>
              <w:spacing w:after="0"/>
              <w:rPr>
                <w:sz w:val="15"/>
                <w:szCs w:val="15"/>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3"/>
                <w:szCs w:val="13"/>
                <w:b w:val="1"/>
                <w:bCs w:val="1"/>
                <w:color w:val="auto"/>
              </w:rPr>
              <w:t>27.89%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b w:val="1"/>
                <w:bCs w:val="1"/>
                <w:color w:val="auto"/>
              </w:rPr>
              <w:t>20.89%</w:t>
            </w:r>
          </w:p>
        </w:tc>
        <w:tc>
          <w:tcPr>
            <w:tcW w:w="80" w:type="dxa"/>
            <w:vAlign w:val="bottom"/>
          </w:tcPr>
          <w:p>
            <w:pPr>
              <w:spacing w:after="0"/>
              <w:rPr>
                <w:sz w:val="15"/>
                <w:szCs w:val="15"/>
                <w:color w:val="auto"/>
              </w:rPr>
            </w:pPr>
          </w:p>
        </w:tc>
        <w:tc>
          <w:tcPr>
            <w:tcW w:w="1180" w:type="dxa"/>
            <w:vAlign w:val="bottom"/>
            <w:gridSpan w:val="2"/>
          </w:tcPr>
          <w:p>
            <w:pPr>
              <w:jc w:val="right"/>
              <w:ind w:right="58"/>
              <w:spacing w:after="0"/>
              <w:rPr>
                <w:sz w:val="20"/>
                <w:szCs w:val="20"/>
                <w:color w:val="auto"/>
              </w:rPr>
            </w:pPr>
            <w:r>
              <w:rPr>
                <w:rFonts w:ascii="Arial" w:cs="Arial" w:eastAsia="Arial" w:hAnsi="Arial"/>
                <w:sz w:val="13"/>
                <w:szCs w:val="13"/>
                <w:b w:val="1"/>
                <w:bCs w:val="1"/>
                <w:color w:val="auto"/>
              </w:rPr>
              <w:t>(15.16)%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3"/>
                <w:szCs w:val="13"/>
                <w:b w:val="1"/>
                <w:bCs w:val="1"/>
                <w:color w:val="auto"/>
              </w:rPr>
              <w:t>23.19%</w:t>
            </w:r>
          </w:p>
        </w:tc>
        <w:tc>
          <w:tcPr>
            <w:tcW w:w="0" w:type="dxa"/>
            <w:vAlign w:val="bottom"/>
          </w:tcPr>
          <w:p>
            <w:pPr>
              <w:spacing w:after="0"/>
              <w:rPr>
                <w:sz w:val="1"/>
                <w:szCs w:val="1"/>
                <w:color w:val="auto"/>
              </w:rPr>
            </w:pPr>
          </w:p>
        </w:tc>
      </w:tr>
      <w:tr>
        <w:trPr>
          <w:trHeight w:val="180"/>
        </w:trPr>
        <w:tc>
          <w:tcPr>
            <w:tcW w:w="4200" w:type="dxa"/>
            <w:vAlign w:val="bottom"/>
          </w:tcPr>
          <w:p>
            <w:pPr>
              <w:spacing w:after="0" w:line="180" w:lineRule="exact"/>
              <w:rPr>
                <w:sz w:val="20"/>
                <w:szCs w:val="20"/>
                <w:color w:val="auto"/>
              </w:rPr>
            </w:pPr>
            <w:r>
              <w:rPr>
                <w:rFonts w:ascii="Arial" w:cs="Arial" w:eastAsia="Arial" w:hAnsi="Arial"/>
                <w:sz w:val="13"/>
                <w:szCs w:val="13"/>
                <w:b w:val="1"/>
                <w:bCs w:val="1"/>
                <w:color w:val="auto"/>
              </w:rPr>
              <w:t>Total investment return based on net asset value</w:t>
            </w:r>
            <w:r>
              <w:rPr>
                <w:rFonts w:ascii="Arial" w:cs="Arial" w:eastAsia="Arial" w:hAnsi="Arial"/>
                <w:sz w:val="20"/>
                <w:szCs w:val="20"/>
                <w:b w:val="1"/>
                <w:bCs w:val="1"/>
                <w:color w:val="auto"/>
                <w:vertAlign w:val="superscript"/>
              </w:rPr>
              <w:t>2</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98"/>
              <w:spacing w:after="0"/>
              <w:rPr>
                <w:sz w:val="20"/>
                <w:szCs w:val="20"/>
                <w:color w:val="auto"/>
              </w:rPr>
            </w:pPr>
            <w:r>
              <w:rPr>
                <w:rFonts w:ascii="Arial" w:cs="Arial" w:eastAsia="Arial" w:hAnsi="Arial"/>
                <w:sz w:val="13"/>
                <w:szCs w:val="13"/>
                <w:b w:val="1"/>
                <w:bCs w:val="1"/>
                <w:color w:val="auto"/>
              </w:rPr>
              <w:t>12.39%</w:t>
            </w:r>
          </w:p>
        </w:tc>
        <w:tc>
          <w:tcPr>
            <w:tcW w:w="80" w:type="dxa"/>
            <w:vAlign w:val="bottom"/>
          </w:tcPr>
          <w:p>
            <w:pPr>
              <w:spacing w:after="0"/>
              <w:rPr>
                <w:sz w:val="15"/>
                <w:szCs w:val="15"/>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3"/>
                <w:szCs w:val="13"/>
                <w:b w:val="1"/>
                <w:bCs w:val="1"/>
                <w:color w:val="auto"/>
              </w:rPr>
              <w:t>12.51%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b w:val="1"/>
                <w:bCs w:val="1"/>
                <w:color w:val="auto"/>
              </w:rPr>
              <w:t>16.93%</w:t>
            </w:r>
          </w:p>
        </w:tc>
        <w:tc>
          <w:tcPr>
            <w:tcW w:w="80" w:type="dxa"/>
            <w:vAlign w:val="bottom"/>
          </w:tcPr>
          <w:p>
            <w:pPr>
              <w:spacing w:after="0"/>
              <w:rPr>
                <w:sz w:val="15"/>
                <w:szCs w:val="15"/>
                <w:color w:val="auto"/>
              </w:rPr>
            </w:pPr>
          </w:p>
        </w:tc>
        <w:tc>
          <w:tcPr>
            <w:tcW w:w="1180" w:type="dxa"/>
            <w:vAlign w:val="bottom"/>
            <w:gridSpan w:val="2"/>
          </w:tcPr>
          <w:p>
            <w:pPr>
              <w:jc w:val="right"/>
              <w:ind w:right="118"/>
              <w:spacing w:after="0"/>
              <w:rPr>
                <w:sz w:val="20"/>
                <w:szCs w:val="20"/>
                <w:color w:val="auto"/>
              </w:rPr>
            </w:pPr>
            <w:r>
              <w:rPr>
                <w:rFonts w:ascii="Arial" w:cs="Arial" w:eastAsia="Arial" w:hAnsi="Arial"/>
                <w:sz w:val="13"/>
                <w:szCs w:val="13"/>
                <w:b w:val="1"/>
                <w:bCs w:val="1"/>
                <w:color w:val="auto"/>
              </w:rPr>
              <w:t>4.80%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3"/>
                <w:szCs w:val="13"/>
                <w:b w:val="1"/>
                <w:bCs w:val="1"/>
                <w:color w:val="auto"/>
              </w:rPr>
              <w:t>9.25%</w:t>
            </w:r>
          </w:p>
        </w:tc>
        <w:tc>
          <w:tcPr>
            <w:tcW w:w="0" w:type="dxa"/>
            <w:vAlign w:val="bottom"/>
          </w:tcPr>
          <w:p>
            <w:pPr>
              <w:spacing w:after="0"/>
              <w:rPr>
                <w:sz w:val="1"/>
                <w:szCs w:val="1"/>
                <w:color w:val="auto"/>
              </w:rPr>
            </w:pPr>
          </w:p>
        </w:tc>
      </w:tr>
      <w:tr>
        <w:trPr>
          <w:trHeight w:val="138"/>
        </w:trPr>
        <w:tc>
          <w:tcPr>
            <w:tcW w:w="4200" w:type="dxa"/>
            <w:vAlign w:val="bottom"/>
            <w:shd w:val="clear" w:color="auto" w:fill="296B38"/>
          </w:tcPr>
          <w:p>
            <w:pPr>
              <w:spacing w:after="0" w:line="138" w:lineRule="exact"/>
              <w:rPr>
                <w:sz w:val="20"/>
                <w:szCs w:val="20"/>
                <w:color w:val="auto"/>
              </w:rPr>
            </w:pPr>
            <w:r>
              <w:rPr>
                <w:rFonts w:ascii="Arial" w:cs="Arial" w:eastAsia="Arial" w:hAnsi="Arial"/>
                <w:sz w:val="13"/>
                <w:szCs w:val="13"/>
                <w:b w:val="1"/>
                <w:bCs w:val="1"/>
                <w:color w:val="FFFFFF"/>
              </w:rPr>
              <w:t>Ratios and supplemental data</w:t>
            </w:r>
          </w:p>
        </w:tc>
        <w:tc>
          <w:tcPr>
            <w:tcW w:w="98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24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16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20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26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00" w:type="dxa"/>
            <w:vAlign w:val="bottom"/>
          </w:tcPr>
          <w:p>
            <w:pPr>
              <w:spacing w:after="0" w:line="126" w:lineRule="exact"/>
              <w:rPr>
                <w:sz w:val="20"/>
                <w:szCs w:val="20"/>
                <w:color w:val="auto"/>
              </w:rPr>
            </w:pPr>
            <w:r>
              <w:rPr>
                <w:rFonts w:ascii="Arial" w:cs="Arial" w:eastAsia="Arial" w:hAnsi="Arial"/>
                <w:sz w:val="13"/>
                <w:szCs w:val="13"/>
                <w:color w:val="auto"/>
              </w:rPr>
              <w:t>Net assets end of period (in millions)</w:t>
            </w:r>
          </w:p>
        </w:tc>
        <w:tc>
          <w:tcPr>
            <w:tcW w:w="106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98"/>
              <w:spacing w:after="0" w:line="126" w:lineRule="exact"/>
              <w:rPr>
                <w:sz w:val="20"/>
                <w:szCs w:val="20"/>
                <w:color w:val="auto"/>
              </w:rPr>
            </w:pPr>
            <w:r>
              <w:rPr>
                <w:rFonts w:ascii="Arial" w:cs="Arial" w:eastAsia="Arial" w:hAnsi="Arial"/>
                <w:sz w:val="13"/>
                <w:szCs w:val="13"/>
                <w:color w:val="auto"/>
              </w:rPr>
              <w:t>171.5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26" w:lineRule="exact"/>
              <w:rPr>
                <w:sz w:val="20"/>
                <w:szCs w:val="20"/>
                <w:color w:val="auto"/>
              </w:rPr>
            </w:pPr>
            <w:r>
              <w:rPr>
                <w:rFonts w:ascii="Arial" w:cs="Arial" w:eastAsia="Arial" w:hAnsi="Arial"/>
                <w:sz w:val="13"/>
                <w:szCs w:val="13"/>
                <w:color w:val="auto"/>
              </w:rPr>
              <w:t>155.1</w:t>
            </w:r>
          </w:p>
        </w:tc>
        <w:tc>
          <w:tcPr>
            <w:tcW w:w="160" w:type="dxa"/>
            <w:vAlign w:val="bottom"/>
          </w:tcPr>
          <w:p>
            <w:pPr>
              <w:spacing w:after="0"/>
              <w:rPr>
                <w:sz w:val="10"/>
                <w:szCs w:val="10"/>
                <w:color w:val="auto"/>
              </w:rPr>
            </w:pPr>
          </w:p>
        </w:tc>
        <w:tc>
          <w:tcPr>
            <w:tcW w:w="14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58"/>
              <w:spacing w:after="0" w:line="126" w:lineRule="exact"/>
              <w:rPr>
                <w:sz w:val="20"/>
                <w:szCs w:val="20"/>
                <w:color w:val="auto"/>
              </w:rPr>
            </w:pPr>
            <w:r>
              <w:rPr>
                <w:rFonts w:ascii="Arial" w:cs="Arial" w:eastAsia="Arial" w:hAnsi="Arial"/>
                <w:sz w:val="13"/>
                <w:szCs w:val="13"/>
                <w:color w:val="auto"/>
              </w:rPr>
              <w:t>152.4</w:t>
            </w:r>
          </w:p>
        </w:tc>
        <w:tc>
          <w:tcPr>
            <w:tcW w:w="80" w:type="dxa"/>
            <w:vAlign w:val="bottom"/>
          </w:tcPr>
          <w:p>
            <w:pPr>
              <w:jc w:val="right"/>
              <w:spacing w:after="0" w:line="126" w:lineRule="exact"/>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218"/>
              <w:spacing w:after="0" w:line="126" w:lineRule="exact"/>
              <w:rPr>
                <w:sz w:val="20"/>
                <w:szCs w:val="20"/>
                <w:color w:val="auto"/>
              </w:rPr>
            </w:pPr>
            <w:r>
              <w:rPr>
                <w:rFonts w:ascii="Arial" w:cs="Arial" w:eastAsia="Arial" w:hAnsi="Arial"/>
                <w:sz w:val="13"/>
                <w:szCs w:val="13"/>
                <w:color w:val="auto"/>
              </w:rPr>
              <w:t>147.7</w:t>
            </w:r>
          </w:p>
        </w:tc>
        <w:tc>
          <w:tcPr>
            <w:tcW w:w="80" w:type="dxa"/>
            <w:vAlign w:val="bottom"/>
            <w:gridSpan w:val="2"/>
          </w:tcPr>
          <w:p>
            <w:pPr>
              <w:jc w:val="right"/>
              <w:spacing w:after="0" w:line="126"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0"/>
              <w:spacing w:after="0" w:line="126" w:lineRule="exact"/>
              <w:rPr>
                <w:sz w:val="20"/>
                <w:szCs w:val="20"/>
                <w:color w:val="auto"/>
              </w:rPr>
            </w:pPr>
            <w:r>
              <w:rPr>
                <w:rFonts w:ascii="Arial" w:cs="Arial" w:eastAsia="Arial" w:hAnsi="Arial"/>
                <w:sz w:val="13"/>
                <w:szCs w:val="13"/>
                <w:color w:val="auto"/>
              </w:rPr>
              <w:t>153.5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200" w:type="dxa"/>
            <w:vAlign w:val="bottom"/>
          </w:tcPr>
          <w:p>
            <w:pPr>
              <w:spacing w:after="0" w:line="147" w:lineRule="exact"/>
              <w:rPr>
                <w:sz w:val="20"/>
                <w:szCs w:val="20"/>
                <w:color w:val="auto"/>
              </w:rPr>
            </w:pPr>
            <w:r>
              <w:rPr>
                <w:rFonts w:ascii="Arial" w:cs="Arial" w:eastAsia="Arial" w:hAnsi="Arial"/>
                <w:sz w:val="13"/>
                <w:szCs w:val="13"/>
                <w:color w:val="auto"/>
              </w:rPr>
              <w:t>Ratios (as a percentage of average net assets):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3"/>
                <w:szCs w:val="13"/>
                <w:color w:val="auto"/>
              </w:rPr>
              <w:t>Expenses before waivers and/or recoupment, if any</w:t>
            </w:r>
            <w:r>
              <w:rPr>
                <w:rFonts w:ascii="Arial" w:cs="Arial" w:eastAsia="Arial" w:hAnsi="Arial"/>
                <w:sz w:val="20"/>
                <w:szCs w:val="20"/>
                <w:color w:val="auto"/>
                <w:vertAlign w:val="superscript"/>
              </w:rPr>
              <w:t>3</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98"/>
              <w:spacing w:after="0"/>
              <w:rPr>
                <w:sz w:val="20"/>
                <w:szCs w:val="20"/>
                <w:color w:val="auto"/>
              </w:rPr>
            </w:pPr>
            <w:r>
              <w:rPr>
                <w:rFonts w:ascii="Arial" w:cs="Arial" w:eastAsia="Arial" w:hAnsi="Arial"/>
                <w:sz w:val="13"/>
                <w:szCs w:val="13"/>
                <w:color w:val="auto"/>
              </w:rPr>
              <w:t>6.53%</w:t>
            </w:r>
          </w:p>
        </w:tc>
        <w:tc>
          <w:tcPr>
            <w:tcW w:w="80" w:type="dxa"/>
            <w:vAlign w:val="bottom"/>
          </w:tcPr>
          <w:p>
            <w:pPr>
              <w:spacing w:after="0"/>
              <w:rPr>
                <w:sz w:val="15"/>
                <w:szCs w:val="15"/>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3"/>
                <w:szCs w:val="13"/>
                <w:color w:val="auto"/>
              </w:rPr>
              <w:t>6.96%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6.72%</w:t>
            </w:r>
          </w:p>
        </w:tc>
        <w:tc>
          <w:tcPr>
            <w:tcW w:w="80" w:type="dxa"/>
            <w:vAlign w:val="bottom"/>
          </w:tcPr>
          <w:p>
            <w:pPr>
              <w:spacing w:after="0"/>
              <w:rPr>
                <w:sz w:val="15"/>
                <w:szCs w:val="15"/>
                <w:color w:val="auto"/>
              </w:rPr>
            </w:pPr>
          </w:p>
        </w:tc>
        <w:tc>
          <w:tcPr>
            <w:tcW w:w="1180" w:type="dxa"/>
            <w:vAlign w:val="bottom"/>
            <w:gridSpan w:val="2"/>
          </w:tcPr>
          <w:p>
            <w:pPr>
              <w:jc w:val="right"/>
              <w:ind w:right="118"/>
              <w:spacing w:after="0"/>
              <w:rPr>
                <w:sz w:val="20"/>
                <w:szCs w:val="20"/>
                <w:color w:val="auto"/>
              </w:rPr>
            </w:pPr>
            <w:r>
              <w:rPr>
                <w:rFonts w:ascii="Arial" w:cs="Arial" w:eastAsia="Arial" w:hAnsi="Arial"/>
                <w:sz w:val="13"/>
                <w:szCs w:val="13"/>
                <w:color w:val="auto"/>
              </w:rPr>
              <w:t>5.64%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3"/>
                <w:szCs w:val="13"/>
                <w:color w:val="auto"/>
              </w:rPr>
              <w:t>Expenses after waivers and/or recoupment, if any</w:t>
            </w:r>
            <w:r>
              <w:rPr>
                <w:rFonts w:ascii="Arial" w:cs="Arial" w:eastAsia="Arial" w:hAnsi="Arial"/>
                <w:sz w:val="20"/>
                <w:szCs w:val="20"/>
                <w:color w:val="auto"/>
                <w:vertAlign w:val="superscript"/>
              </w:rPr>
              <w:t>4,5</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98"/>
              <w:spacing w:after="0"/>
              <w:rPr>
                <w:sz w:val="20"/>
                <w:szCs w:val="20"/>
                <w:color w:val="auto"/>
              </w:rPr>
            </w:pPr>
            <w:r>
              <w:rPr>
                <w:rFonts w:ascii="Arial" w:cs="Arial" w:eastAsia="Arial" w:hAnsi="Arial"/>
                <w:sz w:val="13"/>
                <w:szCs w:val="13"/>
                <w:color w:val="auto"/>
              </w:rPr>
              <w:t>6.43%</w:t>
            </w:r>
          </w:p>
        </w:tc>
        <w:tc>
          <w:tcPr>
            <w:tcW w:w="80" w:type="dxa"/>
            <w:vAlign w:val="bottom"/>
          </w:tcPr>
          <w:p>
            <w:pPr>
              <w:spacing w:after="0"/>
              <w:rPr>
                <w:sz w:val="15"/>
                <w:szCs w:val="15"/>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3"/>
                <w:szCs w:val="13"/>
                <w:color w:val="auto"/>
              </w:rPr>
              <w:t>6.90%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6.67%</w:t>
            </w:r>
          </w:p>
        </w:tc>
        <w:tc>
          <w:tcPr>
            <w:tcW w:w="80" w:type="dxa"/>
            <w:vAlign w:val="bottom"/>
          </w:tcPr>
          <w:p>
            <w:pPr>
              <w:spacing w:after="0"/>
              <w:rPr>
                <w:sz w:val="15"/>
                <w:szCs w:val="15"/>
                <w:color w:val="auto"/>
              </w:rPr>
            </w:pPr>
          </w:p>
        </w:tc>
        <w:tc>
          <w:tcPr>
            <w:tcW w:w="1180" w:type="dxa"/>
            <w:vAlign w:val="bottom"/>
            <w:gridSpan w:val="2"/>
          </w:tcPr>
          <w:p>
            <w:pPr>
              <w:jc w:val="right"/>
              <w:ind w:right="118"/>
              <w:spacing w:after="0"/>
              <w:rPr>
                <w:sz w:val="20"/>
                <w:szCs w:val="20"/>
                <w:color w:val="auto"/>
              </w:rPr>
            </w:pPr>
            <w:r>
              <w:rPr>
                <w:rFonts w:ascii="Arial" w:cs="Arial" w:eastAsia="Arial" w:hAnsi="Arial"/>
                <w:sz w:val="13"/>
                <w:szCs w:val="13"/>
                <w:color w:val="auto"/>
              </w:rPr>
              <w:t>5.64%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168"/>
        </w:trPr>
        <w:tc>
          <w:tcPr>
            <w:tcW w:w="4200" w:type="dxa"/>
            <w:vAlign w:val="bottom"/>
          </w:tcPr>
          <w:p>
            <w:pPr>
              <w:spacing w:after="0" w:line="167" w:lineRule="exact"/>
              <w:rPr>
                <w:sz w:val="20"/>
                <w:szCs w:val="20"/>
                <w:color w:val="auto"/>
              </w:rPr>
            </w:pPr>
            <w:r>
              <w:rPr>
                <w:rFonts w:ascii="Arial" w:cs="Arial" w:eastAsia="Arial" w:hAnsi="Arial"/>
                <w:sz w:val="12"/>
                <w:szCs w:val="12"/>
                <w:color w:val="auto"/>
              </w:rPr>
              <w:t>Net investment income</w:t>
            </w:r>
            <w:r>
              <w:rPr>
                <w:rFonts w:ascii="Arial" w:cs="Arial" w:eastAsia="Arial" w:hAnsi="Arial"/>
                <w:sz w:val="19"/>
                <w:szCs w:val="19"/>
                <w:color w:val="auto"/>
                <w:vertAlign w:val="superscript"/>
              </w:rPr>
              <w:t>6</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98"/>
              <w:spacing w:after="0"/>
              <w:rPr>
                <w:sz w:val="20"/>
                <w:szCs w:val="20"/>
                <w:color w:val="auto"/>
              </w:rPr>
            </w:pPr>
            <w:r>
              <w:rPr>
                <w:rFonts w:ascii="Arial" w:cs="Arial" w:eastAsia="Arial" w:hAnsi="Arial"/>
                <w:sz w:val="13"/>
                <w:szCs w:val="13"/>
                <w:color w:val="auto"/>
              </w:rPr>
              <w:t>10.30%</w:t>
            </w:r>
          </w:p>
        </w:tc>
        <w:tc>
          <w:tcPr>
            <w:tcW w:w="80" w:type="dxa"/>
            <w:vAlign w:val="bottom"/>
          </w:tcPr>
          <w:p>
            <w:pPr>
              <w:spacing w:after="0"/>
              <w:rPr>
                <w:sz w:val="14"/>
                <w:szCs w:val="14"/>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3"/>
                <w:szCs w:val="13"/>
                <w:color w:val="auto"/>
              </w:rPr>
              <w:t>12.33%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12.43%</w:t>
            </w:r>
          </w:p>
        </w:tc>
        <w:tc>
          <w:tcPr>
            <w:tcW w:w="80" w:type="dxa"/>
            <w:vAlign w:val="bottom"/>
          </w:tcPr>
          <w:p>
            <w:pPr>
              <w:spacing w:after="0"/>
              <w:rPr>
                <w:sz w:val="14"/>
                <w:szCs w:val="14"/>
                <w:color w:val="auto"/>
              </w:rPr>
            </w:pPr>
          </w:p>
        </w:tc>
        <w:tc>
          <w:tcPr>
            <w:tcW w:w="1180" w:type="dxa"/>
            <w:vAlign w:val="bottom"/>
            <w:gridSpan w:val="2"/>
          </w:tcPr>
          <w:p>
            <w:pPr>
              <w:jc w:val="right"/>
              <w:ind w:right="118"/>
              <w:spacing w:after="0"/>
              <w:rPr>
                <w:sz w:val="20"/>
                <w:szCs w:val="20"/>
                <w:color w:val="auto"/>
              </w:rPr>
            </w:pPr>
            <w:r>
              <w:rPr>
                <w:rFonts w:ascii="Arial" w:cs="Arial" w:eastAsia="Arial" w:hAnsi="Arial"/>
                <w:sz w:val="13"/>
                <w:szCs w:val="13"/>
                <w:color w:val="auto"/>
              </w:rPr>
              <w:t>8.72%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7.46%</w:t>
            </w:r>
          </w:p>
        </w:tc>
        <w:tc>
          <w:tcPr>
            <w:tcW w:w="0" w:type="dxa"/>
            <w:vAlign w:val="bottom"/>
          </w:tcPr>
          <w:p>
            <w:pPr>
              <w:spacing w:after="0"/>
              <w:rPr>
                <w:sz w:val="1"/>
                <w:szCs w:val="1"/>
                <w:color w:val="auto"/>
              </w:rPr>
            </w:pPr>
          </w:p>
        </w:tc>
      </w:tr>
      <w:tr>
        <w:trPr>
          <w:trHeight w:val="151"/>
        </w:trPr>
        <w:tc>
          <w:tcPr>
            <w:tcW w:w="4200" w:type="dxa"/>
            <w:vAlign w:val="bottom"/>
          </w:tcPr>
          <w:p>
            <w:pPr>
              <w:spacing w:after="0"/>
              <w:rPr>
                <w:sz w:val="20"/>
                <w:szCs w:val="20"/>
                <w:color w:val="auto"/>
              </w:rPr>
            </w:pPr>
            <w:r>
              <w:rPr>
                <w:rFonts w:ascii="Arial" w:cs="Arial" w:eastAsia="Arial" w:hAnsi="Arial"/>
                <w:sz w:val="13"/>
                <w:szCs w:val="13"/>
                <w:color w:val="auto"/>
              </w:rPr>
              <w:t>Portfolio turnover rate</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98"/>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3"/>
                <w:szCs w:val="13"/>
                <w:color w:val="auto"/>
              </w:rPr>
              <w:t>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3"/>
                <w:szCs w:val="13"/>
                <w:color w:val="auto"/>
              </w:rPr>
            </w:pPr>
          </w:p>
        </w:tc>
        <w:tc>
          <w:tcPr>
            <w:tcW w:w="1180" w:type="dxa"/>
            <w:vAlign w:val="bottom"/>
            <w:gridSpan w:val="2"/>
          </w:tcPr>
          <w:p>
            <w:pPr>
              <w:jc w:val="right"/>
              <w:ind w:right="118"/>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8"/>
        </w:trPr>
        <w:tc>
          <w:tcPr>
            <w:tcW w:w="4200" w:type="dxa"/>
            <w:vAlign w:val="bottom"/>
            <w:shd w:val="clear" w:color="auto" w:fill="296B38"/>
          </w:tcPr>
          <w:p>
            <w:pPr>
              <w:spacing w:after="0" w:line="138" w:lineRule="exact"/>
              <w:rPr>
                <w:sz w:val="20"/>
                <w:szCs w:val="20"/>
                <w:color w:val="auto"/>
              </w:rPr>
            </w:pPr>
            <w:r>
              <w:rPr>
                <w:rFonts w:ascii="Arial" w:cs="Arial" w:eastAsia="Arial" w:hAnsi="Arial"/>
                <w:sz w:val="13"/>
                <w:szCs w:val="13"/>
                <w:b w:val="1"/>
                <w:bCs w:val="1"/>
                <w:color w:val="FFFFFF"/>
              </w:rPr>
              <w:t>Revolving credit agreement</w:t>
            </w:r>
          </w:p>
        </w:tc>
        <w:tc>
          <w:tcPr>
            <w:tcW w:w="98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24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16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20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26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00" w:type="dxa"/>
            <w:vAlign w:val="bottom"/>
          </w:tcPr>
          <w:p>
            <w:pPr>
              <w:spacing w:after="0" w:line="126" w:lineRule="exact"/>
              <w:rPr>
                <w:sz w:val="20"/>
                <w:szCs w:val="20"/>
                <w:color w:val="auto"/>
              </w:rPr>
            </w:pPr>
            <w:r>
              <w:rPr>
                <w:rFonts w:ascii="Arial" w:cs="Arial" w:eastAsia="Arial" w:hAnsi="Arial"/>
                <w:sz w:val="13"/>
                <w:szCs w:val="13"/>
                <w:color w:val="auto"/>
              </w:rPr>
              <w:t>Total revolving credit agreement outstanding (000s)</w:t>
            </w:r>
          </w:p>
        </w:tc>
        <w:tc>
          <w:tcPr>
            <w:tcW w:w="106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98"/>
              <w:spacing w:after="0" w:line="126" w:lineRule="exact"/>
              <w:rPr>
                <w:sz w:val="20"/>
                <w:szCs w:val="20"/>
                <w:color w:val="auto"/>
              </w:rPr>
            </w:pPr>
            <w:r>
              <w:rPr>
                <w:rFonts w:ascii="Arial" w:cs="Arial" w:eastAsia="Arial" w:hAnsi="Arial"/>
                <w:sz w:val="13"/>
                <w:szCs w:val="13"/>
                <w:color w:val="auto"/>
              </w:rPr>
              <w:t>25,200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26" w:lineRule="exact"/>
              <w:rPr>
                <w:sz w:val="20"/>
                <w:szCs w:val="20"/>
                <w:color w:val="auto"/>
              </w:rPr>
            </w:pPr>
            <w:r>
              <w:rPr>
                <w:rFonts w:ascii="Arial" w:cs="Arial" w:eastAsia="Arial" w:hAnsi="Arial"/>
                <w:sz w:val="13"/>
                <w:szCs w:val="13"/>
                <w:color w:val="auto"/>
              </w:rPr>
              <w:t>46,800</w:t>
            </w:r>
          </w:p>
        </w:tc>
        <w:tc>
          <w:tcPr>
            <w:tcW w:w="160" w:type="dxa"/>
            <w:vAlign w:val="bottom"/>
          </w:tcPr>
          <w:p>
            <w:pPr>
              <w:spacing w:after="0"/>
              <w:rPr>
                <w:sz w:val="10"/>
                <w:szCs w:val="10"/>
                <w:color w:val="auto"/>
              </w:rPr>
            </w:pPr>
          </w:p>
        </w:tc>
        <w:tc>
          <w:tcPr>
            <w:tcW w:w="14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58"/>
              <w:spacing w:after="0" w:line="126" w:lineRule="exact"/>
              <w:rPr>
                <w:sz w:val="20"/>
                <w:szCs w:val="20"/>
                <w:color w:val="auto"/>
              </w:rPr>
            </w:pPr>
            <w:r>
              <w:rPr>
                <w:rFonts w:ascii="Arial" w:cs="Arial" w:eastAsia="Arial" w:hAnsi="Arial"/>
                <w:sz w:val="13"/>
                <w:szCs w:val="13"/>
                <w:color w:val="auto"/>
              </w:rPr>
              <w:t>45,000</w:t>
            </w:r>
          </w:p>
        </w:tc>
        <w:tc>
          <w:tcPr>
            <w:tcW w:w="80" w:type="dxa"/>
            <w:vAlign w:val="bottom"/>
          </w:tcPr>
          <w:p>
            <w:pPr>
              <w:jc w:val="right"/>
              <w:spacing w:after="0" w:line="126" w:lineRule="exact"/>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218"/>
              <w:spacing w:after="0" w:line="126" w:lineRule="exact"/>
              <w:rPr>
                <w:sz w:val="20"/>
                <w:szCs w:val="20"/>
                <w:color w:val="auto"/>
              </w:rPr>
            </w:pPr>
            <w:r>
              <w:rPr>
                <w:rFonts w:ascii="Arial" w:cs="Arial" w:eastAsia="Arial" w:hAnsi="Arial"/>
                <w:sz w:val="13"/>
                <w:szCs w:val="13"/>
                <w:color w:val="auto"/>
              </w:rPr>
              <w:t>55,600</w:t>
            </w:r>
          </w:p>
        </w:tc>
        <w:tc>
          <w:tcPr>
            <w:tcW w:w="80" w:type="dxa"/>
            <w:vAlign w:val="bottom"/>
            <w:gridSpan w:val="2"/>
          </w:tcPr>
          <w:p>
            <w:pPr>
              <w:jc w:val="right"/>
              <w:spacing w:after="0" w:line="126"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0"/>
              <w:spacing w:after="0" w:line="126" w:lineRule="exact"/>
              <w:rPr>
                <w:sz w:val="20"/>
                <w:szCs w:val="20"/>
                <w:color w:val="auto"/>
              </w:rPr>
            </w:pPr>
            <w:r>
              <w:rPr>
                <w:rFonts w:ascii="Arial" w:cs="Arial" w:eastAsia="Arial" w:hAnsi="Arial"/>
                <w:sz w:val="13"/>
                <w:szCs w:val="13"/>
                <w:color w:val="auto"/>
              </w:rPr>
              <w:t>60,000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20"/>
                <w:szCs w:val="20"/>
                <w:color w:val="auto"/>
              </w:rPr>
            </w:pPr>
            <w:r>
              <w:rPr>
                <w:rFonts w:ascii="Arial" w:cs="Arial" w:eastAsia="Arial" w:hAnsi="Arial"/>
                <w:sz w:val="13"/>
                <w:szCs w:val="13"/>
                <w:color w:val="auto"/>
              </w:rPr>
              <w:t>Asset Coverage per $1,000 for revolving credit agreement</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98"/>
              <w:spacing w:after="0"/>
              <w:rPr>
                <w:sz w:val="20"/>
                <w:szCs w:val="20"/>
                <w:color w:val="auto"/>
              </w:rPr>
            </w:pPr>
            <w:r>
              <w:rPr>
                <w:rFonts w:ascii="Arial" w:cs="Arial" w:eastAsia="Arial" w:hAnsi="Arial"/>
                <w:sz w:val="13"/>
                <w:szCs w:val="13"/>
                <w:color w:val="auto"/>
              </w:rPr>
              <w:t>7,807</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4,314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58"/>
              <w:spacing w:after="0"/>
              <w:rPr>
                <w:sz w:val="20"/>
                <w:szCs w:val="20"/>
                <w:color w:val="auto"/>
              </w:rPr>
            </w:pPr>
            <w:r>
              <w:rPr>
                <w:rFonts w:ascii="Arial" w:cs="Arial" w:eastAsia="Arial" w:hAnsi="Arial"/>
                <w:sz w:val="13"/>
                <w:szCs w:val="13"/>
                <w:color w:val="auto"/>
              </w:rPr>
              <w:t>4,387</w:t>
            </w:r>
          </w:p>
        </w:tc>
        <w:tc>
          <w:tcPr>
            <w:tcW w:w="80" w:type="dxa"/>
            <w:vAlign w:val="bottom"/>
          </w:tcPr>
          <w:p>
            <w:pPr>
              <w:spacing w:after="0"/>
              <w:rPr>
                <w:sz w:val="14"/>
                <w:szCs w:val="14"/>
                <w:color w:val="auto"/>
              </w:rPr>
            </w:pPr>
          </w:p>
        </w:tc>
        <w:tc>
          <w:tcPr>
            <w:tcW w:w="1180" w:type="dxa"/>
            <w:vAlign w:val="bottom"/>
            <w:gridSpan w:val="2"/>
          </w:tcPr>
          <w:p>
            <w:pPr>
              <w:jc w:val="right"/>
              <w:ind w:right="218"/>
              <w:spacing w:after="0"/>
              <w:rPr>
                <w:sz w:val="20"/>
                <w:szCs w:val="20"/>
                <w:color w:val="auto"/>
              </w:rPr>
            </w:pPr>
            <w:r>
              <w:rPr>
                <w:rFonts w:ascii="Arial" w:cs="Arial" w:eastAsia="Arial" w:hAnsi="Arial"/>
                <w:sz w:val="13"/>
                <w:szCs w:val="13"/>
                <w:color w:val="auto"/>
              </w:rPr>
              <w:t>3,656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3,558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tabs>
          <w:tab w:leader="none" w:pos="1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1"/>
          <w:szCs w:val="11"/>
          <w:color w:val="auto"/>
        </w:rPr>
        <w:t>The net investment income and unrealized gain/(loss) on investments per share were calculated using the average shares outstanding method.</w:t>
      </w:r>
    </w:p>
    <w:p>
      <w:pPr>
        <w:spacing w:after="0" w:line="10" w:lineRule="exact"/>
        <w:rPr>
          <w:sz w:val="20"/>
          <w:szCs w:val="20"/>
          <w:color w:val="auto"/>
        </w:rPr>
      </w:pPr>
    </w:p>
    <w:p>
      <w:pPr>
        <w:jc w:val="both"/>
        <w:ind w:left="180" w:right="80" w:hanging="179"/>
        <w:spacing w:after="0" w:line="250" w:lineRule="auto"/>
        <w:tabs>
          <w:tab w:leader="none" w:pos="1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Investment return based on net asset value includes management fee and all other expenses paid by the Fund. Dividends are reinvested in accordance with Fund's Dividend Reinvestment Plan. Investment return based on market value is based on share market price and reinvestment of distributions at the price obtained under the Dividend Reinvestment Plan. Total return does not include sales load and offering expenses.</w:t>
      </w:r>
    </w:p>
    <w:p>
      <w:pPr>
        <w:ind w:left="180" w:right="180" w:hanging="179"/>
        <w:spacing w:after="0" w:line="229" w:lineRule="auto"/>
        <w:tabs>
          <w:tab w:leader="none" w:pos="1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Ratio of expenses before waivers or recoupment, if any, to managed assets equals 4.93%, 5.16%, 5.13%, 4.08%, 3.34%, 3.49%, 3.55%, 3.83%, 3.67% and 3.58% for the years ended December 31, 2025, 2024, 2023, 2022, 2021, 2020, 2019, 2018, 2017 and 2016, respectively.</w:t>
      </w:r>
    </w:p>
    <w:p>
      <w:pPr>
        <w:spacing w:after="0" w:line="1" w:lineRule="exact"/>
        <w:rPr>
          <w:sz w:val="20"/>
          <w:szCs w:val="20"/>
          <w:color w:val="auto"/>
        </w:rPr>
      </w:pPr>
    </w:p>
    <w:p>
      <w:pPr>
        <w:ind w:left="180" w:right="200" w:hanging="179"/>
        <w:spacing w:after="0" w:line="229" w:lineRule="auto"/>
        <w:tabs>
          <w:tab w:leader="none" w:pos="1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Excluding interest expense, net operating expenses would have been 4.21%, 4.29%, 4.31%, 4.09%, 3.53%, 3.61%, 3.40%, 3.61%, 3.75% and 3.74% for the years ended December 31, 2025, 2024, 2023, 2022, 2021, 2020, 2019, 2018, 2017 and 2016, respectively.</w:t>
      </w:r>
    </w:p>
    <w:p>
      <w:pPr>
        <w:spacing w:after="0" w:line="1" w:lineRule="exact"/>
        <w:rPr>
          <w:sz w:val="20"/>
          <w:szCs w:val="20"/>
          <w:color w:val="auto"/>
        </w:rPr>
      </w:pPr>
    </w:p>
    <w:p>
      <w:pPr>
        <w:ind w:left="180" w:right="240" w:hanging="179"/>
        <w:spacing w:after="0" w:line="229" w:lineRule="auto"/>
        <w:tabs>
          <w:tab w:leader="none" w:pos="1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Ratio of expenses after waivers or recoupment, if any, to managed assets equals 4.86%, 5.12%, 5.09%, 4.08%, 3.38%, 3.49%, 3.55%, 3.78%, 3.73% and 3.52% for the years ended ended December 31, 2025, 2024, 2023, 2022, 2021, 2020, 2019, 2018, 2017 and 2016, respectively.</w:t>
      </w:r>
    </w:p>
    <w:p>
      <w:pPr>
        <w:spacing w:after="0" w:line="1" w:lineRule="exact"/>
        <w:rPr>
          <w:sz w:val="20"/>
          <w:szCs w:val="20"/>
          <w:color w:val="auto"/>
        </w:rPr>
      </w:pPr>
    </w:p>
    <w:p>
      <w:pPr>
        <w:ind w:left="180" w:right="140" w:hanging="179"/>
        <w:spacing w:after="0" w:line="232" w:lineRule="auto"/>
        <w:tabs>
          <w:tab w:leader="none" w:pos="1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Ratio of net investment income to managed assets equals 7.78%, 9.15%, 9.48%, 6.31%, 5.65%, 6.77%, 5.75%, 5.74%, 5.51% and 5.23% for the years ended December 31, 2025, 2024, 2023, 2022, 2021, 2020, 2019, 2018, 2017 and 2016, respectively.</w:t>
      </w:r>
    </w:p>
    <w:p>
      <w:pPr>
        <w:spacing w:after="0" w:line="166" w:lineRule="exact"/>
        <w:rPr>
          <w:sz w:val="20"/>
          <w:szCs w:val="20"/>
          <w:color w:val="auto"/>
        </w:rPr>
      </w:pPr>
    </w:p>
    <w:p>
      <w:pPr>
        <w:spacing w:after="0"/>
        <w:tabs>
          <w:tab w:leader="none" w:pos="560" w:val="left"/>
          <w:tab w:leader="none" w:pos="9200" w:val="left"/>
        </w:tabs>
        <w:rPr>
          <w:sz w:val="20"/>
          <w:szCs w:val="20"/>
          <w:color w:val="auto"/>
        </w:rPr>
      </w:pPr>
      <w:r>
        <w:rPr>
          <w:rFonts w:ascii="Arial" w:cs="Arial" w:eastAsia="Arial" w:hAnsi="Arial"/>
          <w:sz w:val="15"/>
          <w:szCs w:val="15"/>
          <w:color w:val="286B38"/>
        </w:rPr>
        <w:t>15</w:t>
      </w:r>
      <w:r>
        <w:rPr>
          <w:sz w:val="20"/>
          <w:szCs w:val="20"/>
          <w:color w:val="auto"/>
        </w:rPr>
        <w:tab/>
      </w:r>
      <w:r>
        <w:rPr>
          <w:rFonts w:ascii="Arial" w:cs="Arial" w:eastAsia="Arial" w:hAnsi="Arial"/>
          <w:sz w:val="13"/>
          <w:szCs w:val="13"/>
          <w:color w:val="286B38"/>
        </w:rPr>
        <w:t>ArrowMark Financial Corp.</w:t>
      </w:r>
      <w:r>
        <w:rPr>
          <w:rFonts w:ascii="Arial" w:cs="Arial" w:eastAsia="Arial" w:hAnsi="Arial"/>
          <w:sz w:val="13"/>
          <w:szCs w:val="13"/>
          <w:b w:val="1"/>
          <w:bCs w:val="1"/>
          <w:color w:val="286B38"/>
        </w:rPr>
        <w:t>| Annual Report</w:t>
      </w:r>
      <w:r>
        <w:rPr>
          <w:sz w:val="20"/>
          <w:szCs w:val="20"/>
          <w:color w:val="auto"/>
        </w:rPr>
        <w:tab/>
      </w:r>
      <w:r>
        <w:rPr>
          <w:rFonts w:ascii="Arial" w:cs="Arial" w:eastAsia="Arial" w:hAnsi="Arial"/>
          <w:sz w:val="13"/>
          <w:szCs w:val="13"/>
          <w:color w:val="296B38"/>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265430</wp:posOffset>
            </wp:positionV>
            <wp:extent cx="7141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527685</wp:posOffset>
            </wp:positionV>
            <wp:extent cx="7200265" cy="821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00265" cy="82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financial highlights show how the Company’s net asset value for a common stock share has changed during the 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18"/>
              <w:spacing w:after="0"/>
              <w:rPr>
                <w:sz w:val="20"/>
                <w:szCs w:val="20"/>
                <w:color w:val="auto"/>
              </w:rPr>
            </w:pPr>
            <w:r>
              <w:rPr>
                <w:rFonts w:ascii="Arial" w:cs="Arial" w:eastAsia="Arial" w:hAnsi="Arial"/>
                <w:sz w:val="13"/>
                <w:szCs w:val="13"/>
                <w:b w:val="1"/>
                <w:bCs w:val="1"/>
                <w:color w:val="auto"/>
                <w:w w:val="95"/>
              </w:rPr>
              <w:t>For the</w:t>
            </w:r>
          </w:p>
        </w:tc>
        <w:tc>
          <w:tcPr>
            <w:tcW w:w="80" w:type="dxa"/>
            <w:vAlign w:val="bottom"/>
          </w:tcPr>
          <w:p>
            <w:pPr>
              <w:spacing w:after="0"/>
              <w:rPr>
                <w:sz w:val="13"/>
                <w:szCs w:val="13"/>
                <w:color w:val="auto"/>
              </w:rPr>
            </w:pPr>
          </w:p>
        </w:tc>
        <w:tc>
          <w:tcPr>
            <w:tcW w:w="1120" w:type="dxa"/>
            <w:vAlign w:val="bottom"/>
            <w:gridSpan w:val="2"/>
          </w:tcPr>
          <w:p>
            <w:pPr>
              <w:jc w:val="center"/>
              <w:ind w:right="218"/>
              <w:spacing w:after="0"/>
              <w:rPr>
                <w:sz w:val="20"/>
                <w:szCs w:val="20"/>
                <w:color w:val="auto"/>
              </w:rPr>
            </w:pPr>
            <w:r>
              <w:rPr>
                <w:rFonts w:ascii="Arial" w:cs="Arial" w:eastAsia="Arial" w:hAnsi="Arial"/>
                <w:sz w:val="13"/>
                <w:szCs w:val="13"/>
                <w:b w:val="1"/>
                <w:bCs w:val="1"/>
                <w:color w:val="auto"/>
                <w:w w:val="95"/>
              </w:rPr>
              <w:t>For the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95"/>
              </w:rPr>
              <w:t>For the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58"/>
              <w:spacing w:after="0"/>
              <w:rPr>
                <w:sz w:val="20"/>
                <w:szCs w:val="20"/>
                <w:color w:val="auto"/>
              </w:rPr>
            </w:pPr>
            <w:r>
              <w:rPr>
                <w:rFonts w:ascii="Arial" w:cs="Arial" w:eastAsia="Arial" w:hAnsi="Arial"/>
                <w:sz w:val="13"/>
                <w:szCs w:val="13"/>
                <w:b w:val="1"/>
                <w:bCs w:val="1"/>
                <w:color w:val="auto"/>
                <w:w w:val="95"/>
              </w:rPr>
              <w:t>For the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4"/>
          </w:tcPr>
          <w:p>
            <w:pPr>
              <w:jc w:val="center"/>
              <w:ind w:right="175"/>
              <w:spacing w:after="0"/>
              <w:rPr>
                <w:sz w:val="20"/>
                <w:szCs w:val="20"/>
                <w:color w:val="auto"/>
              </w:rPr>
            </w:pPr>
            <w:r>
              <w:rPr>
                <w:rFonts w:ascii="Arial" w:cs="Arial" w:eastAsia="Arial" w:hAnsi="Arial"/>
                <w:sz w:val="13"/>
                <w:szCs w:val="13"/>
                <w:b w:val="1"/>
                <w:bCs w:val="1"/>
                <w:color w:val="auto"/>
                <w:w w:val="99"/>
              </w:rPr>
              <w:t>For the</w:t>
            </w:r>
          </w:p>
        </w:tc>
        <w:tc>
          <w:tcPr>
            <w:tcW w:w="0" w:type="dxa"/>
            <w:vAlign w:val="bottom"/>
          </w:tcPr>
          <w:p>
            <w:pPr>
              <w:spacing w:after="0"/>
              <w:rPr>
                <w:sz w:val="1"/>
                <w:szCs w:val="1"/>
                <w:color w:val="auto"/>
              </w:rPr>
            </w:pPr>
          </w:p>
        </w:tc>
      </w:tr>
      <w:tr>
        <w:trPr>
          <w:trHeight w:val="138"/>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18"/>
              <w:spacing w:after="0" w:line="138" w:lineRule="exact"/>
              <w:rPr>
                <w:sz w:val="20"/>
                <w:szCs w:val="20"/>
                <w:color w:val="auto"/>
              </w:rPr>
            </w:pPr>
            <w:r>
              <w:rPr>
                <w:rFonts w:ascii="Arial" w:cs="Arial" w:eastAsia="Arial" w:hAnsi="Arial"/>
                <w:sz w:val="13"/>
                <w:szCs w:val="13"/>
                <w:b w:val="1"/>
                <w:bCs w:val="1"/>
                <w:color w:val="auto"/>
                <w:w w:val="92"/>
              </w:rPr>
              <w:t>Year</w:t>
            </w:r>
          </w:p>
        </w:tc>
        <w:tc>
          <w:tcPr>
            <w:tcW w:w="80" w:type="dxa"/>
            <w:vAlign w:val="bottom"/>
          </w:tcPr>
          <w:p>
            <w:pPr>
              <w:spacing w:after="0"/>
              <w:rPr>
                <w:sz w:val="12"/>
                <w:szCs w:val="12"/>
                <w:color w:val="auto"/>
              </w:rPr>
            </w:pPr>
          </w:p>
        </w:tc>
        <w:tc>
          <w:tcPr>
            <w:tcW w:w="1120" w:type="dxa"/>
            <w:vAlign w:val="bottom"/>
            <w:gridSpan w:val="2"/>
          </w:tcPr>
          <w:p>
            <w:pPr>
              <w:jc w:val="center"/>
              <w:ind w:right="218"/>
              <w:spacing w:after="0" w:line="138" w:lineRule="exact"/>
              <w:rPr>
                <w:sz w:val="20"/>
                <w:szCs w:val="20"/>
                <w:color w:val="auto"/>
              </w:rPr>
            </w:pPr>
            <w:r>
              <w:rPr>
                <w:rFonts w:ascii="Arial" w:cs="Arial" w:eastAsia="Arial" w:hAnsi="Arial"/>
                <w:sz w:val="13"/>
                <w:szCs w:val="13"/>
                <w:b w:val="1"/>
                <w:bCs w:val="1"/>
                <w:color w:val="auto"/>
                <w:w w:val="92"/>
              </w:rPr>
              <w:t>Year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78"/>
              <w:spacing w:after="0" w:line="138" w:lineRule="exact"/>
              <w:rPr>
                <w:sz w:val="20"/>
                <w:szCs w:val="20"/>
                <w:color w:val="auto"/>
              </w:rPr>
            </w:pPr>
            <w:r>
              <w:rPr>
                <w:rFonts w:ascii="Arial" w:cs="Arial" w:eastAsia="Arial" w:hAnsi="Arial"/>
                <w:sz w:val="13"/>
                <w:szCs w:val="13"/>
                <w:b w:val="1"/>
                <w:bCs w:val="1"/>
                <w:color w:val="auto"/>
                <w:w w:val="92"/>
              </w:rPr>
              <w:t>Year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58"/>
              <w:spacing w:after="0" w:line="138" w:lineRule="exact"/>
              <w:rPr>
                <w:sz w:val="20"/>
                <w:szCs w:val="20"/>
                <w:color w:val="auto"/>
              </w:rPr>
            </w:pPr>
            <w:r>
              <w:rPr>
                <w:rFonts w:ascii="Arial" w:cs="Arial" w:eastAsia="Arial" w:hAnsi="Arial"/>
                <w:sz w:val="13"/>
                <w:szCs w:val="13"/>
                <w:b w:val="1"/>
                <w:bCs w:val="1"/>
                <w:color w:val="auto"/>
                <w:w w:val="92"/>
              </w:rPr>
              <w:t>Year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left="158"/>
              <w:spacing w:after="0" w:line="138" w:lineRule="exact"/>
              <w:rPr>
                <w:sz w:val="20"/>
                <w:szCs w:val="20"/>
                <w:color w:val="auto"/>
              </w:rPr>
            </w:pPr>
            <w:r>
              <w:rPr>
                <w:rFonts w:ascii="Arial" w:cs="Arial" w:eastAsia="Arial" w:hAnsi="Arial"/>
                <w:sz w:val="13"/>
                <w:szCs w:val="13"/>
                <w:b w:val="1"/>
                <w:bCs w:val="1"/>
                <w:color w:val="auto"/>
                <w:w w:val="99"/>
              </w:rPr>
              <w:t>Year</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18"/>
              <w:spacing w:after="0" w:line="138" w:lineRule="exact"/>
              <w:rPr>
                <w:sz w:val="20"/>
                <w:szCs w:val="20"/>
                <w:color w:val="auto"/>
              </w:rPr>
            </w:pPr>
            <w:r>
              <w:rPr>
                <w:rFonts w:ascii="Arial" w:cs="Arial" w:eastAsia="Arial" w:hAnsi="Arial"/>
                <w:sz w:val="13"/>
                <w:szCs w:val="13"/>
                <w:b w:val="1"/>
                <w:bCs w:val="1"/>
                <w:color w:val="auto"/>
                <w:w w:val="95"/>
              </w:rPr>
              <w:t>Ended</w:t>
            </w:r>
          </w:p>
        </w:tc>
        <w:tc>
          <w:tcPr>
            <w:tcW w:w="80" w:type="dxa"/>
            <w:vAlign w:val="bottom"/>
          </w:tcPr>
          <w:p>
            <w:pPr>
              <w:spacing w:after="0"/>
              <w:rPr>
                <w:sz w:val="12"/>
                <w:szCs w:val="12"/>
                <w:color w:val="auto"/>
              </w:rPr>
            </w:pPr>
          </w:p>
        </w:tc>
        <w:tc>
          <w:tcPr>
            <w:tcW w:w="1120" w:type="dxa"/>
            <w:vAlign w:val="bottom"/>
            <w:gridSpan w:val="2"/>
          </w:tcPr>
          <w:p>
            <w:pPr>
              <w:jc w:val="center"/>
              <w:ind w:right="218"/>
              <w:spacing w:after="0" w:line="138" w:lineRule="exact"/>
              <w:rPr>
                <w:sz w:val="20"/>
                <w:szCs w:val="20"/>
                <w:color w:val="auto"/>
              </w:rPr>
            </w:pPr>
            <w:r>
              <w:rPr>
                <w:rFonts w:ascii="Arial" w:cs="Arial" w:eastAsia="Arial" w:hAnsi="Arial"/>
                <w:sz w:val="13"/>
                <w:szCs w:val="13"/>
                <w:b w:val="1"/>
                <w:bCs w:val="1"/>
                <w:color w:val="auto"/>
                <w:w w:val="95"/>
              </w:rPr>
              <w:t>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78"/>
              <w:spacing w:after="0" w:line="138" w:lineRule="exact"/>
              <w:rPr>
                <w:sz w:val="20"/>
                <w:szCs w:val="20"/>
                <w:color w:val="auto"/>
              </w:rPr>
            </w:pPr>
            <w:r>
              <w:rPr>
                <w:rFonts w:ascii="Arial" w:cs="Arial" w:eastAsia="Arial" w:hAnsi="Arial"/>
                <w:sz w:val="13"/>
                <w:szCs w:val="13"/>
                <w:b w:val="1"/>
                <w:bCs w:val="1"/>
                <w:color w:val="auto"/>
                <w:w w:val="95"/>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58"/>
              <w:spacing w:after="0" w:line="138" w:lineRule="exact"/>
              <w:rPr>
                <w:sz w:val="20"/>
                <w:szCs w:val="20"/>
                <w:color w:val="auto"/>
              </w:rPr>
            </w:pPr>
            <w:r>
              <w:rPr>
                <w:rFonts w:ascii="Arial" w:cs="Arial" w:eastAsia="Arial" w:hAnsi="Arial"/>
                <w:sz w:val="13"/>
                <w:szCs w:val="13"/>
                <w:b w:val="1"/>
                <w:bCs w:val="1"/>
                <w:color w:val="auto"/>
                <w:w w:val="95"/>
              </w:rPr>
              <w:t>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left="158"/>
              <w:spacing w:after="0" w:line="138" w:lineRule="exact"/>
              <w:rPr>
                <w:sz w:val="20"/>
                <w:szCs w:val="20"/>
                <w:color w:val="auto"/>
              </w:rPr>
            </w:pPr>
            <w:r>
              <w:rPr>
                <w:rFonts w:ascii="Arial" w:cs="Arial" w:eastAsia="Arial" w:hAnsi="Arial"/>
                <w:sz w:val="13"/>
                <w:szCs w:val="13"/>
                <w:b w:val="1"/>
                <w:bCs w:val="1"/>
                <w:color w:val="auto"/>
              </w:rPr>
              <w:t>Ended</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18"/>
              <w:spacing w:after="0" w:line="138" w:lineRule="exact"/>
              <w:rPr>
                <w:sz w:val="20"/>
                <w:szCs w:val="20"/>
                <w:color w:val="auto"/>
              </w:rPr>
            </w:pPr>
            <w:r>
              <w:rPr>
                <w:rFonts w:ascii="Arial" w:cs="Arial" w:eastAsia="Arial" w:hAnsi="Arial"/>
                <w:sz w:val="13"/>
                <w:szCs w:val="13"/>
                <w:b w:val="1"/>
                <w:bCs w:val="1"/>
                <w:color w:val="auto"/>
                <w:w w:val="96"/>
              </w:rPr>
              <w:t>December 31,</w:t>
            </w:r>
          </w:p>
        </w:tc>
        <w:tc>
          <w:tcPr>
            <w:tcW w:w="80" w:type="dxa"/>
            <w:vAlign w:val="bottom"/>
          </w:tcPr>
          <w:p>
            <w:pPr>
              <w:spacing w:after="0"/>
              <w:rPr>
                <w:sz w:val="12"/>
                <w:szCs w:val="12"/>
                <w:color w:val="auto"/>
              </w:rPr>
            </w:pPr>
          </w:p>
        </w:tc>
        <w:tc>
          <w:tcPr>
            <w:tcW w:w="1120" w:type="dxa"/>
            <w:vAlign w:val="bottom"/>
            <w:gridSpan w:val="2"/>
          </w:tcPr>
          <w:p>
            <w:pPr>
              <w:jc w:val="center"/>
              <w:ind w:right="218"/>
              <w:spacing w:after="0" w:line="138"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78"/>
              <w:spacing w:after="0" w:line="138"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58"/>
              <w:spacing w:after="0" w:line="138"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jc w:val="center"/>
              <w:ind w:right="195"/>
              <w:spacing w:after="0" w:line="138"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38"/>
              <w:spacing w:after="0"/>
              <w:rPr>
                <w:sz w:val="20"/>
                <w:szCs w:val="20"/>
                <w:color w:val="auto"/>
              </w:rPr>
            </w:pPr>
            <w:r>
              <w:rPr>
                <w:rFonts w:ascii="Arial" w:cs="Arial" w:eastAsia="Arial" w:hAnsi="Arial"/>
                <w:sz w:val="13"/>
                <w:szCs w:val="13"/>
                <w:b w:val="1"/>
                <w:bCs w:val="1"/>
                <w:color w:val="auto"/>
                <w:w w:val="96"/>
              </w:rPr>
              <w:t>2020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2019</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2017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ind w:left="158"/>
              <w:spacing w:after="0"/>
              <w:rPr>
                <w:sz w:val="20"/>
                <w:szCs w:val="20"/>
                <w:color w:val="auto"/>
              </w:rPr>
            </w:pPr>
            <w:r>
              <w:rPr>
                <w:rFonts w:ascii="Arial" w:cs="Arial" w:eastAsia="Arial" w:hAnsi="Arial"/>
                <w:sz w:val="13"/>
                <w:szCs w:val="13"/>
                <w:b w:val="1"/>
                <w:bCs w:val="1"/>
                <w:color w:val="auto"/>
                <w:w w:val="96"/>
              </w:rPr>
              <w:t>2016</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00" w:type="dxa"/>
            <w:vAlign w:val="bottom"/>
            <w:shd w:val="clear" w:color="auto" w:fill="296B38"/>
          </w:tcPr>
          <w:p>
            <w:pPr>
              <w:spacing w:after="0" w:line="138" w:lineRule="exact"/>
              <w:rPr>
                <w:sz w:val="20"/>
                <w:szCs w:val="20"/>
                <w:color w:val="auto"/>
              </w:rPr>
            </w:pPr>
            <w:r>
              <w:rPr>
                <w:rFonts w:ascii="Arial" w:cs="Arial" w:eastAsia="Arial" w:hAnsi="Arial"/>
                <w:sz w:val="13"/>
                <w:szCs w:val="13"/>
                <w:b w:val="1"/>
                <w:bCs w:val="1"/>
                <w:color w:val="FFFFFF"/>
              </w:rPr>
              <w:t>Per share operating performance</w:t>
            </w:r>
          </w:p>
        </w:tc>
        <w:tc>
          <w:tcPr>
            <w:tcW w:w="98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28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180" w:type="dxa"/>
            <w:vAlign w:val="bottom"/>
            <w:shd w:val="clear" w:color="auto" w:fill="296B38"/>
          </w:tcPr>
          <w:p>
            <w:pPr>
              <w:spacing w:after="0"/>
              <w:rPr>
                <w:sz w:val="12"/>
                <w:szCs w:val="12"/>
                <w:color w:val="auto"/>
              </w:rPr>
            </w:pPr>
          </w:p>
        </w:tc>
        <w:tc>
          <w:tcPr>
            <w:tcW w:w="4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16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00" w:type="dxa"/>
            <w:vAlign w:val="bottom"/>
            <w:shd w:val="clear" w:color="auto" w:fill="296B38"/>
          </w:tcPr>
          <w:p>
            <w:pPr>
              <w:spacing w:after="0"/>
              <w:rPr>
                <w:sz w:val="12"/>
                <w:szCs w:val="12"/>
                <w:color w:val="auto"/>
              </w:rPr>
            </w:pPr>
          </w:p>
        </w:tc>
        <w:tc>
          <w:tcPr>
            <w:tcW w:w="22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620" w:type="dxa"/>
            <w:vAlign w:val="bottom"/>
            <w:shd w:val="clear" w:color="auto" w:fill="296B38"/>
          </w:tcPr>
          <w:p>
            <w:pPr>
              <w:spacing w:after="0"/>
              <w:rPr>
                <w:sz w:val="12"/>
                <w:szCs w:val="12"/>
                <w:color w:val="auto"/>
              </w:rPr>
            </w:pPr>
          </w:p>
        </w:tc>
        <w:tc>
          <w:tcPr>
            <w:tcW w:w="30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00" w:type="dxa"/>
            <w:vAlign w:val="bottom"/>
          </w:tcPr>
          <w:p>
            <w:pPr>
              <w:spacing w:after="0" w:line="126" w:lineRule="exact"/>
              <w:rPr>
                <w:sz w:val="20"/>
                <w:szCs w:val="20"/>
                <w:color w:val="auto"/>
              </w:rPr>
            </w:pPr>
            <w:r>
              <w:rPr>
                <w:rFonts w:ascii="Arial" w:cs="Arial" w:eastAsia="Arial" w:hAnsi="Arial"/>
                <w:sz w:val="13"/>
                <w:szCs w:val="13"/>
                <w:b w:val="1"/>
                <w:bCs w:val="1"/>
                <w:color w:val="auto"/>
              </w:rPr>
              <w:t>Net Asset value, beginning of year</w:t>
            </w:r>
          </w:p>
        </w:tc>
        <w:tc>
          <w:tcPr>
            <w:tcW w:w="106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rPr>
              <w:t>$</w:t>
            </w:r>
          </w:p>
        </w:tc>
        <w:tc>
          <w:tcPr>
            <w:tcW w:w="1220" w:type="dxa"/>
            <w:vAlign w:val="bottom"/>
            <w:gridSpan w:val="2"/>
          </w:tcPr>
          <w:p>
            <w:pPr>
              <w:jc w:val="right"/>
              <w:ind w:right="238"/>
              <w:spacing w:after="0" w:line="126" w:lineRule="exact"/>
              <w:rPr>
                <w:sz w:val="20"/>
                <w:szCs w:val="20"/>
                <w:color w:val="auto"/>
              </w:rPr>
            </w:pPr>
            <w:r>
              <w:rPr>
                <w:rFonts w:ascii="Arial" w:cs="Arial" w:eastAsia="Arial" w:hAnsi="Arial"/>
                <w:sz w:val="13"/>
                <w:szCs w:val="13"/>
                <w:b w:val="1"/>
                <w:bCs w:val="1"/>
                <w:color w:val="auto"/>
              </w:rPr>
              <w:t>21.83</w:t>
            </w:r>
          </w:p>
        </w:tc>
        <w:tc>
          <w:tcPr>
            <w:tcW w:w="80" w:type="dxa"/>
            <w:vAlign w:val="bottom"/>
          </w:tcPr>
          <w:p>
            <w:pPr>
              <w:jc w:val="right"/>
              <w:spacing w:after="0" w:line="126" w:lineRule="exact"/>
              <w:rPr>
                <w:sz w:val="20"/>
                <w:szCs w:val="20"/>
                <w:color w:val="auto"/>
              </w:rPr>
            </w:pPr>
            <w:r>
              <w:rPr>
                <w:rFonts w:ascii="Arial" w:cs="Arial" w:eastAsia="Arial" w:hAnsi="Arial"/>
                <w:sz w:val="13"/>
                <w:szCs w:val="13"/>
                <w:b w:val="1"/>
                <w:bCs w:val="1"/>
                <w:color w:val="auto"/>
                <w:w w:val="82"/>
              </w:rPr>
              <w:t>$</w:t>
            </w:r>
          </w:p>
        </w:tc>
        <w:tc>
          <w:tcPr>
            <w:tcW w:w="1120" w:type="dxa"/>
            <w:vAlign w:val="bottom"/>
            <w:gridSpan w:val="2"/>
          </w:tcPr>
          <w:p>
            <w:pPr>
              <w:jc w:val="right"/>
              <w:ind w:right="138"/>
              <w:spacing w:after="0" w:line="126" w:lineRule="exact"/>
              <w:rPr>
                <w:sz w:val="20"/>
                <w:szCs w:val="20"/>
                <w:color w:val="auto"/>
              </w:rPr>
            </w:pPr>
            <w:r>
              <w:rPr>
                <w:rFonts w:ascii="Arial" w:cs="Arial" w:eastAsia="Arial" w:hAnsi="Arial"/>
                <w:sz w:val="13"/>
                <w:szCs w:val="13"/>
                <w:b w:val="1"/>
                <w:bCs w:val="1"/>
                <w:color w:val="auto"/>
              </w:rPr>
              <w:t>21.43</w:t>
            </w:r>
          </w:p>
        </w:tc>
        <w:tc>
          <w:tcPr>
            <w:tcW w:w="12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21.56</w:t>
            </w:r>
          </w:p>
        </w:tc>
        <w:tc>
          <w:tcPr>
            <w:tcW w:w="160" w:type="dxa"/>
            <w:vAlign w:val="bottom"/>
          </w:tcPr>
          <w:p>
            <w:pPr>
              <w:spacing w:after="0"/>
              <w:rPr>
                <w:sz w:val="10"/>
                <w:szCs w:val="10"/>
                <w:color w:val="auto"/>
              </w:rPr>
            </w:pPr>
          </w:p>
        </w:tc>
        <w:tc>
          <w:tcPr>
            <w:tcW w:w="14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rPr>
              <w:t>$</w:t>
            </w:r>
          </w:p>
        </w:tc>
        <w:tc>
          <w:tcPr>
            <w:tcW w:w="1120" w:type="dxa"/>
            <w:vAlign w:val="bottom"/>
            <w:gridSpan w:val="2"/>
          </w:tcPr>
          <w:p>
            <w:pPr>
              <w:jc w:val="right"/>
              <w:ind w:right="178"/>
              <w:spacing w:after="0" w:line="126" w:lineRule="exact"/>
              <w:rPr>
                <w:sz w:val="20"/>
                <w:szCs w:val="20"/>
                <w:color w:val="auto"/>
              </w:rPr>
            </w:pPr>
            <w:r>
              <w:rPr>
                <w:rFonts w:ascii="Arial" w:cs="Arial" w:eastAsia="Arial" w:hAnsi="Arial"/>
                <w:sz w:val="13"/>
                <w:szCs w:val="13"/>
                <w:b w:val="1"/>
                <w:bCs w:val="1"/>
                <w:color w:val="auto"/>
              </w:rPr>
              <w:t>21.22</w:t>
            </w:r>
          </w:p>
        </w:tc>
        <w:tc>
          <w:tcPr>
            <w:tcW w:w="8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82"/>
              </w:rPr>
              <w:t>$</w:t>
            </w:r>
          </w:p>
        </w:tc>
        <w:tc>
          <w:tcPr>
            <w:tcW w:w="940" w:type="dxa"/>
            <w:vAlign w:val="bottom"/>
            <w:gridSpan w:val="3"/>
          </w:tcPr>
          <w:p>
            <w:pPr>
              <w:jc w:val="right"/>
              <w:ind w:right="20"/>
              <w:spacing w:after="0" w:line="126" w:lineRule="exact"/>
              <w:rPr>
                <w:sz w:val="20"/>
                <w:szCs w:val="20"/>
                <w:color w:val="auto"/>
              </w:rPr>
            </w:pPr>
            <w:r>
              <w:rPr>
                <w:rFonts w:ascii="Arial" w:cs="Arial" w:eastAsia="Arial" w:hAnsi="Arial"/>
                <w:sz w:val="13"/>
                <w:szCs w:val="13"/>
                <w:b w:val="1"/>
                <w:bCs w:val="1"/>
                <w:color w:val="auto"/>
              </w:rPr>
              <w:t>21.62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line="138" w:lineRule="exact"/>
              <w:rPr>
                <w:sz w:val="20"/>
                <w:szCs w:val="20"/>
                <w:color w:val="auto"/>
              </w:rPr>
            </w:pPr>
            <w:r>
              <w:rPr>
                <w:rFonts w:ascii="Arial" w:cs="Arial" w:eastAsia="Arial" w:hAnsi="Arial"/>
                <w:sz w:val="13"/>
                <w:szCs w:val="13"/>
                <w:color w:val="auto"/>
              </w:rPr>
              <w:t>Net investment income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38"/>
              <w:spacing w:after="0" w:line="138" w:lineRule="exact"/>
              <w:rPr>
                <w:sz w:val="20"/>
                <w:szCs w:val="20"/>
                <w:color w:val="auto"/>
              </w:rPr>
            </w:pPr>
            <w:r>
              <w:rPr>
                <w:rFonts w:ascii="Arial" w:cs="Arial" w:eastAsia="Arial" w:hAnsi="Arial"/>
                <w:sz w:val="13"/>
                <w:szCs w:val="13"/>
                <w:color w:val="auto"/>
              </w:rPr>
              <w:t>1.68</w:t>
            </w:r>
          </w:p>
        </w:tc>
        <w:tc>
          <w:tcPr>
            <w:tcW w:w="80" w:type="dxa"/>
            <w:vAlign w:val="bottom"/>
          </w:tcPr>
          <w:p>
            <w:pPr>
              <w:spacing w:after="0"/>
              <w:rPr>
                <w:sz w:val="12"/>
                <w:szCs w:val="12"/>
                <w:color w:val="auto"/>
              </w:rPr>
            </w:pPr>
          </w:p>
        </w:tc>
        <w:tc>
          <w:tcPr>
            <w:tcW w:w="1120" w:type="dxa"/>
            <w:vAlign w:val="bottom"/>
            <w:gridSpan w:val="2"/>
          </w:tcPr>
          <w:p>
            <w:pPr>
              <w:jc w:val="right"/>
              <w:ind w:right="138"/>
              <w:spacing w:after="0" w:line="138" w:lineRule="exact"/>
              <w:rPr>
                <w:sz w:val="20"/>
                <w:szCs w:val="20"/>
                <w:color w:val="auto"/>
              </w:rPr>
            </w:pPr>
            <w:r>
              <w:rPr>
                <w:rFonts w:ascii="Arial" w:cs="Arial" w:eastAsia="Arial" w:hAnsi="Arial"/>
                <w:sz w:val="13"/>
                <w:szCs w:val="13"/>
                <w:color w:val="auto"/>
              </w:rPr>
              <w:t>1.54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18"/>
              <w:spacing w:after="0" w:line="138" w:lineRule="exact"/>
              <w:rPr>
                <w:sz w:val="20"/>
                <w:szCs w:val="20"/>
                <w:color w:val="auto"/>
              </w:rPr>
            </w:pPr>
            <w:r>
              <w:rPr>
                <w:rFonts w:ascii="Arial" w:cs="Arial" w:eastAsia="Arial" w:hAnsi="Arial"/>
                <w:sz w:val="13"/>
                <w:szCs w:val="13"/>
                <w:color w:val="auto"/>
              </w:rPr>
              <w:t>1.63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78"/>
              <w:spacing w:after="0" w:line="138" w:lineRule="exact"/>
              <w:rPr>
                <w:sz w:val="20"/>
                <w:szCs w:val="20"/>
                <w:color w:val="auto"/>
              </w:rPr>
            </w:pPr>
            <w:r>
              <w:rPr>
                <w:rFonts w:ascii="Arial" w:cs="Arial" w:eastAsia="Arial" w:hAnsi="Arial"/>
                <w:sz w:val="13"/>
                <w:szCs w:val="13"/>
                <w:color w:val="auto"/>
              </w:rPr>
              <w:t>1.58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20"/>
                <w:szCs w:val="20"/>
                <w:color w:val="auto"/>
              </w:rPr>
            </w:pPr>
            <w:r>
              <w:rPr>
                <w:rFonts w:ascii="Arial" w:cs="Arial" w:eastAsia="Arial" w:hAnsi="Arial"/>
                <w:sz w:val="13"/>
                <w:szCs w:val="13"/>
                <w:color w:val="auto"/>
              </w:rPr>
              <w:t>Net realized and unrealized gain/(loss) on investments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198"/>
              <w:spacing w:after="0"/>
              <w:rPr>
                <w:sz w:val="20"/>
                <w:szCs w:val="20"/>
                <w:color w:val="auto"/>
              </w:rPr>
            </w:pPr>
            <w:r>
              <w:rPr>
                <w:rFonts w:ascii="Arial" w:cs="Arial" w:eastAsia="Arial" w:hAnsi="Arial"/>
                <w:sz w:val="13"/>
                <w:szCs w:val="13"/>
                <w:color w:val="auto"/>
              </w:rPr>
              <w:t>(0.50)</w:t>
            </w:r>
          </w:p>
        </w:tc>
        <w:tc>
          <w:tcPr>
            <w:tcW w:w="80" w:type="dxa"/>
            <w:vAlign w:val="bottom"/>
          </w:tcPr>
          <w:p>
            <w:pPr>
              <w:spacing w:after="0"/>
              <w:rPr>
                <w:sz w:val="13"/>
                <w:szCs w:val="13"/>
                <w:color w:val="auto"/>
              </w:rPr>
            </w:pPr>
          </w:p>
        </w:tc>
        <w:tc>
          <w:tcPr>
            <w:tcW w:w="1120" w:type="dxa"/>
            <w:vAlign w:val="bottom"/>
            <w:gridSpan w:val="2"/>
          </w:tcPr>
          <w:p>
            <w:pPr>
              <w:jc w:val="right"/>
              <w:ind w:right="138"/>
              <w:spacing w:after="0"/>
              <w:rPr>
                <w:sz w:val="20"/>
                <w:szCs w:val="20"/>
                <w:color w:val="auto"/>
              </w:rPr>
            </w:pPr>
            <w:r>
              <w:rPr>
                <w:rFonts w:ascii="Arial" w:cs="Arial" w:eastAsia="Arial" w:hAnsi="Arial"/>
                <w:sz w:val="13"/>
                <w:szCs w:val="13"/>
                <w:color w:val="auto"/>
              </w:rPr>
              <w:t>0.38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78"/>
              <w:spacing w:after="0"/>
              <w:rPr>
                <w:sz w:val="20"/>
                <w:szCs w:val="20"/>
                <w:color w:val="auto"/>
              </w:rPr>
            </w:pPr>
            <w:r>
              <w:rPr>
                <w:rFonts w:ascii="Arial" w:cs="Arial" w:eastAsia="Arial" w:hAnsi="Arial"/>
                <w:sz w:val="13"/>
                <w:szCs w:val="13"/>
                <w:color w:val="auto"/>
              </w:rPr>
              <w:t>(0.10)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0.26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gridSpan w:val="3"/>
          </w:tcPr>
          <w:p>
            <w:pPr>
              <w:jc w:val="right"/>
              <w:ind w:right="55"/>
              <w:spacing w:after="0"/>
              <w:rPr>
                <w:sz w:val="20"/>
                <w:szCs w:val="20"/>
                <w:color w:val="auto"/>
              </w:rPr>
            </w:pPr>
            <w:r>
              <w:rPr>
                <w:rFonts w:ascii="Arial" w:cs="Arial" w:eastAsia="Arial" w:hAnsi="Arial"/>
                <w:sz w:val="13"/>
                <w:szCs w:val="13"/>
                <w:color w:val="auto"/>
                <w:w w:val="94"/>
              </w:rPr>
              <w:t>(0.50)</w:t>
            </w:r>
          </w:p>
        </w:tc>
        <w:tc>
          <w:tcPr>
            <w:tcW w:w="0" w:type="dxa"/>
            <w:vAlign w:val="bottom"/>
          </w:tcPr>
          <w:p>
            <w:pPr>
              <w:spacing w:after="0"/>
              <w:rPr>
                <w:sz w:val="1"/>
                <w:szCs w:val="1"/>
                <w:color w:val="auto"/>
              </w:rPr>
            </w:pPr>
          </w:p>
        </w:tc>
      </w:tr>
      <w:tr>
        <w:trPr>
          <w:trHeight w:val="138"/>
        </w:trPr>
        <w:tc>
          <w:tcPr>
            <w:tcW w:w="4200" w:type="dxa"/>
            <w:vAlign w:val="bottom"/>
          </w:tcPr>
          <w:p>
            <w:pPr>
              <w:spacing w:after="0" w:line="138" w:lineRule="exact"/>
              <w:rPr>
                <w:sz w:val="20"/>
                <w:szCs w:val="20"/>
                <w:color w:val="auto"/>
              </w:rPr>
            </w:pPr>
            <w:r>
              <w:rPr>
                <w:rFonts w:ascii="Arial" w:cs="Arial" w:eastAsia="Arial" w:hAnsi="Arial"/>
                <w:sz w:val="13"/>
                <w:szCs w:val="13"/>
                <w:b w:val="1"/>
                <w:bCs w:val="1"/>
                <w:color w:val="auto"/>
              </w:rPr>
              <w:t>Total from investment operations</w:t>
            </w: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1.18</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1.92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1.53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1.84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jc w:val="right"/>
              <w:ind w:right="20"/>
              <w:spacing w:after="0" w:line="138" w:lineRule="exact"/>
              <w:rPr>
                <w:sz w:val="20"/>
                <w:szCs w:val="20"/>
                <w:color w:val="auto"/>
              </w:rPr>
            </w:pPr>
            <w:r>
              <w:rPr>
                <w:rFonts w:ascii="Arial" w:cs="Arial" w:eastAsia="Arial" w:hAnsi="Arial"/>
                <w:sz w:val="13"/>
                <w:szCs w:val="13"/>
                <w:b w:val="1"/>
                <w:bCs w:val="1"/>
                <w:color w:val="auto"/>
              </w:rPr>
              <w:t>1.06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200" w:type="dxa"/>
            <w:vAlign w:val="bottom"/>
          </w:tcPr>
          <w:p>
            <w:pPr>
              <w:spacing w:after="0" w:line="118" w:lineRule="exact"/>
              <w:rPr>
                <w:sz w:val="20"/>
                <w:szCs w:val="20"/>
                <w:color w:val="auto"/>
              </w:rPr>
            </w:pPr>
            <w:r>
              <w:rPr>
                <w:rFonts w:ascii="Arial" w:cs="Arial" w:eastAsia="Arial" w:hAnsi="Arial"/>
                <w:sz w:val="13"/>
                <w:szCs w:val="13"/>
                <w:b w:val="1"/>
                <w:bCs w:val="1"/>
                <w:color w:val="auto"/>
              </w:rPr>
              <w:t>Less distributions to shareholders</w:t>
            </w:r>
          </w:p>
        </w:tc>
        <w:tc>
          <w:tcPr>
            <w:tcW w:w="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20"/>
                <w:szCs w:val="20"/>
                <w:color w:val="auto"/>
              </w:rPr>
            </w:pPr>
            <w:r>
              <w:rPr>
                <w:rFonts w:ascii="Arial" w:cs="Arial" w:eastAsia="Arial" w:hAnsi="Arial"/>
                <w:sz w:val="13"/>
                <w:szCs w:val="13"/>
                <w:color w:val="auto"/>
              </w:rPr>
              <w:t>From net investment income</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198"/>
              <w:spacing w:after="0"/>
              <w:rPr>
                <w:sz w:val="20"/>
                <w:szCs w:val="20"/>
                <w:color w:val="auto"/>
              </w:rPr>
            </w:pPr>
            <w:r>
              <w:rPr>
                <w:rFonts w:ascii="Arial" w:cs="Arial" w:eastAsia="Arial" w:hAnsi="Arial"/>
                <w:sz w:val="13"/>
                <w:szCs w:val="13"/>
                <w:color w:val="auto"/>
              </w:rPr>
              <w:t>(1.57)</w:t>
            </w:r>
          </w:p>
        </w:tc>
        <w:tc>
          <w:tcPr>
            <w:tcW w:w="80" w:type="dxa"/>
            <w:vAlign w:val="bottom"/>
          </w:tcPr>
          <w:p>
            <w:pPr>
              <w:spacing w:after="0"/>
              <w:rPr>
                <w:sz w:val="13"/>
                <w:szCs w:val="13"/>
                <w:color w:val="auto"/>
              </w:rPr>
            </w:pPr>
          </w:p>
        </w:tc>
        <w:tc>
          <w:tcPr>
            <w:tcW w:w="1120" w:type="dxa"/>
            <w:vAlign w:val="bottom"/>
            <w:gridSpan w:val="2"/>
          </w:tcPr>
          <w:p>
            <w:pPr>
              <w:jc w:val="right"/>
              <w:ind w:right="98"/>
              <w:spacing w:after="0"/>
              <w:rPr>
                <w:sz w:val="20"/>
                <w:szCs w:val="20"/>
                <w:color w:val="auto"/>
              </w:rPr>
            </w:pPr>
            <w:r>
              <w:rPr>
                <w:rFonts w:ascii="Arial" w:cs="Arial" w:eastAsia="Arial" w:hAnsi="Arial"/>
                <w:sz w:val="13"/>
                <w:szCs w:val="13"/>
                <w:color w:val="auto"/>
              </w:rPr>
              <w:t>(1.52)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78"/>
              <w:spacing w:after="0"/>
              <w:rPr>
                <w:sz w:val="20"/>
                <w:szCs w:val="20"/>
                <w:color w:val="auto"/>
              </w:rPr>
            </w:pPr>
            <w:r>
              <w:rPr>
                <w:rFonts w:ascii="Arial" w:cs="Arial" w:eastAsia="Arial" w:hAnsi="Arial"/>
                <w:sz w:val="13"/>
                <w:szCs w:val="13"/>
                <w:color w:val="auto"/>
              </w:rPr>
              <w:t>(1.66)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38"/>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gridSpan w:val="3"/>
          </w:tcPr>
          <w:p>
            <w:pPr>
              <w:jc w:val="right"/>
              <w:ind w:right="55"/>
              <w:spacing w:after="0"/>
              <w:rPr>
                <w:sz w:val="20"/>
                <w:szCs w:val="20"/>
                <w:color w:val="auto"/>
              </w:rPr>
            </w:pPr>
            <w:r>
              <w:rPr>
                <w:rFonts w:ascii="Arial" w:cs="Arial" w:eastAsia="Arial" w:hAnsi="Arial"/>
                <w:sz w:val="13"/>
                <w:szCs w:val="13"/>
                <w:color w:val="auto"/>
                <w:w w:val="94"/>
              </w:rPr>
              <w:t>(1.46)</w:t>
            </w:r>
          </w:p>
        </w:tc>
        <w:tc>
          <w:tcPr>
            <w:tcW w:w="0" w:type="dxa"/>
            <w:vAlign w:val="bottom"/>
          </w:tcPr>
          <w:p>
            <w:pPr>
              <w:spacing w:after="0"/>
              <w:rPr>
                <w:sz w:val="1"/>
                <w:szCs w:val="1"/>
                <w:color w:val="auto"/>
              </w:rPr>
            </w:pPr>
          </w:p>
        </w:tc>
      </w:tr>
      <w:tr>
        <w:trPr>
          <w:trHeight w:val="131"/>
        </w:trPr>
        <w:tc>
          <w:tcPr>
            <w:tcW w:w="4200" w:type="dxa"/>
            <w:vAlign w:val="bottom"/>
          </w:tcPr>
          <w:p>
            <w:pPr>
              <w:spacing w:after="0" w:line="126" w:lineRule="exact"/>
              <w:rPr>
                <w:sz w:val="20"/>
                <w:szCs w:val="20"/>
                <w:color w:val="auto"/>
              </w:rPr>
            </w:pPr>
            <w:r>
              <w:rPr>
                <w:rFonts w:ascii="Arial" w:cs="Arial" w:eastAsia="Arial" w:hAnsi="Arial"/>
                <w:sz w:val="13"/>
                <w:szCs w:val="13"/>
                <w:b w:val="1"/>
                <w:bCs w:val="1"/>
                <w:color w:val="auto"/>
              </w:rPr>
              <w:t>Total distributions</w:t>
            </w:r>
          </w:p>
        </w:tc>
        <w:tc>
          <w:tcPr>
            <w:tcW w:w="9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b w:val="1"/>
                <w:bCs w:val="1"/>
                <w:color w:val="auto"/>
              </w:rPr>
              <w:t>(1.57</w:t>
            </w:r>
          </w:p>
        </w:tc>
        <w:tc>
          <w:tcPr>
            <w:tcW w:w="280" w:type="dxa"/>
            <w:vAlign w:val="bottom"/>
          </w:tcPr>
          <w:p>
            <w:pPr>
              <w:jc w:val="right"/>
              <w:ind w:right="198"/>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b w:val="1"/>
                <w:bCs w:val="1"/>
                <w:color w:val="auto"/>
              </w:rPr>
              <w:t>(1.52</w:t>
            </w:r>
          </w:p>
        </w:tc>
        <w:tc>
          <w:tcPr>
            <w:tcW w:w="180" w:type="dxa"/>
            <w:vAlign w:val="bottom"/>
          </w:tcPr>
          <w:p>
            <w:pPr>
              <w:jc w:val="right"/>
              <w:ind w:right="98"/>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b w:val="1"/>
                <w:bCs w:val="1"/>
                <w:color w:val="auto"/>
              </w:rPr>
              <w:t>(1.66</w:t>
            </w:r>
          </w:p>
        </w:tc>
        <w:tc>
          <w:tcPr>
            <w:tcW w:w="160" w:type="dxa"/>
            <w:vAlign w:val="bottom"/>
          </w:tcPr>
          <w:p>
            <w:pPr>
              <w:jc w:val="right"/>
              <w:ind w:right="78"/>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3"/>
                <w:szCs w:val="13"/>
                <w:b w:val="1"/>
                <w:bCs w:val="1"/>
                <w:color w:val="auto"/>
              </w:rPr>
              <w:t>(1.50</w:t>
            </w:r>
          </w:p>
        </w:tc>
        <w:tc>
          <w:tcPr>
            <w:tcW w:w="220" w:type="dxa"/>
            <w:vAlign w:val="bottom"/>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gridSpan w:val="2"/>
          </w:tcPr>
          <w:p>
            <w:pPr>
              <w:jc w:val="right"/>
              <w:ind w:right="20"/>
              <w:spacing w:after="0" w:line="126" w:lineRule="exact"/>
              <w:rPr>
                <w:sz w:val="20"/>
                <w:szCs w:val="20"/>
                <w:color w:val="auto"/>
              </w:rPr>
            </w:pPr>
            <w:r>
              <w:rPr>
                <w:rFonts w:ascii="Arial" w:cs="Arial" w:eastAsia="Arial" w:hAnsi="Arial"/>
                <w:sz w:val="13"/>
                <w:szCs w:val="13"/>
                <w:b w:val="1"/>
                <w:bCs w:val="1"/>
                <w:color w:val="auto"/>
                <w:w w:val="94"/>
              </w:rPr>
              <w:t>(1.46</w:t>
            </w:r>
          </w:p>
        </w:tc>
        <w:tc>
          <w:tcPr>
            <w:tcW w:w="80" w:type="dxa"/>
            <w:vAlign w:val="bottom"/>
          </w:tcPr>
          <w:p>
            <w:pPr>
              <w:jc w:val="right"/>
              <w:ind w:right="55"/>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51"/>
        </w:trPr>
        <w:tc>
          <w:tcPr>
            <w:tcW w:w="4200" w:type="dxa"/>
            <w:vAlign w:val="bottom"/>
          </w:tcPr>
          <w:p>
            <w:pPr>
              <w:spacing w:after="0" w:line="147" w:lineRule="exact"/>
              <w:rPr>
                <w:sz w:val="20"/>
                <w:szCs w:val="20"/>
                <w:color w:val="auto"/>
              </w:rPr>
            </w:pPr>
            <w:r>
              <w:rPr>
                <w:rFonts w:ascii="Arial" w:cs="Arial" w:eastAsia="Arial" w:hAnsi="Arial"/>
                <w:sz w:val="13"/>
                <w:szCs w:val="13"/>
                <w:b w:val="1"/>
                <w:bCs w:val="1"/>
                <w:color w:val="auto"/>
              </w:rPr>
              <w:t>Net asset value, end of year</w:t>
            </w:r>
          </w:p>
        </w:tc>
        <w:tc>
          <w:tcPr>
            <w:tcW w:w="9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21.44</w:t>
            </w:r>
          </w:p>
        </w:tc>
        <w:tc>
          <w:tcPr>
            <w:tcW w:w="2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21.83</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21.43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21.56</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21.22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line="144" w:lineRule="exact"/>
              <w:rPr>
                <w:sz w:val="20"/>
                <w:szCs w:val="20"/>
                <w:color w:val="auto"/>
              </w:rPr>
            </w:pPr>
            <w:r>
              <w:rPr>
                <w:rFonts w:ascii="Arial" w:cs="Arial" w:eastAsia="Arial" w:hAnsi="Arial"/>
                <w:sz w:val="13"/>
                <w:szCs w:val="13"/>
                <w:b w:val="1"/>
                <w:bCs w:val="1"/>
                <w:color w:val="auto"/>
              </w:rPr>
              <w:t>Per share market value, end of period/year</w:t>
            </w:r>
          </w:p>
        </w:tc>
        <w:tc>
          <w:tcPr>
            <w:tcW w:w="9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2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0" w:type="dxa"/>
            <w:vAlign w:val="bottom"/>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94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19.25</w:t>
            </w:r>
          </w:p>
        </w:tc>
        <w:tc>
          <w:tcPr>
            <w:tcW w:w="280" w:type="dxa"/>
            <w:vAlign w:val="bottom"/>
            <w:vMerge w:val="continue"/>
          </w:tcPr>
          <w:p>
            <w:pPr>
              <w:spacing w:after="0"/>
              <w:rPr>
                <w:sz w:val="8"/>
                <w:szCs w:val="8"/>
                <w:color w:val="auto"/>
              </w:rPr>
            </w:pPr>
          </w:p>
        </w:tc>
        <w:tc>
          <w:tcPr>
            <w:tcW w:w="8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w:t>
            </w:r>
          </w:p>
        </w:tc>
        <w:tc>
          <w:tcPr>
            <w:tcW w:w="94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22.30</w:t>
            </w:r>
          </w:p>
        </w:tc>
        <w:tc>
          <w:tcPr>
            <w:tcW w:w="18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8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19.30</w:t>
            </w:r>
          </w:p>
        </w:tc>
        <w:tc>
          <w:tcPr>
            <w:tcW w:w="1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20.13</w:t>
            </w:r>
          </w:p>
        </w:tc>
        <w:tc>
          <w:tcPr>
            <w:tcW w:w="2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spacing w:after="0" w:line="104" w:lineRule="exact"/>
              <w:rPr>
                <w:sz w:val="20"/>
                <w:szCs w:val="20"/>
                <w:color w:val="auto"/>
              </w:rPr>
            </w:pPr>
            <w:r>
              <w:rPr>
                <w:rFonts w:ascii="Arial" w:cs="Arial" w:eastAsia="Arial" w:hAnsi="Arial"/>
                <w:sz w:val="10"/>
                <w:szCs w:val="10"/>
                <w:b w:val="1"/>
                <w:bCs w:val="1"/>
                <w:color w:val="auto"/>
              </w:rPr>
              <w:t>18.69</w:t>
            </w:r>
          </w:p>
        </w:tc>
        <w:tc>
          <w:tcPr>
            <w:tcW w:w="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line="138" w:lineRule="exact"/>
              <w:rPr>
                <w:sz w:val="20"/>
                <w:szCs w:val="20"/>
                <w:color w:val="auto"/>
              </w:rPr>
            </w:pPr>
            <w:r>
              <w:rPr>
                <w:rFonts w:ascii="Arial" w:cs="Arial" w:eastAsia="Arial" w:hAnsi="Arial"/>
                <w:sz w:val="13"/>
                <w:szCs w:val="13"/>
                <w:b w:val="1"/>
                <w:bCs w:val="1"/>
                <w:color w:val="auto"/>
              </w:rPr>
              <w:t>Total investment return based on market value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98"/>
              <w:spacing w:after="0" w:line="138" w:lineRule="exact"/>
              <w:rPr>
                <w:sz w:val="20"/>
                <w:szCs w:val="20"/>
                <w:color w:val="auto"/>
              </w:rPr>
            </w:pPr>
            <w:r>
              <w:rPr>
                <w:rFonts w:ascii="Arial" w:cs="Arial" w:eastAsia="Arial" w:hAnsi="Arial"/>
                <w:sz w:val="13"/>
                <w:szCs w:val="13"/>
                <w:b w:val="1"/>
                <w:bCs w:val="1"/>
                <w:color w:val="auto"/>
              </w:rPr>
              <w:t>(5.76)%</w:t>
            </w:r>
          </w:p>
        </w:tc>
        <w:tc>
          <w:tcPr>
            <w:tcW w:w="80" w:type="dxa"/>
            <w:vAlign w:val="bottom"/>
          </w:tcPr>
          <w:p>
            <w:pPr>
              <w:spacing w:after="0"/>
              <w:rPr>
                <w:sz w:val="12"/>
                <w:szCs w:val="12"/>
                <w:color w:val="auto"/>
              </w:rPr>
            </w:pPr>
          </w:p>
        </w:tc>
        <w:tc>
          <w:tcPr>
            <w:tcW w:w="1120" w:type="dxa"/>
            <w:vAlign w:val="bottom"/>
            <w:gridSpan w:val="2"/>
          </w:tcPr>
          <w:p>
            <w:pPr>
              <w:jc w:val="right"/>
              <w:ind w:right="18"/>
              <w:spacing w:after="0" w:line="138" w:lineRule="exact"/>
              <w:rPr>
                <w:sz w:val="20"/>
                <w:szCs w:val="20"/>
                <w:color w:val="auto"/>
              </w:rPr>
            </w:pPr>
            <w:r>
              <w:rPr>
                <w:rFonts w:ascii="Arial" w:cs="Arial" w:eastAsia="Arial" w:hAnsi="Arial"/>
                <w:sz w:val="13"/>
                <w:szCs w:val="13"/>
                <w:b w:val="1"/>
                <w:bCs w:val="1"/>
                <w:color w:val="auto"/>
              </w:rPr>
              <w:t>24.00%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3.84%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8"/>
              <w:spacing w:after="0" w:line="138" w:lineRule="exact"/>
              <w:rPr>
                <w:sz w:val="20"/>
                <w:szCs w:val="20"/>
                <w:color w:val="auto"/>
              </w:rPr>
            </w:pPr>
            <w:r>
              <w:rPr>
                <w:rFonts w:ascii="Arial" w:cs="Arial" w:eastAsia="Arial" w:hAnsi="Arial"/>
                <w:sz w:val="13"/>
                <w:szCs w:val="13"/>
                <w:b w:val="1"/>
                <w:bCs w:val="1"/>
                <w:color w:val="auto"/>
              </w:rPr>
              <w:t>16.21%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jc w:val="right"/>
              <w:spacing w:after="0" w:line="138" w:lineRule="exact"/>
              <w:rPr>
                <w:sz w:val="20"/>
                <w:szCs w:val="20"/>
                <w:color w:val="auto"/>
              </w:rPr>
            </w:pPr>
            <w:r>
              <w:rPr>
                <w:rFonts w:ascii="Arial" w:cs="Arial" w:eastAsia="Arial" w:hAnsi="Arial"/>
                <w:sz w:val="13"/>
                <w:szCs w:val="13"/>
                <w:b w:val="1"/>
                <w:bCs w:val="1"/>
                <w:color w:val="auto"/>
              </w:rPr>
              <w:t>24.45%</w:t>
            </w:r>
          </w:p>
        </w:tc>
        <w:tc>
          <w:tcPr>
            <w:tcW w:w="0" w:type="dxa"/>
            <w:vAlign w:val="bottom"/>
          </w:tcPr>
          <w:p>
            <w:pPr>
              <w:spacing w:after="0"/>
              <w:rPr>
                <w:sz w:val="1"/>
                <w:szCs w:val="1"/>
                <w:color w:val="auto"/>
              </w:rPr>
            </w:pPr>
          </w:p>
        </w:tc>
      </w:tr>
      <w:tr>
        <w:trPr>
          <w:trHeight w:val="151"/>
        </w:trPr>
        <w:tc>
          <w:tcPr>
            <w:tcW w:w="4200" w:type="dxa"/>
            <w:vAlign w:val="bottom"/>
          </w:tcPr>
          <w:p>
            <w:pPr>
              <w:spacing w:after="0"/>
              <w:rPr>
                <w:sz w:val="20"/>
                <w:szCs w:val="20"/>
                <w:color w:val="auto"/>
              </w:rPr>
            </w:pPr>
            <w:r>
              <w:rPr>
                <w:rFonts w:ascii="Arial" w:cs="Arial" w:eastAsia="Arial" w:hAnsi="Arial"/>
                <w:sz w:val="13"/>
                <w:szCs w:val="13"/>
                <w:b w:val="1"/>
                <w:bCs w:val="1"/>
                <w:color w:val="auto"/>
              </w:rPr>
              <w:t>Total investment return based on net asset value</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3"/>
                <w:szCs w:val="13"/>
                <w:b w:val="1"/>
                <w:bCs w:val="1"/>
                <w:color w:val="auto"/>
              </w:rPr>
              <w:t>7.22%</w:t>
            </w:r>
          </w:p>
        </w:tc>
        <w:tc>
          <w:tcPr>
            <w:tcW w:w="80" w:type="dxa"/>
            <w:vAlign w:val="bottom"/>
          </w:tcPr>
          <w:p>
            <w:pPr>
              <w:spacing w:after="0"/>
              <w:rPr>
                <w:sz w:val="13"/>
                <w:szCs w:val="13"/>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3"/>
                <w:szCs w:val="13"/>
                <w:b w:val="1"/>
                <w:bCs w:val="1"/>
                <w:color w:val="auto"/>
              </w:rPr>
              <w:t>9.32%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7.65%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b w:val="1"/>
                <w:bCs w:val="1"/>
                <w:color w:val="auto"/>
              </w:rPr>
              <w:t>9.62%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b w:val="1"/>
                <w:bCs w:val="1"/>
                <w:color w:val="auto"/>
              </w:rPr>
              <w:t>6.53%</w:t>
            </w:r>
          </w:p>
        </w:tc>
        <w:tc>
          <w:tcPr>
            <w:tcW w:w="0" w:type="dxa"/>
            <w:vAlign w:val="bottom"/>
          </w:tcPr>
          <w:p>
            <w:pPr>
              <w:spacing w:after="0"/>
              <w:rPr>
                <w:sz w:val="1"/>
                <w:szCs w:val="1"/>
                <w:color w:val="auto"/>
              </w:rPr>
            </w:pPr>
          </w:p>
        </w:tc>
      </w:tr>
      <w:tr>
        <w:trPr>
          <w:trHeight w:val="138"/>
        </w:trPr>
        <w:tc>
          <w:tcPr>
            <w:tcW w:w="4200" w:type="dxa"/>
            <w:vAlign w:val="bottom"/>
            <w:shd w:val="clear" w:color="auto" w:fill="296B38"/>
          </w:tcPr>
          <w:p>
            <w:pPr>
              <w:spacing w:after="0" w:line="138" w:lineRule="exact"/>
              <w:rPr>
                <w:sz w:val="20"/>
                <w:szCs w:val="20"/>
                <w:color w:val="auto"/>
              </w:rPr>
            </w:pPr>
            <w:r>
              <w:rPr>
                <w:rFonts w:ascii="Arial" w:cs="Arial" w:eastAsia="Arial" w:hAnsi="Arial"/>
                <w:sz w:val="13"/>
                <w:szCs w:val="13"/>
                <w:b w:val="1"/>
                <w:bCs w:val="1"/>
                <w:color w:val="FFFFFF"/>
              </w:rPr>
              <w:t>Ratios and supplemental data</w:t>
            </w:r>
          </w:p>
        </w:tc>
        <w:tc>
          <w:tcPr>
            <w:tcW w:w="98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28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180" w:type="dxa"/>
            <w:vAlign w:val="bottom"/>
            <w:shd w:val="clear" w:color="auto" w:fill="296B38"/>
          </w:tcPr>
          <w:p>
            <w:pPr>
              <w:spacing w:after="0"/>
              <w:rPr>
                <w:sz w:val="12"/>
                <w:szCs w:val="12"/>
                <w:color w:val="auto"/>
              </w:rPr>
            </w:pPr>
          </w:p>
        </w:tc>
        <w:tc>
          <w:tcPr>
            <w:tcW w:w="4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16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00" w:type="dxa"/>
            <w:vAlign w:val="bottom"/>
            <w:shd w:val="clear" w:color="auto" w:fill="296B38"/>
          </w:tcPr>
          <w:p>
            <w:pPr>
              <w:spacing w:after="0"/>
              <w:rPr>
                <w:sz w:val="12"/>
                <w:szCs w:val="12"/>
                <w:color w:val="auto"/>
              </w:rPr>
            </w:pPr>
          </w:p>
        </w:tc>
        <w:tc>
          <w:tcPr>
            <w:tcW w:w="22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620" w:type="dxa"/>
            <w:vAlign w:val="bottom"/>
            <w:shd w:val="clear" w:color="auto" w:fill="296B38"/>
          </w:tcPr>
          <w:p>
            <w:pPr>
              <w:spacing w:after="0"/>
              <w:rPr>
                <w:sz w:val="12"/>
                <w:szCs w:val="12"/>
                <w:color w:val="auto"/>
              </w:rPr>
            </w:pPr>
          </w:p>
        </w:tc>
        <w:tc>
          <w:tcPr>
            <w:tcW w:w="30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00" w:type="dxa"/>
            <w:vAlign w:val="bottom"/>
          </w:tcPr>
          <w:p>
            <w:pPr>
              <w:spacing w:after="0" w:line="126" w:lineRule="exact"/>
              <w:rPr>
                <w:sz w:val="20"/>
                <w:szCs w:val="20"/>
                <w:color w:val="auto"/>
              </w:rPr>
            </w:pPr>
            <w:r>
              <w:rPr>
                <w:rFonts w:ascii="Arial" w:cs="Arial" w:eastAsia="Arial" w:hAnsi="Arial"/>
                <w:sz w:val="13"/>
                <w:szCs w:val="13"/>
                <w:color w:val="auto"/>
              </w:rPr>
              <w:t>Net assets end of period (in millions)</w:t>
            </w:r>
          </w:p>
        </w:tc>
        <w:tc>
          <w:tcPr>
            <w:tcW w:w="106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38"/>
              <w:spacing w:after="0" w:line="126" w:lineRule="exact"/>
              <w:rPr>
                <w:sz w:val="20"/>
                <w:szCs w:val="20"/>
                <w:color w:val="auto"/>
              </w:rPr>
            </w:pPr>
            <w:r>
              <w:rPr>
                <w:rFonts w:ascii="Arial" w:cs="Arial" w:eastAsia="Arial" w:hAnsi="Arial"/>
                <w:sz w:val="13"/>
                <w:szCs w:val="13"/>
                <w:color w:val="auto"/>
              </w:rPr>
              <w:t>140.8</w:t>
            </w:r>
          </w:p>
        </w:tc>
        <w:tc>
          <w:tcPr>
            <w:tcW w:w="80" w:type="dxa"/>
            <w:vAlign w:val="bottom"/>
          </w:tcPr>
          <w:p>
            <w:pPr>
              <w:jc w:val="right"/>
              <w:spacing w:after="0" w:line="126" w:lineRule="exact"/>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38"/>
              <w:spacing w:after="0" w:line="126" w:lineRule="exact"/>
              <w:rPr>
                <w:sz w:val="20"/>
                <w:szCs w:val="20"/>
                <w:color w:val="auto"/>
              </w:rPr>
            </w:pPr>
            <w:r>
              <w:rPr>
                <w:rFonts w:ascii="Arial" w:cs="Arial" w:eastAsia="Arial" w:hAnsi="Arial"/>
                <w:sz w:val="13"/>
                <w:szCs w:val="13"/>
                <w:color w:val="auto"/>
              </w:rPr>
              <w:t>143.2</w:t>
            </w:r>
          </w:p>
        </w:tc>
        <w:tc>
          <w:tcPr>
            <w:tcW w:w="12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26" w:lineRule="exact"/>
              <w:rPr>
                <w:sz w:val="20"/>
                <w:szCs w:val="20"/>
                <w:color w:val="auto"/>
              </w:rPr>
            </w:pPr>
            <w:r>
              <w:rPr>
                <w:rFonts w:ascii="Arial" w:cs="Arial" w:eastAsia="Arial" w:hAnsi="Arial"/>
                <w:sz w:val="13"/>
                <w:szCs w:val="13"/>
                <w:color w:val="auto"/>
              </w:rPr>
              <w:t>140.4</w:t>
            </w:r>
          </w:p>
        </w:tc>
        <w:tc>
          <w:tcPr>
            <w:tcW w:w="160" w:type="dxa"/>
            <w:vAlign w:val="bottom"/>
          </w:tcPr>
          <w:p>
            <w:pPr>
              <w:spacing w:after="0"/>
              <w:rPr>
                <w:sz w:val="10"/>
                <w:szCs w:val="10"/>
                <w:color w:val="auto"/>
              </w:rPr>
            </w:pPr>
          </w:p>
        </w:tc>
        <w:tc>
          <w:tcPr>
            <w:tcW w:w="14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78"/>
              <w:spacing w:after="0" w:line="126" w:lineRule="exact"/>
              <w:rPr>
                <w:sz w:val="20"/>
                <w:szCs w:val="20"/>
                <w:color w:val="auto"/>
              </w:rPr>
            </w:pPr>
            <w:r>
              <w:rPr>
                <w:rFonts w:ascii="Arial" w:cs="Arial" w:eastAsia="Arial" w:hAnsi="Arial"/>
                <w:sz w:val="13"/>
                <w:szCs w:val="13"/>
                <w:color w:val="auto"/>
              </w:rPr>
              <w:t>141.0</w:t>
            </w:r>
          </w:p>
        </w:tc>
        <w:tc>
          <w:tcPr>
            <w:tcW w:w="80" w:type="dxa"/>
            <w:vAlign w:val="bottom"/>
            <w:gridSpan w:val="2"/>
          </w:tcPr>
          <w:p>
            <w:pPr>
              <w:jc w:val="right"/>
              <w:spacing w:after="0" w:line="126" w:lineRule="exact"/>
              <w:rPr>
                <w:sz w:val="20"/>
                <w:szCs w:val="20"/>
                <w:color w:val="auto"/>
              </w:rPr>
            </w:pPr>
            <w:r>
              <w:rPr>
                <w:rFonts w:ascii="Arial" w:cs="Arial" w:eastAsia="Arial" w:hAnsi="Arial"/>
                <w:sz w:val="13"/>
                <w:szCs w:val="13"/>
                <w:color w:val="auto"/>
                <w:w w:val="82"/>
              </w:rPr>
              <w:t>$</w:t>
            </w:r>
          </w:p>
        </w:tc>
        <w:tc>
          <w:tcPr>
            <w:tcW w:w="940" w:type="dxa"/>
            <w:vAlign w:val="bottom"/>
            <w:gridSpan w:val="3"/>
          </w:tcPr>
          <w:p>
            <w:pPr>
              <w:jc w:val="right"/>
              <w:ind w:right="20"/>
              <w:spacing w:after="0" w:line="126" w:lineRule="exact"/>
              <w:rPr>
                <w:sz w:val="20"/>
                <w:szCs w:val="20"/>
                <w:color w:val="auto"/>
              </w:rPr>
            </w:pPr>
            <w:r>
              <w:rPr>
                <w:rFonts w:ascii="Arial" w:cs="Arial" w:eastAsia="Arial" w:hAnsi="Arial"/>
                <w:sz w:val="13"/>
                <w:szCs w:val="13"/>
                <w:color w:val="auto"/>
              </w:rPr>
              <w:t>138.6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line="138" w:lineRule="exact"/>
              <w:rPr>
                <w:sz w:val="20"/>
                <w:szCs w:val="20"/>
                <w:color w:val="auto"/>
              </w:rPr>
            </w:pPr>
            <w:r>
              <w:rPr>
                <w:rFonts w:ascii="Arial" w:cs="Arial" w:eastAsia="Arial" w:hAnsi="Arial"/>
                <w:sz w:val="13"/>
                <w:szCs w:val="13"/>
                <w:color w:val="auto"/>
              </w:rPr>
              <w:t>Ratios (as a percentage of average net assets):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line="138" w:lineRule="exact"/>
              <w:rPr>
                <w:sz w:val="20"/>
                <w:szCs w:val="20"/>
                <w:color w:val="auto"/>
              </w:rPr>
            </w:pPr>
            <w:r>
              <w:rPr>
                <w:rFonts w:ascii="Arial" w:cs="Arial" w:eastAsia="Arial" w:hAnsi="Arial"/>
                <w:sz w:val="13"/>
                <w:szCs w:val="13"/>
                <w:color w:val="auto"/>
              </w:rPr>
              <w:t>Expenses before waivers and/or recoupment, if any</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38"/>
              <w:spacing w:after="0" w:line="138" w:lineRule="exact"/>
              <w:rPr>
                <w:sz w:val="20"/>
                <w:szCs w:val="20"/>
                <w:color w:val="auto"/>
              </w:rPr>
            </w:pPr>
            <w:r>
              <w:rPr>
                <w:rFonts w:ascii="Arial" w:cs="Arial" w:eastAsia="Arial" w:hAnsi="Arial"/>
                <w:sz w:val="13"/>
                <w:szCs w:val="13"/>
                <w:color w:val="auto"/>
              </w:rPr>
              <w:t>4.17%</w:t>
            </w:r>
          </w:p>
        </w:tc>
        <w:tc>
          <w:tcPr>
            <w:tcW w:w="80" w:type="dxa"/>
            <w:vAlign w:val="bottom"/>
          </w:tcPr>
          <w:p>
            <w:pPr>
              <w:spacing w:after="0"/>
              <w:rPr>
                <w:sz w:val="12"/>
                <w:szCs w:val="12"/>
                <w:color w:val="auto"/>
              </w:rPr>
            </w:pPr>
          </w:p>
        </w:tc>
        <w:tc>
          <w:tcPr>
            <w:tcW w:w="1120" w:type="dxa"/>
            <w:vAlign w:val="bottom"/>
            <w:gridSpan w:val="2"/>
          </w:tcPr>
          <w:p>
            <w:pPr>
              <w:jc w:val="right"/>
              <w:ind w:right="18"/>
              <w:spacing w:after="0" w:line="138" w:lineRule="exact"/>
              <w:rPr>
                <w:sz w:val="20"/>
                <w:szCs w:val="20"/>
                <w:color w:val="auto"/>
              </w:rPr>
            </w:pPr>
            <w:r>
              <w:rPr>
                <w:rFonts w:ascii="Arial" w:cs="Arial" w:eastAsia="Arial" w:hAnsi="Arial"/>
                <w:sz w:val="13"/>
                <w:szCs w:val="13"/>
                <w:color w:val="auto"/>
              </w:rPr>
              <w:t>4.39%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8"/>
              <w:spacing w:after="0" w:line="138" w:lineRule="exact"/>
              <w:rPr>
                <w:sz w:val="20"/>
                <w:szCs w:val="20"/>
                <w:color w:val="auto"/>
              </w:rPr>
            </w:pPr>
            <w:r>
              <w:rPr>
                <w:rFonts w:ascii="Arial" w:cs="Arial" w:eastAsia="Arial" w:hAnsi="Arial"/>
                <w:sz w:val="13"/>
                <w:szCs w:val="13"/>
                <w:color w:val="auto"/>
              </w:rPr>
              <w:t>4.93%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38"/>
        </w:trPr>
        <w:tc>
          <w:tcPr>
            <w:tcW w:w="4200" w:type="dxa"/>
            <w:vAlign w:val="bottom"/>
          </w:tcPr>
          <w:p>
            <w:pPr>
              <w:spacing w:after="0" w:line="138" w:lineRule="exact"/>
              <w:rPr>
                <w:sz w:val="20"/>
                <w:szCs w:val="20"/>
                <w:color w:val="auto"/>
              </w:rPr>
            </w:pPr>
            <w:r>
              <w:rPr>
                <w:rFonts w:ascii="Arial" w:cs="Arial" w:eastAsia="Arial" w:hAnsi="Arial"/>
                <w:sz w:val="13"/>
                <w:szCs w:val="13"/>
                <w:color w:val="auto"/>
              </w:rPr>
              <w:t>Expenses after waivers and/or recoupment, if any</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38"/>
              <w:spacing w:after="0" w:line="138" w:lineRule="exact"/>
              <w:rPr>
                <w:sz w:val="20"/>
                <w:szCs w:val="20"/>
                <w:color w:val="auto"/>
              </w:rPr>
            </w:pPr>
            <w:r>
              <w:rPr>
                <w:rFonts w:ascii="Arial" w:cs="Arial" w:eastAsia="Arial" w:hAnsi="Arial"/>
                <w:sz w:val="13"/>
                <w:szCs w:val="13"/>
                <w:color w:val="auto"/>
              </w:rPr>
              <w:t>4.17%</w:t>
            </w:r>
          </w:p>
        </w:tc>
        <w:tc>
          <w:tcPr>
            <w:tcW w:w="80" w:type="dxa"/>
            <w:vAlign w:val="bottom"/>
          </w:tcPr>
          <w:p>
            <w:pPr>
              <w:spacing w:after="0"/>
              <w:rPr>
                <w:sz w:val="12"/>
                <w:szCs w:val="12"/>
                <w:color w:val="auto"/>
              </w:rPr>
            </w:pPr>
          </w:p>
        </w:tc>
        <w:tc>
          <w:tcPr>
            <w:tcW w:w="1120" w:type="dxa"/>
            <w:vAlign w:val="bottom"/>
            <w:gridSpan w:val="2"/>
          </w:tcPr>
          <w:p>
            <w:pPr>
              <w:jc w:val="right"/>
              <w:ind w:right="18"/>
              <w:spacing w:after="0" w:line="138" w:lineRule="exact"/>
              <w:rPr>
                <w:sz w:val="20"/>
                <w:szCs w:val="20"/>
                <w:color w:val="auto"/>
              </w:rPr>
            </w:pPr>
            <w:r>
              <w:rPr>
                <w:rFonts w:ascii="Arial" w:cs="Arial" w:eastAsia="Arial" w:hAnsi="Arial"/>
                <w:sz w:val="13"/>
                <w:szCs w:val="13"/>
                <w:color w:val="auto"/>
              </w:rPr>
              <w:t>4.39%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8"/>
              <w:spacing w:after="0" w:line="138" w:lineRule="exact"/>
              <w:rPr>
                <w:sz w:val="20"/>
                <w:szCs w:val="20"/>
                <w:color w:val="auto"/>
              </w:rPr>
            </w:pPr>
            <w:r>
              <w:rPr>
                <w:rFonts w:ascii="Arial" w:cs="Arial" w:eastAsia="Arial" w:hAnsi="Arial"/>
                <w:sz w:val="13"/>
                <w:szCs w:val="13"/>
                <w:color w:val="auto"/>
              </w:rPr>
              <w:t>5.01%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38"/>
        </w:trPr>
        <w:tc>
          <w:tcPr>
            <w:tcW w:w="4200" w:type="dxa"/>
            <w:vAlign w:val="bottom"/>
          </w:tcPr>
          <w:p>
            <w:pPr>
              <w:spacing w:after="0" w:line="138" w:lineRule="exact"/>
              <w:rPr>
                <w:sz w:val="20"/>
                <w:szCs w:val="20"/>
                <w:color w:val="auto"/>
              </w:rPr>
            </w:pPr>
            <w:r>
              <w:rPr>
                <w:rFonts w:ascii="Arial" w:cs="Arial" w:eastAsia="Arial" w:hAnsi="Arial"/>
                <w:sz w:val="13"/>
                <w:szCs w:val="13"/>
                <w:color w:val="auto"/>
              </w:rPr>
              <w:t>Net investment income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38"/>
              <w:spacing w:after="0" w:line="138" w:lineRule="exact"/>
              <w:rPr>
                <w:sz w:val="20"/>
                <w:szCs w:val="20"/>
                <w:color w:val="auto"/>
              </w:rPr>
            </w:pPr>
            <w:r>
              <w:rPr>
                <w:rFonts w:ascii="Arial" w:cs="Arial" w:eastAsia="Arial" w:hAnsi="Arial"/>
                <w:sz w:val="13"/>
                <w:szCs w:val="13"/>
                <w:color w:val="auto"/>
              </w:rPr>
              <w:t>8.10%</w:t>
            </w:r>
          </w:p>
        </w:tc>
        <w:tc>
          <w:tcPr>
            <w:tcW w:w="80" w:type="dxa"/>
            <w:vAlign w:val="bottom"/>
          </w:tcPr>
          <w:p>
            <w:pPr>
              <w:spacing w:after="0"/>
              <w:rPr>
                <w:sz w:val="12"/>
                <w:szCs w:val="12"/>
                <w:color w:val="auto"/>
              </w:rPr>
            </w:pPr>
          </w:p>
        </w:tc>
        <w:tc>
          <w:tcPr>
            <w:tcW w:w="1120" w:type="dxa"/>
            <w:vAlign w:val="bottom"/>
            <w:gridSpan w:val="2"/>
          </w:tcPr>
          <w:p>
            <w:pPr>
              <w:jc w:val="right"/>
              <w:ind w:right="18"/>
              <w:spacing w:after="0" w:line="138" w:lineRule="exact"/>
              <w:rPr>
                <w:sz w:val="20"/>
                <w:szCs w:val="20"/>
                <w:color w:val="auto"/>
              </w:rPr>
            </w:pPr>
            <w:r>
              <w:rPr>
                <w:rFonts w:ascii="Arial" w:cs="Arial" w:eastAsia="Arial" w:hAnsi="Arial"/>
                <w:sz w:val="13"/>
                <w:szCs w:val="13"/>
                <w:color w:val="auto"/>
              </w:rPr>
              <w:t>7.11%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7.52%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8"/>
              <w:spacing w:after="0" w:line="138" w:lineRule="exact"/>
              <w:rPr>
                <w:sz w:val="20"/>
                <w:szCs w:val="20"/>
                <w:color w:val="auto"/>
              </w:rPr>
            </w:pPr>
            <w:r>
              <w:rPr>
                <w:rFonts w:ascii="Arial" w:cs="Arial" w:eastAsia="Arial" w:hAnsi="Arial"/>
                <w:sz w:val="13"/>
                <w:szCs w:val="13"/>
                <w:color w:val="auto"/>
              </w:rPr>
              <w:t>7.39%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7.33%</w:t>
            </w:r>
          </w:p>
        </w:tc>
        <w:tc>
          <w:tcPr>
            <w:tcW w:w="0" w:type="dxa"/>
            <w:vAlign w:val="bottom"/>
          </w:tcPr>
          <w:p>
            <w:pPr>
              <w:spacing w:after="0"/>
              <w:rPr>
                <w:sz w:val="1"/>
                <w:szCs w:val="1"/>
                <w:color w:val="auto"/>
              </w:rPr>
            </w:pPr>
          </w:p>
        </w:tc>
      </w:tr>
      <w:tr>
        <w:trPr>
          <w:trHeight w:val="151"/>
        </w:trPr>
        <w:tc>
          <w:tcPr>
            <w:tcW w:w="4200" w:type="dxa"/>
            <w:vAlign w:val="bottom"/>
          </w:tcPr>
          <w:p>
            <w:pPr>
              <w:spacing w:after="0"/>
              <w:rPr>
                <w:sz w:val="20"/>
                <w:szCs w:val="20"/>
                <w:color w:val="auto"/>
              </w:rPr>
            </w:pPr>
            <w:r>
              <w:rPr>
                <w:rFonts w:ascii="Arial" w:cs="Arial" w:eastAsia="Arial" w:hAnsi="Arial"/>
                <w:sz w:val="13"/>
                <w:szCs w:val="13"/>
                <w:color w:val="auto"/>
              </w:rPr>
              <w:t>Portfolio turnover rate</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3"/>
                <w:szCs w:val="13"/>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8"/>
        </w:trPr>
        <w:tc>
          <w:tcPr>
            <w:tcW w:w="4200" w:type="dxa"/>
            <w:vAlign w:val="bottom"/>
            <w:shd w:val="clear" w:color="auto" w:fill="296B38"/>
          </w:tcPr>
          <w:p>
            <w:pPr>
              <w:spacing w:after="0" w:line="138" w:lineRule="exact"/>
              <w:rPr>
                <w:sz w:val="20"/>
                <w:szCs w:val="20"/>
                <w:color w:val="auto"/>
              </w:rPr>
            </w:pPr>
            <w:r>
              <w:rPr>
                <w:rFonts w:ascii="Arial" w:cs="Arial" w:eastAsia="Arial" w:hAnsi="Arial"/>
                <w:sz w:val="13"/>
                <w:szCs w:val="13"/>
                <w:b w:val="1"/>
                <w:bCs w:val="1"/>
                <w:color w:val="FFFFFF"/>
              </w:rPr>
              <w:t>Revolving credit agreement</w:t>
            </w:r>
          </w:p>
        </w:tc>
        <w:tc>
          <w:tcPr>
            <w:tcW w:w="98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28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40" w:type="dxa"/>
            <w:vAlign w:val="bottom"/>
            <w:shd w:val="clear" w:color="auto" w:fill="296B38"/>
          </w:tcPr>
          <w:p>
            <w:pPr>
              <w:spacing w:after="0"/>
              <w:rPr>
                <w:sz w:val="12"/>
                <w:szCs w:val="12"/>
                <w:color w:val="auto"/>
              </w:rPr>
            </w:pPr>
          </w:p>
        </w:tc>
        <w:tc>
          <w:tcPr>
            <w:tcW w:w="180" w:type="dxa"/>
            <w:vAlign w:val="bottom"/>
            <w:shd w:val="clear" w:color="auto" w:fill="296B38"/>
          </w:tcPr>
          <w:p>
            <w:pPr>
              <w:spacing w:after="0"/>
              <w:rPr>
                <w:sz w:val="12"/>
                <w:szCs w:val="12"/>
                <w:color w:val="auto"/>
              </w:rPr>
            </w:pPr>
          </w:p>
        </w:tc>
        <w:tc>
          <w:tcPr>
            <w:tcW w:w="4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20" w:type="dxa"/>
            <w:vAlign w:val="bottom"/>
            <w:shd w:val="clear" w:color="auto" w:fill="296B38"/>
          </w:tcPr>
          <w:p>
            <w:pPr>
              <w:spacing w:after="0"/>
              <w:rPr>
                <w:sz w:val="12"/>
                <w:szCs w:val="12"/>
                <w:color w:val="auto"/>
              </w:rPr>
            </w:pPr>
          </w:p>
        </w:tc>
        <w:tc>
          <w:tcPr>
            <w:tcW w:w="16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900" w:type="dxa"/>
            <w:vAlign w:val="bottom"/>
            <w:shd w:val="clear" w:color="auto" w:fill="296B38"/>
          </w:tcPr>
          <w:p>
            <w:pPr>
              <w:spacing w:after="0"/>
              <w:rPr>
                <w:sz w:val="12"/>
                <w:szCs w:val="12"/>
                <w:color w:val="auto"/>
              </w:rPr>
            </w:pPr>
          </w:p>
        </w:tc>
        <w:tc>
          <w:tcPr>
            <w:tcW w:w="22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60" w:type="dxa"/>
            <w:vAlign w:val="bottom"/>
            <w:shd w:val="clear" w:color="auto" w:fill="296B38"/>
          </w:tcPr>
          <w:p>
            <w:pPr>
              <w:spacing w:after="0"/>
              <w:rPr>
                <w:sz w:val="12"/>
                <w:szCs w:val="12"/>
                <w:color w:val="auto"/>
              </w:rPr>
            </w:pPr>
          </w:p>
        </w:tc>
        <w:tc>
          <w:tcPr>
            <w:tcW w:w="620" w:type="dxa"/>
            <w:vAlign w:val="bottom"/>
            <w:shd w:val="clear" w:color="auto" w:fill="296B38"/>
          </w:tcPr>
          <w:p>
            <w:pPr>
              <w:spacing w:after="0"/>
              <w:rPr>
                <w:sz w:val="12"/>
                <w:szCs w:val="12"/>
                <w:color w:val="auto"/>
              </w:rPr>
            </w:pPr>
          </w:p>
        </w:tc>
        <w:tc>
          <w:tcPr>
            <w:tcW w:w="300" w:type="dxa"/>
            <w:vAlign w:val="bottom"/>
            <w:shd w:val="clear" w:color="auto" w:fill="296B38"/>
          </w:tcPr>
          <w:p>
            <w:pPr>
              <w:spacing w:after="0"/>
              <w:rPr>
                <w:sz w:val="12"/>
                <w:szCs w:val="12"/>
                <w:color w:val="auto"/>
              </w:rPr>
            </w:pPr>
          </w:p>
        </w:tc>
        <w:tc>
          <w:tcPr>
            <w:tcW w:w="20" w:type="dxa"/>
            <w:vAlign w:val="bottom"/>
            <w:shd w:val="clear" w:color="auto" w:fill="296B38"/>
          </w:tcPr>
          <w:p>
            <w:pPr>
              <w:spacing w:after="0"/>
              <w:rPr>
                <w:sz w:val="12"/>
                <w:szCs w:val="12"/>
                <w:color w:val="auto"/>
              </w:rPr>
            </w:pPr>
          </w:p>
        </w:tc>
        <w:tc>
          <w:tcPr>
            <w:tcW w:w="80" w:type="dxa"/>
            <w:vAlign w:val="bottom"/>
            <w:shd w:val="clear" w:color="auto" w:fill="296B38"/>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00" w:type="dxa"/>
            <w:vAlign w:val="bottom"/>
          </w:tcPr>
          <w:p>
            <w:pPr>
              <w:spacing w:after="0" w:line="126" w:lineRule="exact"/>
              <w:rPr>
                <w:sz w:val="20"/>
                <w:szCs w:val="20"/>
                <w:color w:val="auto"/>
              </w:rPr>
            </w:pPr>
            <w:r>
              <w:rPr>
                <w:rFonts w:ascii="Arial" w:cs="Arial" w:eastAsia="Arial" w:hAnsi="Arial"/>
                <w:sz w:val="13"/>
                <w:szCs w:val="13"/>
                <w:color w:val="auto"/>
              </w:rPr>
              <w:t>Total revolving credit agreement outstanding (000s)</w:t>
            </w:r>
          </w:p>
        </w:tc>
        <w:tc>
          <w:tcPr>
            <w:tcW w:w="106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38"/>
              <w:spacing w:after="0" w:line="126" w:lineRule="exact"/>
              <w:rPr>
                <w:sz w:val="20"/>
                <w:szCs w:val="20"/>
                <w:color w:val="auto"/>
              </w:rPr>
            </w:pPr>
            <w:r>
              <w:rPr>
                <w:rFonts w:ascii="Arial" w:cs="Arial" w:eastAsia="Arial" w:hAnsi="Arial"/>
                <w:sz w:val="13"/>
                <w:szCs w:val="13"/>
                <w:color w:val="auto"/>
              </w:rPr>
              <w:t>43,000</w:t>
            </w:r>
          </w:p>
        </w:tc>
        <w:tc>
          <w:tcPr>
            <w:tcW w:w="80" w:type="dxa"/>
            <w:vAlign w:val="bottom"/>
          </w:tcPr>
          <w:p>
            <w:pPr>
              <w:jc w:val="right"/>
              <w:spacing w:after="0" w:line="126" w:lineRule="exact"/>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38"/>
              <w:spacing w:after="0" w:line="126" w:lineRule="exact"/>
              <w:rPr>
                <w:sz w:val="20"/>
                <w:szCs w:val="20"/>
                <w:color w:val="auto"/>
              </w:rPr>
            </w:pPr>
            <w:r>
              <w:rPr>
                <w:rFonts w:ascii="Arial" w:cs="Arial" w:eastAsia="Arial" w:hAnsi="Arial"/>
                <w:sz w:val="13"/>
                <w:szCs w:val="13"/>
                <w:color w:val="auto"/>
              </w:rPr>
              <w:t>17,700</w:t>
            </w:r>
          </w:p>
        </w:tc>
        <w:tc>
          <w:tcPr>
            <w:tcW w:w="12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26" w:lineRule="exact"/>
              <w:rPr>
                <w:sz w:val="20"/>
                <w:szCs w:val="20"/>
                <w:color w:val="auto"/>
              </w:rPr>
            </w:pPr>
            <w:r>
              <w:rPr>
                <w:rFonts w:ascii="Arial" w:cs="Arial" w:eastAsia="Arial" w:hAnsi="Arial"/>
                <w:sz w:val="13"/>
                <w:szCs w:val="13"/>
                <w:color w:val="auto"/>
              </w:rPr>
              <w:t>51,000</w:t>
            </w:r>
          </w:p>
        </w:tc>
        <w:tc>
          <w:tcPr>
            <w:tcW w:w="160" w:type="dxa"/>
            <w:vAlign w:val="bottom"/>
          </w:tcPr>
          <w:p>
            <w:pPr>
              <w:spacing w:after="0"/>
              <w:rPr>
                <w:sz w:val="10"/>
                <w:szCs w:val="10"/>
                <w:color w:val="auto"/>
              </w:rPr>
            </w:pPr>
          </w:p>
        </w:tc>
        <w:tc>
          <w:tcPr>
            <w:tcW w:w="14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78"/>
              <w:spacing w:after="0" w:line="126" w:lineRule="exact"/>
              <w:rPr>
                <w:sz w:val="20"/>
                <w:szCs w:val="20"/>
                <w:color w:val="auto"/>
              </w:rPr>
            </w:pPr>
            <w:r>
              <w:rPr>
                <w:rFonts w:ascii="Arial" w:cs="Arial" w:eastAsia="Arial" w:hAnsi="Arial"/>
                <w:sz w:val="13"/>
                <w:szCs w:val="13"/>
                <w:color w:val="auto"/>
              </w:rPr>
              <w:t>25,750</w:t>
            </w:r>
          </w:p>
        </w:tc>
        <w:tc>
          <w:tcPr>
            <w:tcW w:w="80" w:type="dxa"/>
            <w:vAlign w:val="bottom"/>
            <w:gridSpan w:val="2"/>
          </w:tcPr>
          <w:p>
            <w:pPr>
              <w:jc w:val="right"/>
              <w:spacing w:after="0" w:line="126" w:lineRule="exact"/>
              <w:rPr>
                <w:sz w:val="20"/>
                <w:szCs w:val="20"/>
                <w:color w:val="auto"/>
              </w:rPr>
            </w:pPr>
            <w:r>
              <w:rPr>
                <w:rFonts w:ascii="Arial" w:cs="Arial" w:eastAsia="Arial" w:hAnsi="Arial"/>
                <w:sz w:val="13"/>
                <w:szCs w:val="13"/>
                <w:color w:val="auto"/>
                <w:w w:val="82"/>
              </w:rPr>
              <w:t>$</w:t>
            </w:r>
          </w:p>
        </w:tc>
        <w:tc>
          <w:tcPr>
            <w:tcW w:w="940" w:type="dxa"/>
            <w:vAlign w:val="bottom"/>
            <w:gridSpan w:val="3"/>
          </w:tcPr>
          <w:p>
            <w:pPr>
              <w:jc w:val="right"/>
              <w:ind w:right="20"/>
              <w:spacing w:after="0" w:line="126" w:lineRule="exact"/>
              <w:rPr>
                <w:sz w:val="20"/>
                <w:szCs w:val="20"/>
                <w:color w:val="auto"/>
              </w:rPr>
            </w:pPr>
            <w:r>
              <w:rPr>
                <w:rFonts w:ascii="Arial" w:cs="Arial" w:eastAsia="Arial" w:hAnsi="Arial"/>
                <w:sz w:val="13"/>
                <w:szCs w:val="13"/>
                <w:color w:val="auto"/>
              </w:rPr>
              <w:t>61,500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20"/>
                <w:szCs w:val="20"/>
                <w:color w:val="auto"/>
              </w:rPr>
            </w:pPr>
            <w:r>
              <w:rPr>
                <w:rFonts w:ascii="Arial" w:cs="Arial" w:eastAsia="Arial" w:hAnsi="Arial"/>
                <w:sz w:val="13"/>
                <w:szCs w:val="13"/>
                <w:color w:val="auto"/>
              </w:rPr>
              <w:t>Asset Coverage per $1,000 for revolving credit agreement</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38"/>
              <w:spacing w:after="0"/>
              <w:rPr>
                <w:sz w:val="20"/>
                <w:szCs w:val="20"/>
                <w:color w:val="auto"/>
              </w:rPr>
            </w:pPr>
            <w:r>
              <w:rPr>
                <w:rFonts w:ascii="Arial" w:cs="Arial" w:eastAsia="Arial" w:hAnsi="Arial"/>
                <w:sz w:val="13"/>
                <w:szCs w:val="13"/>
                <w:color w:val="auto"/>
              </w:rPr>
              <w:t>4,274</w:t>
            </w:r>
          </w:p>
        </w:tc>
        <w:tc>
          <w:tcPr>
            <w:tcW w:w="80" w:type="dxa"/>
            <w:vAlign w:val="bottom"/>
          </w:tcPr>
          <w:p>
            <w:pPr>
              <w:spacing w:after="0"/>
              <w:rPr>
                <w:sz w:val="14"/>
                <w:szCs w:val="14"/>
                <w:color w:val="auto"/>
              </w:rPr>
            </w:pPr>
          </w:p>
        </w:tc>
        <w:tc>
          <w:tcPr>
            <w:tcW w:w="1120" w:type="dxa"/>
            <w:vAlign w:val="bottom"/>
            <w:gridSpan w:val="2"/>
          </w:tcPr>
          <w:p>
            <w:pPr>
              <w:jc w:val="right"/>
              <w:ind w:right="138"/>
              <w:spacing w:after="0"/>
              <w:rPr>
                <w:sz w:val="20"/>
                <w:szCs w:val="20"/>
                <w:color w:val="auto"/>
              </w:rPr>
            </w:pPr>
            <w:r>
              <w:rPr>
                <w:rFonts w:ascii="Arial" w:cs="Arial" w:eastAsia="Arial" w:hAnsi="Arial"/>
                <w:sz w:val="13"/>
                <w:szCs w:val="13"/>
                <w:color w:val="auto"/>
              </w:rPr>
              <w:t>9,090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3,753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78"/>
              <w:spacing w:after="0"/>
              <w:rPr>
                <w:sz w:val="20"/>
                <w:szCs w:val="20"/>
                <w:color w:val="auto"/>
              </w:rPr>
            </w:pPr>
            <w:r>
              <w:rPr>
                <w:rFonts w:ascii="Arial" w:cs="Arial" w:eastAsia="Arial" w:hAnsi="Arial"/>
                <w:sz w:val="13"/>
                <w:szCs w:val="13"/>
                <w:color w:val="auto"/>
              </w:rPr>
              <w:t>6,478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3"/>
                <w:szCs w:val="13"/>
                <w:color w:val="auto"/>
              </w:rPr>
              <w:t>3,253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4200" w:type="dxa"/>
            <w:vAlign w:val="bottom"/>
          </w:tcPr>
          <w:p>
            <w:pPr>
              <w:spacing w:after="0"/>
              <w:rPr>
                <w:sz w:val="20"/>
                <w:szCs w:val="20"/>
                <w:color w:val="auto"/>
              </w:rPr>
            </w:pPr>
            <w:r>
              <w:rPr>
                <w:rFonts w:ascii="Arial" w:cs="Arial" w:eastAsia="Arial" w:hAnsi="Arial"/>
                <w:sz w:val="13"/>
                <w:szCs w:val="13"/>
                <w:color w:val="296B38"/>
              </w:rPr>
              <w:t>See Notes to financial statements.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9"/>
          </w:tcPr>
          <w:p>
            <w:pPr>
              <w:ind w:left="42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400" w:type="dxa"/>
            <w:vAlign w:val="bottom"/>
            <w:gridSpan w:val="3"/>
          </w:tcPr>
          <w:p>
            <w:pPr>
              <w:jc w:val="right"/>
              <w:spacing w:after="0"/>
              <w:rPr>
                <w:sz w:val="20"/>
                <w:szCs w:val="20"/>
                <w:color w:val="auto"/>
              </w:rPr>
            </w:pPr>
            <w:r>
              <w:rPr>
                <w:rFonts w:ascii="Arial" w:cs="Arial" w:eastAsia="Arial" w:hAnsi="Arial"/>
                <w:sz w:val="15"/>
                <w:szCs w:val="15"/>
                <w:color w:val="296B38"/>
              </w:rPr>
              <w:t>16</w:t>
            </w:r>
          </w:p>
        </w:tc>
        <w:tc>
          <w:tcPr>
            <w:tcW w:w="0" w:type="dxa"/>
            <w:vAlign w:val="bottom"/>
          </w:tcPr>
          <w:p>
            <w:pPr>
              <w:spacing w:after="0"/>
              <w:rPr>
                <w:sz w:val="1"/>
                <w:szCs w:val="1"/>
                <w:color w:val="auto"/>
              </w:rPr>
            </w:pPr>
          </w:p>
        </w:tc>
      </w:tr>
      <w:tr>
        <w:trPr>
          <w:trHeight w:val="392"/>
        </w:trPr>
        <w:tc>
          <w:tcPr>
            <w:tcW w:w="4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459105</wp:posOffset>
            </wp:positionH>
            <wp:positionV relativeFrom="page">
              <wp:posOffset>200660</wp:posOffset>
            </wp:positionV>
            <wp:extent cx="6654800" cy="893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654800" cy="89344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Organization</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ArrowMark Financial Corp. (“AMFC” or the “Company”) is a Delaware corporation registered as a non-diversified, closed-end management investment company under the Investment Company Act of 1940, as amended, (the “Investment Company Act”) which commenced investment operations on November 13, 2013. In addition, AMFC has elected to be treated for tax purposes as a regulated investment company (‘‘RIC’’) under Subchapter M of the Internal Revenue Code of 1986, as amended (the ‘‘Code’’).As an investment company, the Company follows the accounting and reporting guidance of the Financial Accounting Standards Board and the Accounting Standards Codification Topic 946 “Financial Services — Investment Companies.”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 xml:space="preserve">Investment Objectives </w:t>
      </w:r>
      <w:r>
        <w:rPr>
          <w:rFonts w:ascii="Arial" w:cs="Arial" w:eastAsia="Arial" w:hAnsi="Arial"/>
          <w:sz w:val="16"/>
          <w:szCs w:val="16"/>
          <w:color w:val="auto"/>
        </w:rPr>
        <w:t>— ArrowMark Financial Corp.’s primary investment objective is to provide stockholders with current income, and to a lesser extent,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appreciation. There can be no assurance that the Company will achieve the investment objectives.</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i w:val="1"/>
          <w:iCs w:val="1"/>
          <w:color w:val="auto"/>
        </w:rPr>
        <w:t xml:space="preserve">Investment Strategies </w:t>
      </w:r>
      <w:r>
        <w:rPr>
          <w:rFonts w:ascii="Arial" w:cs="Arial" w:eastAsia="Arial" w:hAnsi="Arial"/>
          <w:sz w:val="16"/>
          <w:szCs w:val="16"/>
          <w:color w:val="auto"/>
        </w:rPr>
        <w:t>— The Company is focused on income generation, capital preservation, and providing risk-adjusted rates of return.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attempts to achieve its investment objective through investment in preferred equity, debt and subordinated debt, structured notes and securities, convertible securities, regulatory capital securities and common equity issued or structured by banks and financial institutions including community banks, larger regional, national and money center banks domiciled in the United States and foreign and global money center banks. (“banking-related securities”). The Company makes investments that will generally be expected to pay the Company dividends and interest on a current basis and generate capital gains over time. The Company may seek to enhance the Company’s returns through the use of warrants, options and other equity conversion features. The Company has a policy to invest, under normal circumstances, at least 80% of the value of its net assets plus the amount of any borrowings for investment purposes in such banking-related securities.</w:t>
      </w:r>
    </w:p>
    <w:p>
      <w:pPr>
        <w:spacing w:after="0" w:line="14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Company focuses its portfolio on making long-term, passive, non-control investments in the banking sector, including “regulatory capital securities” which are securities issued or structured by banks seeking capital that is treated more favorably under banking regulations than other types of capital, acquisitions and other refinancing activities regulatory capital securities are issued or structured by a bank to maintain or reduce its regulatory capital requirements by transferring certain credit risks to investors. Regulatory capital securities may be structured in a variety of ways and are highly bespoke to the needs of the bank or other deposit-taking institution involved. Regulatory capital securities may be in the form of structured notes (e.g., credit-linked notes), contingent convertible securities, and other structured products or transactions. The Company intends to continue to direct investments in numerous issuers differentiated by asset size, business models and geographies. The Company also may invest in an option strategy that will normally consist of writing (selling) call options on bank equity securities in the Company’s portfolio (“covered calls”). The Company invests in foreign securities and the Company is not limited in the amount of assets the Company may invest in such foreign securities.</w:t>
      </w:r>
    </w:p>
    <w:p>
      <w:pPr>
        <w:spacing w:after="0" w:line="14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Company indirectly invests in securities issued or structured by banks through structured securities and credit derivatives, including collateralized loan obligations (CLOs) and credit-linked notes. The Company currently invests in credit-linked notes for which the performance and payment of principal and interest is tied to a reference asset such as a pool of loans originated by a bank and held on its</w:t>
      </w:r>
    </w:p>
    <w:p>
      <w:pPr>
        <w:spacing w:after="0" w:line="150"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296B38"/>
        </w:rPr>
        <w:t>17</w:t>
      </w:r>
      <w:r>
        <w:rPr>
          <w:sz w:val="20"/>
          <w:szCs w:val="20"/>
          <w:color w:val="auto"/>
        </w:rPr>
        <w:tab/>
      </w:r>
      <w:r>
        <w:rPr>
          <w:rFonts w:ascii="Arial" w:cs="Arial" w:eastAsia="Arial" w:hAnsi="Arial"/>
          <w:sz w:val="13"/>
          <w:szCs w:val="13"/>
          <w:color w:val="296B38"/>
        </w:rPr>
        <w:t xml:space="preserve">ArrowMark Financial Corp.| </w:t>
      </w:r>
      <w:r>
        <w:rPr>
          <w:rFonts w:ascii="Arial" w:cs="Arial" w:eastAsia="Arial" w:hAnsi="Arial"/>
          <w:sz w:val="13"/>
          <w:szCs w:val="13"/>
          <w:b w:val="1"/>
          <w:bCs w:val="1"/>
          <w:color w:val="296B38"/>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jc w:val="both"/>
        <w:spacing w:after="0" w:line="233" w:lineRule="auto"/>
        <w:rPr>
          <w:sz w:val="20"/>
          <w:szCs w:val="20"/>
          <w:color w:val="auto"/>
        </w:rPr>
      </w:pPr>
      <w:r>
        <w:rPr>
          <w:rFonts w:ascii="Arial" w:cs="Arial" w:eastAsia="Arial" w:hAnsi="Arial"/>
          <w:sz w:val="16"/>
          <w:szCs w:val="16"/>
          <w:color w:val="auto"/>
        </w:rPr>
        <w:t>balance sheet. The Company also invests in equity and junior debt tranches of CLOs, and other debt securitizations, that are collateralized by a portfolio consisting primarily of unsecured, subordinated loans made to (and, to a lesser extent, unsecured, subordinated debentures and notes issued by) community banks or savings institutions or their respective holding companies. The Company may also invest in other securities and instruments that are related to these investments or that the Advisor believes are consistent with the Company’s investment objectives, including senior debt tranches of CLOs and loan accumulation facilities. These indirect investments provide exposure to and focus on the same types of direct investments that the Company makes in banking companies and, accordingly, the Company’s investments in structured securities (such as credit-linked notes and CLOs) and credit derivatives that provide exposure to the banking industry are considered an investment in banking securities. The loans or other assets pledged as collateral in these securitizations may not be publicly rated by any rating agency, and may have greater credit and liquidity risks than investment-grade corporate obligations that are publicly rated. The Company believes that the use of such instruments complements the Company’s overall strategy and enhance the diversity of the Company’s holdings.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Company may also incur additional leverage to the extent permitted by the Investment Company Act. Although the Company normally seeks to invest substantially all of the Company’s assets in banking-related securities, the Company reserves the ability to invest up to 20% of the Company’s assets in other types of securities and instruments.</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Additionally, the Company may take temporary defensive positions that are inconsistent with the Company’s investment strategy in attempting to respond to adverse market, economic, political or other conditions. If the Company does so, the Company may not achieve the Company’s investment objective. The Company may also choose not to take defensive positions.</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auto"/>
        </w:rPr>
        <w:t xml:space="preserve">Consolidation of Disregarded Entities </w:t>
      </w:r>
      <w:r>
        <w:rPr>
          <w:rFonts w:ascii="Arial" w:cs="Arial" w:eastAsia="Arial" w:hAnsi="Arial"/>
          <w:sz w:val="16"/>
          <w:szCs w:val="16"/>
          <w:color w:val="auto"/>
        </w:rPr>
        <w:t>— The Company makes certain investments in securities through Marshall Holdings II, Limited and Marshall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III, Limited, both organized under the laws of the Cayman Islands (the “Disregarded Entities”). The consolidated financial statements of the Company include all assets and liabilities of the Disregarded Entities. All inter-company accounts and transactions have been eliminated. As of December 31, 2025, the net assets of the Disregarded Entities were $56,170,233, which represented 32.74% of the Fund’s net assets.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Significant accounting policies</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following is a summary of significant accounting policies consistently followed by AMFC in the preparation of its financial statements. The preparation of the financial statements is in conformity with accounting principles generally accepted in the United States of America ("U.S. GAAP") and requires the Board of Directors, inclusive of the sub-committees, and ArrowMark Asset Management, LLC (the "Advisor") to make estimates and assumptions that affect the reported amounts of assets and liabilities in the financial statements and the reported amounts of increases and decreases in net assets from operations during the reporting period. Actual results could differ from those estimates.</w:t>
      </w:r>
    </w:p>
    <w:p>
      <w:pPr>
        <w:spacing w:after="0" w:line="143" w:lineRule="exact"/>
        <w:rPr>
          <w:sz w:val="20"/>
          <w:szCs w:val="20"/>
          <w:color w:val="auto"/>
        </w:rPr>
      </w:pPr>
    </w:p>
    <w:p>
      <w:pPr>
        <w:ind w:right="420"/>
        <w:spacing w:after="0" w:line="263" w:lineRule="auto"/>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 AMFC considers domestic and foreign highly liquid debt instruments with a maturity of three months or less at the time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to be cash equivalents.</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Investment Valuation</w:t>
      </w:r>
      <w:r>
        <w:rPr>
          <w:rFonts w:ascii="Arial" w:cs="Arial" w:eastAsia="Arial" w:hAnsi="Arial"/>
          <w:sz w:val="16"/>
          <w:szCs w:val="16"/>
          <w:color w:val="auto"/>
        </w:rPr>
        <w:t>– The most significant estimates made in the preparation of the financial statements of ArrowMark Financial Corp (“AMFC”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are the valuation of equity and debt investments and the effective yield calculation with respect to certain debt securities, as well as the related amounts of unrealized appreciation and depreciation of investments recorded. The Company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that AMFC makes. The Company is required to specifically fair value each individual investment on a quarterly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80" w:type="dxa"/>
            <w:vAlign w:val="bottom"/>
          </w:tcPr>
          <w:p>
            <w:pPr>
              <w:ind w:left="8020"/>
              <w:spacing w:after="0"/>
              <w:rPr>
                <w:sz w:val="20"/>
                <w:szCs w:val="20"/>
                <w:color w:val="auto"/>
              </w:rPr>
            </w:pPr>
            <w:r>
              <w:rPr>
                <w:rFonts w:ascii="Arial" w:cs="Arial" w:eastAsia="Arial" w:hAnsi="Arial"/>
                <w:sz w:val="13"/>
                <w:szCs w:val="13"/>
                <w:b w:val="1"/>
                <w:bCs w:val="1"/>
                <w:color w:val="296B38"/>
              </w:rPr>
              <w:t xml:space="preserve">Annual Report </w:t>
            </w:r>
            <w:r>
              <w:rPr>
                <w:rFonts w:ascii="Arial" w:cs="Arial" w:eastAsia="Arial" w:hAnsi="Arial"/>
                <w:sz w:val="13"/>
                <w:szCs w:val="13"/>
                <w:color w:val="296B38"/>
              </w:rPr>
              <w:t>| ArrowMark Financial Corp.</w:t>
            </w:r>
          </w:p>
        </w:tc>
        <w:tc>
          <w:tcPr>
            <w:tcW w:w="360" w:type="dxa"/>
            <w:vAlign w:val="bottom"/>
          </w:tcPr>
          <w:p>
            <w:pPr>
              <w:jc w:val="right"/>
              <w:spacing w:after="0"/>
              <w:rPr>
                <w:sz w:val="20"/>
                <w:szCs w:val="20"/>
                <w:color w:val="auto"/>
              </w:rPr>
            </w:pPr>
            <w:r>
              <w:rPr>
                <w:rFonts w:ascii="Arial" w:cs="Arial" w:eastAsia="Arial" w:hAnsi="Arial"/>
                <w:sz w:val="13"/>
                <w:szCs w:val="13"/>
                <w:color w:val="296B38"/>
              </w:rPr>
              <w:t>18</w:t>
            </w:r>
          </w:p>
        </w:tc>
      </w:tr>
      <w:tr>
        <w:trPr>
          <w:trHeight w:val="377"/>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3" w:name="page24"/>
    <w:bookmarkEnd w:id="23"/>
    <w:p>
      <w:pPr>
        <w:jc w:val="both"/>
        <w:spacing w:after="0" w:line="238" w:lineRule="auto"/>
        <w:rPr>
          <w:sz w:val="20"/>
          <w:szCs w:val="20"/>
          <w:color w:val="auto"/>
        </w:rPr>
      </w:pPr>
      <w:r>
        <w:rPr>
          <w:rFonts w:ascii="Arial" w:cs="Arial" w:eastAsia="Arial" w:hAnsi="Arial"/>
          <w:sz w:val="16"/>
          <w:szCs w:val="16"/>
          <w:color w:val="auto"/>
        </w:rPr>
        <w:t>The Company complies with ASC 820-10, Fair Value Measurements and Disclosure, which establishes a three-level valuation hierarchy for disclosure of fair value measurements. 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(i.e. the “exit price”) in an orderly transaction between market participants at the measurement date. ASC 820-10 also establishes the following three-tier fair value hierarchy:</w:t>
      </w:r>
    </w:p>
    <w:p>
      <w:pPr>
        <w:spacing w:after="0" w:line="143" w:lineRule="exact"/>
        <w:rPr>
          <w:sz w:val="20"/>
          <w:szCs w:val="20"/>
          <w:color w:val="auto"/>
        </w:rPr>
      </w:pPr>
    </w:p>
    <w:p>
      <w:pPr>
        <w:ind w:left="100" w:hanging="99"/>
        <w:spacing w:after="0"/>
        <w:tabs>
          <w:tab w:leader="none" w:pos="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Level 1— Quoted prices in active markets for identical securities;</w:t>
      </w:r>
    </w:p>
    <w:p>
      <w:pPr>
        <w:spacing w:after="0" w:line="167" w:lineRule="exact"/>
        <w:rPr>
          <w:rFonts w:ascii="Arial" w:cs="Arial" w:eastAsia="Arial" w:hAnsi="Arial"/>
          <w:sz w:val="16"/>
          <w:szCs w:val="16"/>
          <w:color w:val="auto"/>
        </w:rPr>
      </w:pPr>
    </w:p>
    <w:p>
      <w:pPr>
        <w:ind w:firstLine="1"/>
        <w:spacing w:after="0" w:line="263" w:lineRule="auto"/>
        <w:tabs>
          <w:tab w:leader="none" w:pos="119"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Level 2 — Other significant observable inputs. These inputs may include quoted prices for the identical instrument on an active market, prices for similar instruments, interest rates, prepayment speeds, credit risk, yield curves, default rates, and similar data; and</w:t>
      </w:r>
    </w:p>
    <w:p>
      <w:pPr>
        <w:spacing w:after="0" w:line="124" w:lineRule="exact"/>
        <w:rPr>
          <w:rFonts w:ascii="Arial" w:cs="Arial" w:eastAsia="Arial" w:hAnsi="Arial"/>
          <w:sz w:val="16"/>
          <w:szCs w:val="16"/>
          <w:color w:val="auto"/>
        </w:rPr>
      </w:pPr>
    </w:p>
    <w:p>
      <w:pPr>
        <w:ind w:firstLine="1"/>
        <w:spacing w:after="0" w:line="263" w:lineRule="auto"/>
        <w:tabs>
          <w:tab w:leader="none" w:pos="103"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Level 3 — Significant unobservable inputs, including the Company’s own determinations about the assumptions that a market participant would use in valuing the asset or liability, and that would be based on the best information available.</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To the extent securities owned by the Company are actively traded and valuation adjustments are not applied, they are categorized in Level 1 of the fair value hierarchy. Securities traded on inactive markets or valued by reference to similar instruments are generally categorized in Level 2 of the fair value hierarchy.</w:t>
      </w:r>
    </w:p>
    <w:p>
      <w:pPr>
        <w:spacing w:after="0" w:line="12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judgement.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ready market for the securities existed. Accordingly, the degree of judgment exercised by AMFC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 The valuation levels are not necessarily an indication of the risk associated with investing in those securities.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Fair value is a market-based measure considered from the perspective of a market participant rather than an entity-specific measure. Therefore, even when market assumptions are not readily available, AMFC’s own assumptions are set to reflect those that market participants would use in pricing the asset or liability at the measurement date. AMFC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6"/>
          <w:szCs w:val="16"/>
          <w:color w:val="auto"/>
        </w:rPr>
        <w:t>AMFC will determine fair value of its assets and liabilities in accordance with valuation procedures adopted by its Board of Directors. The Company may utilize the services of one or more regionally or nationally recognized independent valuation firms to help it determine the value of each investment for which a market price is not available. AMFC’s Board of Directors will also review valuations of such investments provided by the Advisor. To the extent AMFC invests in securities for which market quotations are readily available, such market value will be used to value those securities. If a market</w:t>
      </w:r>
    </w:p>
    <w:p>
      <w:pPr>
        <w:spacing w:after="0" w:line="156"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296B38"/>
        </w:rPr>
        <w:t>19</w:t>
      </w:r>
      <w:r>
        <w:rPr>
          <w:sz w:val="20"/>
          <w:szCs w:val="20"/>
          <w:color w:val="auto"/>
        </w:rPr>
        <w:tab/>
      </w:r>
      <w:r>
        <w:rPr>
          <w:rFonts w:ascii="Arial" w:cs="Arial" w:eastAsia="Arial" w:hAnsi="Arial"/>
          <w:sz w:val="13"/>
          <w:szCs w:val="13"/>
          <w:color w:val="296B38"/>
        </w:rPr>
        <w:t xml:space="preserve">ArrowMark Financial Corp. | </w:t>
      </w:r>
      <w:r>
        <w:rPr>
          <w:rFonts w:ascii="Arial" w:cs="Arial" w:eastAsia="Arial" w:hAnsi="Arial"/>
          <w:sz w:val="13"/>
          <w:szCs w:val="13"/>
          <w:b w:val="1"/>
          <w:bCs w:val="1"/>
          <w:color w:val="296B38"/>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spacing w:after="0" w:line="236" w:lineRule="auto"/>
        <w:rPr>
          <w:sz w:val="20"/>
          <w:szCs w:val="20"/>
          <w:color w:val="auto"/>
        </w:rPr>
      </w:pPr>
      <w:r>
        <w:rPr>
          <w:rFonts w:ascii="Arial" w:cs="Arial" w:eastAsia="Arial" w:hAnsi="Arial"/>
          <w:sz w:val="16"/>
          <w:szCs w:val="16"/>
          <w:color w:val="auto"/>
        </w:rPr>
        <w:t>value cannot be obtained or if the Advisor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the Board of Directors. In making these determinations, the Company may engage an independent valuation firm from time to time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w:t>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Structured Debt Securities</w:t>
      </w:r>
      <w:r>
        <w:rPr>
          <w:rFonts w:ascii="Arial" w:cs="Arial" w:eastAsia="Arial" w:hAnsi="Arial"/>
          <w:sz w:val="16"/>
          <w:szCs w:val="16"/>
          <w:color w:val="auto"/>
        </w:rPr>
        <w:t>– AMFC may acquire equity or preferred equity in structured debt securities or other structured financings. In valuing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AMFC attempts to obtain a minimum of two marks provided by recognized industry brokers as a primary source, supplemented by actual trades executed in the market at or around period-end, as well as the marks provided by the broker who arranges transactions in such investment vehicles. Any event adversely affecting the value of such structured debt securities and other structured financings, including events that impact the value of the underlying collateral held by such vehicles, would be magnified to the extent leverage is utilized. AMFC’s investment in structured debt securities and other structured financings that utilize leverage may make it more likely that substantial changes in the Company’s net asset value (“NAV”) will occur.</w:t>
      </w:r>
    </w:p>
    <w:p>
      <w:pPr>
        <w:spacing w:after="0" w:line="14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fair value of the structured debt securities is determined using market price quotations (where observable) and other observable market inputs. When using market price quotations from brokers, fair value is calculated using the average of two or more indicative broker quotes obtained as of the valuation date. When quotations are unobservable, internal valuation models (typically including discounted cash flow analysis and comparable analysis) are employed. Structured debt securities are generally categorized as Level 2 or 3 in the fair value hierarchy, depending on the availability of broker quotes and observable inputs. At December 31, 2025, AMFC’s investment in Community Funding 2018, LLC was valued on the basis of the average of two broker quotes.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Service fees are paid to StoneCastle Investment Management, LLC, (“The Servicer”). The Servicer rebates the entire service fee to AMFC quarterly. For the year ended December 31, 2025 this amounted to $108,430 relating to Community Funding 2018, LLC.</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 xml:space="preserve">Regulatory Capital Relief Securities. </w:t>
      </w:r>
      <w:r>
        <w:rPr>
          <w:rFonts w:ascii="Arial" w:cs="Arial" w:eastAsia="Arial" w:hAnsi="Arial"/>
          <w:sz w:val="16"/>
          <w:szCs w:val="16"/>
          <w:color w:val="auto"/>
        </w:rPr>
        <w:t>Regulatory capital relief securities are senior unsecured debt obligations that are credit linked to the performance of a</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portfolio of certain loan related claims on corporate and similar entities. The fair value of regulatory capital relief securities is generally based on broker quotes. Regulatory capital relief securities are generally categorized as Level 2 or 3 in the fair value hierarchy, depending on the availability of broker quotes.</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color w:val="auto"/>
        </w:rPr>
        <w:t>Preferred and Trust Preferred Securities</w:t>
      </w:r>
      <w:r>
        <w:rPr>
          <w:rFonts w:ascii="Arial" w:cs="Arial" w:eastAsia="Arial" w:hAnsi="Arial"/>
          <w:sz w:val="16"/>
          <w:szCs w:val="16"/>
          <w:color w:val="auto"/>
        </w:rPr>
        <w:t>. The fair value of preferred securities and trust preferred securities is generally determined using market price</w:t>
      </w:r>
      <w:r>
        <w:rPr>
          <w:rFonts w:ascii="Arial" w:cs="Arial" w:eastAsia="Arial" w:hAnsi="Arial"/>
          <w:sz w:val="16"/>
          <w:szCs w:val="16"/>
          <w:b w:val="1"/>
          <w:bCs w:val="1"/>
          <w:color w:val="auto"/>
        </w:rPr>
        <w:t xml:space="preserve"> </w:t>
      </w:r>
      <w:r>
        <w:rPr>
          <w:rFonts w:ascii="Arial" w:cs="Arial" w:eastAsia="Arial" w:hAnsi="Arial"/>
          <w:sz w:val="16"/>
          <w:szCs w:val="16"/>
          <w:color w:val="auto"/>
        </w:rPr>
        <w:t>quotations (where observable) and other observable market inputs (including recently executed transactions). When using market price quotations from brokers, fair value is calculated using the average of two or more indicative broker quotes obtained as of the valuation date. When quotations are unobservable, internal valuation models (typically including discounted cash flow analysis and comparable analysis) are employed. Perpetual preferred and trust preferred securities are generally categorized as Level 2 or 3 in the fair value hierarchy, depending on the availability of observable inputs.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color w:val="auto"/>
        </w:rPr>
        <w:t>Debt Securities</w:t>
      </w:r>
      <w:r>
        <w:rPr>
          <w:rFonts w:ascii="Arial" w:cs="Arial" w:eastAsia="Arial" w:hAnsi="Arial"/>
          <w:sz w:val="16"/>
          <w:szCs w:val="16"/>
          <w:color w:val="auto"/>
        </w:rPr>
        <w:t>. Under procedures established by the Board of Directors, we value secured debt, unsecured debt, senior term loans, subordinated term loans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debt securities, for which market quotations are readily available, at such market quotations (unless they are deemed not to represent fair value). We attempt to obtain market quotations from at least two brokers if available. If not available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80" w:type="dxa"/>
            <w:vAlign w:val="bottom"/>
          </w:tcPr>
          <w:p>
            <w:pPr>
              <w:ind w:left="8020"/>
              <w:spacing w:after="0"/>
              <w:rPr>
                <w:sz w:val="20"/>
                <w:szCs w:val="20"/>
                <w:color w:val="auto"/>
              </w:rPr>
            </w:pPr>
            <w:r>
              <w:rPr>
                <w:rFonts w:ascii="Arial" w:cs="Arial" w:eastAsia="Arial" w:hAnsi="Arial"/>
                <w:sz w:val="13"/>
                <w:szCs w:val="13"/>
                <w:b w:val="1"/>
                <w:bCs w:val="1"/>
                <w:color w:val="296B38"/>
              </w:rPr>
              <w:t xml:space="preserve">Annual Report </w:t>
            </w:r>
            <w:r>
              <w:rPr>
                <w:rFonts w:ascii="Arial" w:cs="Arial" w:eastAsia="Arial" w:hAnsi="Arial"/>
                <w:sz w:val="13"/>
                <w:szCs w:val="13"/>
                <w:color w:val="296B38"/>
              </w:rPr>
              <w:t>| ArrowMark Financial Corp.</w:t>
            </w:r>
          </w:p>
        </w:tc>
        <w:tc>
          <w:tcPr>
            <w:tcW w:w="360" w:type="dxa"/>
            <w:vAlign w:val="bottom"/>
          </w:tcPr>
          <w:p>
            <w:pPr>
              <w:jc w:val="right"/>
              <w:spacing w:after="0"/>
              <w:rPr>
                <w:sz w:val="20"/>
                <w:szCs w:val="20"/>
                <w:color w:val="auto"/>
              </w:rPr>
            </w:pPr>
            <w:r>
              <w:rPr>
                <w:rFonts w:ascii="Arial" w:cs="Arial" w:eastAsia="Arial" w:hAnsi="Arial"/>
                <w:sz w:val="13"/>
                <w:szCs w:val="13"/>
                <w:color w:val="296B38"/>
              </w:rPr>
              <w:t>20</w:t>
            </w:r>
          </w:p>
        </w:tc>
      </w:tr>
      <w:tr>
        <w:trPr>
          <w:trHeight w:val="377"/>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5" w:name="page26"/>
    <w:bookmarkEnd w:id="25"/>
    <w:p>
      <w:pPr>
        <w:jc w:val="both"/>
        <w:spacing w:after="0" w:line="238" w:lineRule="auto"/>
        <w:rPr>
          <w:sz w:val="20"/>
          <w:szCs w:val="20"/>
          <w:color w:val="auto"/>
        </w:rPr>
      </w:pPr>
      <w:r>
        <w:rPr>
          <w:rFonts w:ascii="Arial" w:cs="Arial" w:eastAsia="Arial" w:hAnsi="Arial"/>
          <w:sz w:val="16"/>
          <w:szCs w:val="16"/>
          <w:color w:val="auto"/>
        </w:rPr>
        <w:t>or when market quotations are deemed not to represent fair value, we typically utilize independent third party valuation firms to assist us in determining fair value. Our independent valuation firms consider observable market inputs together with significant unobservable inputs in arriving at their valuation recommendations for such Level 2 and Level 3 categorized assets. Investments that are not publicly traded or whose market quotations are not readily available are valued at fair value as determined in good faith by or under the direction of the Board of Directors. Such determination of fair value may involve subjective judgments and estimates.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color w:val="auto"/>
        </w:rPr>
        <w:t>Equity Securities</w:t>
      </w:r>
      <w:r>
        <w:rPr>
          <w:rFonts w:ascii="Arial" w:cs="Arial" w:eastAsia="Arial" w:hAnsi="Arial"/>
          <w:sz w:val="16"/>
          <w:szCs w:val="16"/>
          <w:color w:val="auto"/>
        </w:rPr>
        <w:t>. AMFC may invest in equity securities (including exchange traded funds) for which bid and ask prices can be observed in the marketplace.</w:t>
      </w:r>
      <w:r>
        <w:rPr>
          <w:rFonts w:ascii="Arial" w:cs="Arial" w:eastAsia="Arial" w:hAnsi="Arial"/>
          <w:sz w:val="16"/>
          <w:szCs w:val="16"/>
          <w:b w:val="1"/>
          <w:bCs w:val="1"/>
          <w:color w:val="auto"/>
        </w:rPr>
        <w:t xml:space="preserve"> </w:t>
      </w:r>
      <w:r>
        <w:rPr>
          <w:rFonts w:ascii="Arial" w:cs="Arial" w:eastAsia="Arial" w:hAnsi="Arial"/>
          <w:sz w:val="16"/>
          <w:szCs w:val="16"/>
          <w:color w:val="auto"/>
        </w:rPr>
        <w:t>Bid prices reflect the highest price that the marketplace participants are willing to pay for an asset. Ask prices represent the lowest price that the marketplace participants are willing to accept for an asset. The Company’s policy for listed securities for which no sale was reported on that date is generally to value the security using the last reported “bid” price if held long, and last reported “ask” price if sold short. Equity securities are generally categorized as Level 1 or 2 in the fair value hierarchy, depending on trading volume levels.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color w:val="auto"/>
        </w:rPr>
        <w:t xml:space="preserve">Forward Contracts. </w:t>
      </w:r>
      <w:r>
        <w:rPr>
          <w:rFonts w:ascii="Arial" w:cs="Arial" w:eastAsia="Arial" w:hAnsi="Arial"/>
          <w:sz w:val="16"/>
          <w:szCs w:val="16"/>
          <w:color w:val="auto"/>
        </w:rPr>
        <w:t>Forward contracts are traded on the OTC market. The fair value of forward contracts is determined using observable inputs,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exchange rates or commodity prices, applied to notional amounts stated in the applicable contracts. Forward contracts are generally categorized in Level 2 of the fair value hierarchy.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Company’s assets measured at fair value subject to the disclosure requirements of ASC 820-10-35 at December 31, 2025,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shd w:val="clear" w:color="auto" w:fill="F0F5F1"/>
          </w:tcPr>
          <w:p>
            <w:pPr>
              <w:spacing w:after="0"/>
              <w:rPr>
                <w:sz w:val="12"/>
                <w:szCs w:val="12"/>
                <w:color w:val="auto"/>
              </w:rPr>
            </w:pPr>
          </w:p>
        </w:tc>
        <w:tc>
          <w:tcPr>
            <w:tcW w:w="482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80" w:type="dxa"/>
            <w:vAlign w:val="bottom"/>
            <w:shd w:val="clear" w:color="auto" w:fill="F0F5F1"/>
          </w:tcPr>
          <w:p>
            <w:pPr>
              <w:spacing w:after="0"/>
              <w:rPr>
                <w:sz w:val="12"/>
                <w:szCs w:val="12"/>
                <w:color w:val="auto"/>
              </w:rPr>
            </w:pPr>
          </w:p>
        </w:tc>
        <w:tc>
          <w:tcPr>
            <w:tcW w:w="116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0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140" w:type="dxa"/>
            <w:vAlign w:val="bottom"/>
            <w:shd w:val="clear" w:color="auto" w:fill="F0F5F1"/>
          </w:tcPr>
          <w:p>
            <w:pPr>
              <w:spacing w:after="0"/>
              <w:rPr>
                <w:sz w:val="12"/>
                <w:szCs w:val="12"/>
                <w:color w:val="auto"/>
              </w:rPr>
            </w:pPr>
          </w:p>
        </w:tc>
        <w:tc>
          <w:tcPr>
            <w:tcW w:w="10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240" w:type="dxa"/>
            <w:vAlign w:val="bottom"/>
            <w:gridSpan w:val="2"/>
            <w:shd w:val="clear" w:color="auto" w:fill="F0F5F1"/>
          </w:tcPr>
          <w:p>
            <w:pPr>
              <w:jc w:val="center"/>
              <w:ind w:right="240"/>
              <w:spacing w:after="0"/>
              <w:rPr>
                <w:sz w:val="20"/>
                <w:szCs w:val="20"/>
                <w:color w:val="auto"/>
              </w:rPr>
            </w:pPr>
            <w:r>
              <w:rPr>
                <w:rFonts w:ascii="Arial" w:cs="Arial" w:eastAsia="Arial" w:hAnsi="Arial"/>
                <w:sz w:val="12"/>
                <w:szCs w:val="12"/>
                <w:color w:val="auto"/>
              </w:rPr>
              <w:t>LEVEL 2</w:t>
            </w:r>
          </w:p>
        </w:tc>
        <w:tc>
          <w:tcPr>
            <w:tcW w:w="100" w:type="dxa"/>
            <w:vAlign w:val="bottom"/>
            <w:shd w:val="clear" w:color="auto" w:fill="F0F5F1"/>
          </w:tcPr>
          <w:p>
            <w:pPr>
              <w:spacing w:after="0"/>
              <w:rPr>
                <w:sz w:val="12"/>
                <w:szCs w:val="12"/>
                <w:color w:val="auto"/>
              </w:rPr>
            </w:pPr>
          </w:p>
        </w:tc>
        <w:tc>
          <w:tcPr>
            <w:tcW w:w="100" w:type="dxa"/>
            <w:vAlign w:val="bottom"/>
            <w:shd w:val="clear" w:color="auto" w:fill="F0F5F1"/>
          </w:tcPr>
          <w:p>
            <w:pPr>
              <w:spacing w:after="0"/>
              <w:rPr>
                <w:sz w:val="12"/>
                <w:szCs w:val="12"/>
                <w:color w:val="auto"/>
              </w:rPr>
            </w:pPr>
          </w:p>
        </w:tc>
        <w:tc>
          <w:tcPr>
            <w:tcW w:w="1220" w:type="dxa"/>
            <w:vAlign w:val="bottom"/>
            <w:gridSpan w:val="2"/>
            <w:shd w:val="clear" w:color="auto" w:fill="F0F5F1"/>
          </w:tcPr>
          <w:p>
            <w:pPr>
              <w:jc w:val="center"/>
              <w:ind w:right="200"/>
              <w:spacing w:after="0"/>
              <w:rPr>
                <w:sz w:val="20"/>
                <w:szCs w:val="20"/>
                <w:color w:val="auto"/>
              </w:rPr>
            </w:pPr>
            <w:r>
              <w:rPr>
                <w:rFonts w:ascii="Arial" w:cs="Arial" w:eastAsia="Arial" w:hAnsi="Arial"/>
                <w:sz w:val="12"/>
                <w:szCs w:val="12"/>
                <w:color w:val="auto"/>
                <w:w w:val="97"/>
              </w:rPr>
              <w:t>LEVEL 3</w:t>
            </w:r>
          </w:p>
        </w:tc>
        <w:tc>
          <w:tcPr>
            <w:tcW w:w="0" w:type="dxa"/>
            <w:vAlign w:val="bottom"/>
          </w:tcPr>
          <w:p>
            <w:pPr>
              <w:spacing w:after="0"/>
              <w:rPr>
                <w:sz w:val="1"/>
                <w:szCs w:val="1"/>
                <w:color w:val="auto"/>
              </w:rPr>
            </w:pPr>
          </w:p>
        </w:tc>
      </w:tr>
      <w:tr>
        <w:trPr>
          <w:trHeight w:val="126"/>
        </w:trPr>
        <w:tc>
          <w:tcPr>
            <w:tcW w:w="580" w:type="dxa"/>
            <w:vAlign w:val="bottom"/>
            <w:shd w:val="clear" w:color="auto" w:fill="F0F5F1"/>
          </w:tcPr>
          <w:p>
            <w:pPr>
              <w:spacing w:after="0"/>
              <w:rPr>
                <w:sz w:val="10"/>
                <w:szCs w:val="10"/>
                <w:color w:val="auto"/>
              </w:rPr>
            </w:pPr>
          </w:p>
        </w:tc>
        <w:tc>
          <w:tcPr>
            <w:tcW w:w="482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80" w:type="dxa"/>
            <w:vAlign w:val="bottom"/>
            <w:shd w:val="clear" w:color="auto" w:fill="F0F5F1"/>
          </w:tcPr>
          <w:p>
            <w:pPr>
              <w:spacing w:after="0"/>
              <w:rPr>
                <w:sz w:val="10"/>
                <w:szCs w:val="10"/>
                <w:color w:val="auto"/>
              </w:rPr>
            </w:pPr>
          </w:p>
        </w:tc>
        <w:tc>
          <w:tcPr>
            <w:tcW w:w="116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14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240" w:type="dxa"/>
            <w:vAlign w:val="bottom"/>
            <w:gridSpan w:val="2"/>
            <w:shd w:val="clear" w:color="auto" w:fill="F0F5F1"/>
          </w:tcPr>
          <w:p>
            <w:pPr>
              <w:jc w:val="center"/>
              <w:ind w:right="240"/>
              <w:spacing w:after="0" w:line="126" w:lineRule="exact"/>
              <w:rPr>
                <w:sz w:val="20"/>
                <w:szCs w:val="20"/>
                <w:color w:val="auto"/>
              </w:rPr>
            </w:pPr>
            <w:r>
              <w:rPr>
                <w:rFonts w:ascii="Arial" w:cs="Arial" w:eastAsia="Arial" w:hAnsi="Arial"/>
                <w:sz w:val="12"/>
                <w:szCs w:val="12"/>
                <w:color w:val="auto"/>
                <w:w w:val="99"/>
              </w:rPr>
              <w:t>SIGNIFICANT</w:t>
            </w:r>
          </w:p>
        </w:tc>
        <w:tc>
          <w:tcPr>
            <w:tcW w:w="10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220" w:type="dxa"/>
            <w:vAlign w:val="bottom"/>
            <w:gridSpan w:val="2"/>
            <w:shd w:val="clear" w:color="auto" w:fill="F0F5F1"/>
          </w:tcPr>
          <w:p>
            <w:pPr>
              <w:jc w:val="center"/>
              <w:ind w:right="200"/>
              <w:spacing w:after="0" w:line="126" w:lineRule="exact"/>
              <w:rPr>
                <w:sz w:val="20"/>
                <w:szCs w:val="20"/>
                <w:color w:val="auto"/>
              </w:rPr>
            </w:pPr>
            <w:r>
              <w:rPr>
                <w:rFonts w:ascii="Arial" w:cs="Arial" w:eastAsia="Arial" w:hAnsi="Arial"/>
                <w:sz w:val="12"/>
                <w:szCs w:val="12"/>
                <w:color w:val="auto"/>
                <w:w w:val="97"/>
              </w:rPr>
              <w:t>SIGNIFICANT</w:t>
            </w:r>
          </w:p>
        </w:tc>
        <w:tc>
          <w:tcPr>
            <w:tcW w:w="0" w:type="dxa"/>
            <w:vAlign w:val="bottom"/>
          </w:tcPr>
          <w:p>
            <w:pPr>
              <w:spacing w:after="0"/>
              <w:rPr>
                <w:sz w:val="1"/>
                <w:szCs w:val="1"/>
                <w:color w:val="auto"/>
              </w:rPr>
            </w:pPr>
          </w:p>
        </w:tc>
      </w:tr>
      <w:tr>
        <w:trPr>
          <w:trHeight w:val="126"/>
        </w:trPr>
        <w:tc>
          <w:tcPr>
            <w:tcW w:w="580" w:type="dxa"/>
            <w:vAlign w:val="bottom"/>
            <w:shd w:val="clear" w:color="auto" w:fill="F0F5F1"/>
          </w:tcPr>
          <w:p>
            <w:pPr>
              <w:spacing w:after="0"/>
              <w:rPr>
                <w:sz w:val="10"/>
                <w:szCs w:val="10"/>
                <w:color w:val="auto"/>
              </w:rPr>
            </w:pPr>
          </w:p>
        </w:tc>
        <w:tc>
          <w:tcPr>
            <w:tcW w:w="482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80" w:type="dxa"/>
            <w:vAlign w:val="bottom"/>
            <w:shd w:val="clear" w:color="auto" w:fill="F0F5F1"/>
          </w:tcPr>
          <w:p>
            <w:pPr>
              <w:spacing w:after="0"/>
              <w:rPr>
                <w:sz w:val="10"/>
                <w:szCs w:val="10"/>
                <w:color w:val="auto"/>
              </w:rPr>
            </w:pPr>
          </w:p>
        </w:tc>
        <w:tc>
          <w:tcPr>
            <w:tcW w:w="1280" w:type="dxa"/>
            <w:vAlign w:val="bottom"/>
            <w:gridSpan w:val="2"/>
            <w:shd w:val="clear" w:color="auto" w:fill="F0F5F1"/>
          </w:tcPr>
          <w:p>
            <w:pPr>
              <w:jc w:val="center"/>
              <w:ind w:right="220"/>
              <w:spacing w:after="0" w:line="126" w:lineRule="exact"/>
              <w:rPr>
                <w:sz w:val="20"/>
                <w:szCs w:val="20"/>
                <w:color w:val="auto"/>
              </w:rPr>
            </w:pPr>
            <w:r>
              <w:rPr>
                <w:rFonts w:ascii="Arial" w:cs="Arial" w:eastAsia="Arial" w:hAnsi="Arial"/>
                <w:sz w:val="12"/>
                <w:szCs w:val="12"/>
                <w:color w:val="auto"/>
                <w:w w:val="95"/>
              </w:rPr>
              <w:t>TOTAL FAIR</w:t>
            </w:r>
          </w:p>
        </w:tc>
        <w:tc>
          <w:tcPr>
            <w:tcW w:w="10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240" w:type="dxa"/>
            <w:vAlign w:val="bottom"/>
            <w:gridSpan w:val="2"/>
            <w:shd w:val="clear" w:color="auto" w:fill="F0F5F1"/>
          </w:tcPr>
          <w:p>
            <w:pPr>
              <w:jc w:val="center"/>
              <w:ind w:right="220"/>
              <w:spacing w:after="0" w:line="126" w:lineRule="exact"/>
              <w:rPr>
                <w:sz w:val="20"/>
                <w:szCs w:val="20"/>
                <w:color w:val="auto"/>
              </w:rPr>
            </w:pPr>
            <w:r>
              <w:rPr>
                <w:rFonts w:ascii="Arial" w:cs="Arial" w:eastAsia="Arial" w:hAnsi="Arial"/>
                <w:sz w:val="12"/>
                <w:szCs w:val="12"/>
                <w:color w:val="auto"/>
                <w:w w:val="97"/>
              </w:rPr>
              <w:t>LEVEL 1</w:t>
            </w:r>
          </w:p>
        </w:tc>
        <w:tc>
          <w:tcPr>
            <w:tcW w:w="12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240" w:type="dxa"/>
            <w:vAlign w:val="bottom"/>
            <w:gridSpan w:val="2"/>
            <w:shd w:val="clear" w:color="auto" w:fill="F0F5F1"/>
          </w:tcPr>
          <w:p>
            <w:pPr>
              <w:jc w:val="center"/>
              <w:ind w:right="240"/>
              <w:spacing w:after="0" w:line="126" w:lineRule="exact"/>
              <w:rPr>
                <w:sz w:val="20"/>
                <w:szCs w:val="20"/>
                <w:color w:val="auto"/>
              </w:rPr>
            </w:pPr>
            <w:r>
              <w:rPr>
                <w:rFonts w:ascii="Arial" w:cs="Arial" w:eastAsia="Arial" w:hAnsi="Arial"/>
                <w:sz w:val="12"/>
                <w:szCs w:val="12"/>
                <w:color w:val="auto"/>
                <w:w w:val="94"/>
              </w:rPr>
              <w:t>OBSERVABLE</w:t>
            </w:r>
          </w:p>
        </w:tc>
        <w:tc>
          <w:tcPr>
            <w:tcW w:w="10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220" w:type="dxa"/>
            <w:vAlign w:val="bottom"/>
            <w:gridSpan w:val="2"/>
            <w:shd w:val="clear" w:color="auto" w:fill="F0F5F1"/>
          </w:tcPr>
          <w:p>
            <w:pPr>
              <w:jc w:val="center"/>
              <w:ind w:right="180"/>
              <w:spacing w:after="0" w:line="126" w:lineRule="exact"/>
              <w:rPr>
                <w:sz w:val="20"/>
                <w:szCs w:val="20"/>
                <w:color w:val="auto"/>
              </w:rPr>
            </w:pPr>
            <w:r>
              <w:rPr>
                <w:rFonts w:ascii="Arial" w:cs="Arial" w:eastAsia="Arial" w:hAnsi="Arial"/>
                <w:sz w:val="12"/>
                <w:szCs w:val="12"/>
                <w:color w:val="auto"/>
                <w:w w:val="97"/>
              </w:rPr>
              <w:t>UNOBSERVABLE</w:t>
            </w:r>
          </w:p>
        </w:tc>
        <w:tc>
          <w:tcPr>
            <w:tcW w:w="0" w:type="dxa"/>
            <w:vAlign w:val="bottom"/>
          </w:tcPr>
          <w:p>
            <w:pPr>
              <w:spacing w:after="0"/>
              <w:rPr>
                <w:sz w:val="1"/>
                <w:szCs w:val="1"/>
                <w:color w:val="auto"/>
              </w:rPr>
            </w:pPr>
          </w:p>
        </w:tc>
      </w:tr>
      <w:tr>
        <w:trPr>
          <w:trHeight w:val="141"/>
        </w:trPr>
        <w:tc>
          <w:tcPr>
            <w:tcW w:w="580" w:type="dxa"/>
            <w:vAlign w:val="bottom"/>
            <w:tcBorders>
              <w:bottom w:val="single" w:sz="8" w:color="auto"/>
            </w:tcBorders>
            <w:shd w:val="clear" w:color="auto" w:fill="F0F5F1"/>
          </w:tcPr>
          <w:p>
            <w:pPr>
              <w:spacing w:after="0"/>
              <w:rPr>
                <w:sz w:val="12"/>
                <w:szCs w:val="12"/>
                <w:color w:val="auto"/>
              </w:rPr>
            </w:pPr>
          </w:p>
        </w:tc>
        <w:tc>
          <w:tcPr>
            <w:tcW w:w="4820" w:type="dxa"/>
            <w:vAlign w:val="bottom"/>
            <w:tcBorders>
              <w:bottom w:val="single" w:sz="8" w:color="auto"/>
            </w:tcBorders>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spacing w:after="0"/>
              <w:rPr>
                <w:sz w:val="12"/>
                <w:szCs w:val="12"/>
                <w:color w:val="auto"/>
              </w:rPr>
            </w:pPr>
          </w:p>
        </w:tc>
        <w:tc>
          <w:tcPr>
            <w:tcW w:w="80" w:type="dxa"/>
            <w:vAlign w:val="bottom"/>
            <w:tcBorders>
              <w:bottom w:val="single" w:sz="8" w:color="auto"/>
            </w:tcBorders>
            <w:shd w:val="clear" w:color="auto" w:fill="F0F5F1"/>
          </w:tcPr>
          <w:p>
            <w:pPr>
              <w:spacing w:after="0"/>
              <w:rPr>
                <w:sz w:val="12"/>
                <w:szCs w:val="12"/>
                <w:color w:val="auto"/>
              </w:rPr>
            </w:pPr>
          </w:p>
        </w:tc>
        <w:tc>
          <w:tcPr>
            <w:tcW w:w="1280" w:type="dxa"/>
            <w:vAlign w:val="bottom"/>
            <w:tcBorders>
              <w:bottom w:val="single" w:sz="8" w:color="auto"/>
            </w:tcBorders>
            <w:gridSpan w:val="2"/>
            <w:shd w:val="clear" w:color="auto" w:fill="F0F5F1"/>
          </w:tcPr>
          <w:p>
            <w:pPr>
              <w:jc w:val="center"/>
              <w:ind w:right="200"/>
              <w:spacing w:after="0"/>
              <w:rPr>
                <w:sz w:val="20"/>
                <w:szCs w:val="20"/>
                <w:color w:val="auto"/>
              </w:rPr>
            </w:pPr>
            <w:r>
              <w:rPr>
                <w:rFonts w:ascii="Arial" w:cs="Arial" w:eastAsia="Arial" w:hAnsi="Arial"/>
                <w:sz w:val="12"/>
                <w:szCs w:val="12"/>
                <w:color w:val="auto"/>
                <w:w w:val="95"/>
              </w:rPr>
              <w:t>VALUE AT 12-31-25</w:t>
            </w:r>
          </w:p>
        </w:tc>
        <w:tc>
          <w:tcPr>
            <w:tcW w:w="100" w:type="dxa"/>
            <w:vAlign w:val="bottom"/>
            <w:tcBorders>
              <w:bottom w:val="single" w:sz="8" w:color="auto"/>
            </w:tcBorders>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spacing w:after="0"/>
              <w:rPr>
                <w:sz w:val="12"/>
                <w:szCs w:val="12"/>
                <w:color w:val="auto"/>
              </w:rPr>
            </w:pPr>
          </w:p>
        </w:tc>
        <w:tc>
          <w:tcPr>
            <w:tcW w:w="1240" w:type="dxa"/>
            <w:vAlign w:val="bottom"/>
            <w:tcBorders>
              <w:bottom w:val="single" w:sz="8" w:color="auto"/>
            </w:tcBorders>
            <w:gridSpan w:val="2"/>
            <w:shd w:val="clear" w:color="auto" w:fill="F0F5F1"/>
          </w:tcPr>
          <w:p>
            <w:pPr>
              <w:jc w:val="center"/>
              <w:ind w:right="220"/>
              <w:spacing w:after="0"/>
              <w:rPr>
                <w:sz w:val="20"/>
                <w:szCs w:val="20"/>
                <w:color w:val="auto"/>
              </w:rPr>
            </w:pPr>
            <w:r>
              <w:rPr>
                <w:rFonts w:ascii="Arial" w:cs="Arial" w:eastAsia="Arial" w:hAnsi="Arial"/>
                <w:sz w:val="12"/>
                <w:szCs w:val="12"/>
                <w:color w:val="auto"/>
                <w:w w:val="98"/>
              </w:rPr>
              <w:t>QUOTED PRICE</w:t>
            </w:r>
          </w:p>
        </w:tc>
        <w:tc>
          <w:tcPr>
            <w:tcW w:w="120" w:type="dxa"/>
            <w:vAlign w:val="bottom"/>
            <w:tcBorders>
              <w:bottom w:val="single" w:sz="8" w:color="auto"/>
            </w:tcBorders>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spacing w:after="0"/>
              <w:rPr>
                <w:sz w:val="12"/>
                <w:szCs w:val="12"/>
                <w:color w:val="auto"/>
              </w:rPr>
            </w:pPr>
          </w:p>
        </w:tc>
        <w:tc>
          <w:tcPr>
            <w:tcW w:w="1240" w:type="dxa"/>
            <w:vAlign w:val="bottom"/>
            <w:tcBorders>
              <w:bottom w:val="single" w:sz="8" w:color="auto"/>
            </w:tcBorders>
            <w:gridSpan w:val="2"/>
            <w:shd w:val="clear" w:color="auto" w:fill="F0F5F1"/>
          </w:tcPr>
          <w:p>
            <w:pPr>
              <w:jc w:val="center"/>
              <w:ind w:right="240"/>
              <w:spacing w:after="0"/>
              <w:rPr>
                <w:sz w:val="20"/>
                <w:szCs w:val="20"/>
                <w:color w:val="auto"/>
              </w:rPr>
            </w:pPr>
            <w:r>
              <w:rPr>
                <w:rFonts w:ascii="Arial" w:cs="Arial" w:eastAsia="Arial" w:hAnsi="Arial"/>
                <w:sz w:val="12"/>
                <w:szCs w:val="12"/>
                <w:color w:val="auto"/>
                <w:w w:val="99"/>
              </w:rPr>
              <w:t>INPUTS</w:t>
            </w:r>
          </w:p>
        </w:tc>
        <w:tc>
          <w:tcPr>
            <w:tcW w:w="100" w:type="dxa"/>
            <w:vAlign w:val="bottom"/>
            <w:tcBorders>
              <w:bottom w:val="single" w:sz="8" w:color="auto"/>
            </w:tcBorders>
            <w:shd w:val="clear" w:color="auto" w:fill="F0F5F1"/>
          </w:tcPr>
          <w:p>
            <w:pPr>
              <w:spacing w:after="0"/>
              <w:rPr>
                <w:sz w:val="12"/>
                <w:szCs w:val="12"/>
                <w:color w:val="auto"/>
              </w:rPr>
            </w:pPr>
          </w:p>
        </w:tc>
        <w:tc>
          <w:tcPr>
            <w:tcW w:w="100" w:type="dxa"/>
            <w:vAlign w:val="bottom"/>
            <w:tcBorders>
              <w:bottom w:val="single" w:sz="8" w:color="auto"/>
            </w:tcBorders>
            <w:shd w:val="clear" w:color="auto" w:fill="F0F5F1"/>
          </w:tcPr>
          <w:p>
            <w:pPr>
              <w:spacing w:after="0"/>
              <w:rPr>
                <w:sz w:val="12"/>
                <w:szCs w:val="12"/>
                <w:color w:val="auto"/>
              </w:rPr>
            </w:pPr>
          </w:p>
        </w:tc>
        <w:tc>
          <w:tcPr>
            <w:tcW w:w="1220" w:type="dxa"/>
            <w:vAlign w:val="bottom"/>
            <w:tcBorders>
              <w:bottom w:val="single" w:sz="8" w:color="auto"/>
            </w:tcBorders>
            <w:gridSpan w:val="2"/>
            <w:shd w:val="clear" w:color="auto" w:fill="F0F5F1"/>
          </w:tcPr>
          <w:p>
            <w:pPr>
              <w:jc w:val="center"/>
              <w:ind w:right="180"/>
              <w:spacing w:after="0"/>
              <w:rPr>
                <w:sz w:val="20"/>
                <w:szCs w:val="20"/>
                <w:color w:val="auto"/>
              </w:rPr>
            </w:pPr>
            <w:r>
              <w:rPr>
                <w:rFonts w:ascii="Arial" w:cs="Arial" w:eastAsia="Arial" w:hAnsi="Arial"/>
                <w:sz w:val="12"/>
                <w:szCs w:val="12"/>
                <w:color w:val="auto"/>
                <w:w w:val="99"/>
              </w:rPr>
              <w:t>INPUTS</w:t>
            </w:r>
          </w:p>
        </w:tc>
        <w:tc>
          <w:tcPr>
            <w:tcW w:w="0" w:type="dxa"/>
            <w:vAlign w:val="bottom"/>
          </w:tcPr>
          <w:p>
            <w:pPr>
              <w:spacing w:after="0"/>
              <w:rPr>
                <w:sz w:val="1"/>
                <w:szCs w:val="1"/>
                <w:color w:val="auto"/>
              </w:rPr>
            </w:pPr>
          </w:p>
        </w:tc>
      </w:tr>
      <w:tr>
        <w:trPr>
          <w:trHeight w:val="274"/>
        </w:trPr>
        <w:tc>
          <w:tcPr>
            <w:tcW w:w="580" w:type="dxa"/>
            <w:vAlign w:val="bottom"/>
            <w:tcBorders>
              <w:bottom w:val="single" w:sz="8" w:color="F0F5F1"/>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Assets</w:t>
            </w:r>
          </w:p>
        </w:tc>
        <w:tc>
          <w:tcPr>
            <w:tcW w:w="4820" w:type="dxa"/>
            <w:vAlign w:val="bottom"/>
            <w:tcBorders>
              <w:bottom w:val="single" w:sz="8" w:color="F0F5F1"/>
            </w:tcBorders>
            <w:shd w:val="clear" w:color="auto" w:fill="F0F5F1"/>
          </w:tcPr>
          <w:p>
            <w:pPr>
              <w:spacing w:after="0"/>
              <w:rPr>
                <w:sz w:val="23"/>
                <w:szCs w:val="23"/>
                <w:color w:val="auto"/>
              </w:rPr>
            </w:pPr>
          </w:p>
        </w:tc>
        <w:tc>
          <w:tcPr>
            <w:tcW w:w="120" w:type="dxa"/>
            <w:vAlign w:val="bottom"/>
            <w:tcBorders>
              <w:bottom w:val="single" w:sz="8" w:color="F0F5F1"/>
            </w:tcBorders>
            <w:shd w:val="clear" w:color="auto" w:fill="F0F5F1"/>
          </w:tcPr>
          <w:p>
            <w:pPr>
              <w:spacing w:after="0"/>
              <w:rPr>
                <w:sz w:val="23"/>
                <w:szCs w:val="23"/>
                <w:color w:val="auto"/>
              </w:rPr>
            </w:pPr>
          </w:p>
        </w:tc>
        <w:tc>
          <w:tcPr>
            <w:tcW w:w="80" w:type="dxa"/>
            <w:vAlign w:val="bottom"/>
            <w:tcBorders>
              <w:bottom w:val="single" w:sz="8" w:color="F0F5F1"/>
            </w:tcBorders>
            <w:shd w:val="clear" w:color="auto" w:fill="F0F5F1"/>
          </w:tcPr>
          <w:p>
            <w:pPr>
              <w:spacing w:after="0"/>
              <w:rPr>
                <w:sz w:val="23"/>
                <w:szCs w:val="23"/>
                <w:color w:val="auto"/>
              </w:rPr>
            </w:pPr>
          </w:p>
        </w:tc>
        <w:tc>
          <w:tcPr>
            <w:tcW w:w="1160" w:type="dxa"/>
            <w:vAlign w:val="bottom"/>
            <w:tcBorders>
              <w:bottom w:val="single" w:sz="8" w:color="F0F5F1"/>
            </w:tcBorders>
            <w:shd w:val="clear" w:color="auto" w:fill="F0F5F1"/>
          </w:tcPr>
          <w:p>
            <w:pPr>
              <w:spacing w:after="0"/>
              <w:rPr>
                <w:sz w:val="23"/>
                <w:szCs w:val="23"/>
                <w:color w:val="auto"/>
              </w:rPr>
            </w:pPr>
          </w:p>
        </w:tc>
        <w:tc>
          <w:tcPr>
            <w:tcW w:w="120" w:type="dxa"/>
            <w:vAlign w:val="bottom"/>
            <w:tcBorders>
              <w:bottom w:val="single" w:sz="8" w:color="F0F5F1"/>
            </w:tcBorders>
            <w:shd w:val="clear" w:color="auto" w:fill="F0F5F1"/>
          </w:tcPr>
          <w:p>
            <w:pPr>
              <w:spacing w:after="0"/>
              <w:rPr>
                <w:sz w:val="23"/>
                <w:szCs w:val="23"/>
                <w:color w:val="auto"/>
              </w:rPr>
            </w:pPr>
          </w:p>
        </w:tc>
        <w:tc>
          <w:tcPr>
            <w:tcW w:w="100" w:type="dxa"/>
            <w:vAlign w:val="bottom"/>
            <w:tcBorders>
              <w:bottom w:val="single" w:sz="8" w:color="F0F5F1"/>
            </w:tcBorders>
            <w:shd w:val="clear" w:color="auto" w:fill="F0F5F1"/>
          </w:tcPr>
          <w:p>
            <w:pPr>
              <w:spacing w:after="0"/>
              <w:rPr>
                <w:sz w:val="23"/>
                <w:szCs w:val="23"/>
                <w:color w:val="auto"/>
              </w:rPr>
            </w:pPr>
          </w:p>
        </w:tc>
        <w:tc>
          <w:tcPr>
            <w:tcW w:w="120" w:type="dxa"/>
            <w:vAlign w:val="bottom"/>
            <w:tcBorders>
              <w:bottom w:val="single" w:sz="8" w:color="F0F5F1"/>
            </w:tcBorders>
            <w:shd w:val="clear" w:color="auto" w:fill="F0F5F1"/>
          </w:tcPr>
          <w:p>
            <w:pPr>
              <w:spacing w:after="0"/>
              <w:rPr>
                <w:sz w:val="23"/>
                <w:szCs w:val="23"/>
                <w:color w:val="auto"/>
              </w:rPr>
            </w:pPr>
          </w:p>
        </w:tc>
        <w:tc>
          <w:tcPr>
            <w:tcW w:w="1140" w:type="dxa"/>
            <w:vAlign w:val="bottom"/>
            <w:tcBorders>
              <w:bottom w:val="single" w:sz="8" w:color="F0F5F1"/>
            </w:tcBorders>
            <w:shd w:val="clear" w:color="auto" w:fill="F0F5F1"/>
          </w:tcPr>
          <w:p>
            <w:pPr>
              <w:spacing w:after="0"/>
              <w:rPr>
                <w:sz w:val="23"/>
                <w:szCs w:val="23"/>
                <w:color w:val="auto"/>
              </w:rPr>
            </w:pPr>
          </w:p>
        </w:tc>
        <w:tc>
          <w:tcPr>
            <w:tcW w:w="100" w:type="dxa"/>
            <w:vAlign w:val="bottom"/>
            <w:tcBorders>
              <w:bottom w:val="single" w:sz="8" w:color="F0F5F1"/>
            </w:tcBorders>
            <w:shd w:val="clear" w:color="auto" w:fill="F0F5F1"/>
          </w:tcPr>
          <w:p>
            <w:pPr>
              <w:spacing w:after="0"/>
              <w:rPr>
                <w:sz w:val="23"/>
                <w:szCs w:val="23"/>
                <w:color w:val="auto"/>
              </w:rPr>
            </w:pPr>
          </w:p>
        </w:tc>
        <w:tc>
          <w:tcPr>
            <w:tcW w:w="120" w:type="dxa"/>
            <w:vAlign w:val="bottom"/>
            <w:tcBorders>
              <w:bottom w:val="single" w:sz="8" w:color="F0F5F1"/>
            </w:tcBorders>
            <w:shd w:val="clear" w:color="auto" w:fill="F0F5F1"/>
          </w:tcPr>
          <w:p>
            <w:pPr>
              <w:spacing w:after="0"/>
              <w:rPr>
                <w:sz w:val="23"/>
                <w:szCs w:val="23"/>
                <w:color w:val="auto"/>
              </w:rPr>
            </w:pPr>
          </w:p>
        </w:tc>
        <w:tc>
          <w:tcPr>
            <w:tcW w:w="120" w:type="dxa"/>
            <w:vAlign w:val="bottom"/>
            <w:tcBorders>
              <w:bottom w:val="single" w:sz="8" w:color="F0F5F1"/>
            </w:tcBorders>
            <w:shd w:val="clear" w:color="auto" w:fill="F0F5F1"/>
          </w:tcPr>
          <w:p>
            <w:pPr>
              <w:spacing w:after="0"/>
              <w:rPr>
                <w:sz w:val="23"/>
                <w:szCs w:val="23"/>
                <w:color w:val="auto"/>
              </w:rPr>
            </w:pPr>
          </w:p>
        </w:tc>
        <w:tc>
          <w:tcPr>
            <w:tcW w:w="1120" w:type="dxa"/>
            <w:vAlign w:val="bottom"/>
            <w:tcBorders>
              <w:bottom w:val="single" w:sz="8" w:color="F0F5F1"/>
            </w:tcBorders>
            <w:shd w:val="clear" w:color="auto" w:fill="F0F5F1"/>
          </w:tcPr>
          <w:p>
            <w:pPr>
              <w:spacing w:after="0"/>
              <w:rPr>
                <w:sz w:val="23"/>
                <w:szCs w:val="23"/>
                <w:color w:val="auto"/>
              </w:rPr>
            </w:pPr>
          </w:p>
        </w:tc>
        <w:tc>
          <w:tcPr>
            <w:tcW w:w="120" w:type="dxa"/>
            <w:vAlign w:val="bottom"/>
            <w:tcBorders>
              <w:bottom w:val="single" w:sz="8" w:color="F0F5F1"/>
            </w:tcBorders>
            <w:shd w:val="clear" w:color="auto" w:fill="F0F5F1"/>
          </w:tcPr>
          <w:p>
            <w:pPr>
              <w:spacing w:after="0"/>
              <w:rPr>
                <w:sz w:val="23"/>
                <w:szCs w:val="23"/>
                <w:color w:val="auto"/>
              </w:rPr>
            </w:pPr>
          </w:p>
        </w:tc>
        <w:tc>
          <w:tcPr>
            <w:tcW w:w="100" w:type="dxa"/>
            <w:vAlign w:val="bottom"/>
            <w:tcBorders>
              <w:bottom w:val="single" w:sz="8" w:color="F0F5F1"/>
            </w:tcBorders>
            <w:shd w:val="clear" w:color="auto" w:fill="F0F5F1"/>
          </w:tcPr>
          <w:p>
            <w:pPr>
              <w:spacing w:after="0"/>
              <w:rPr>
                <w:sz w:val="23"/>
                <w:szCs w:val="23"/>
                <w:color w:val="auto"/>
              </w:rPr>
            </w:pPr>
          </w:p>
        </w:tc>
        <w:tc>
          <w:tcPr>
            <w:tcW w:w="100" w:type="dxa"/>
            <w:vAlign w:val="bottom"/>
            <w:tcBorders>
              <w:bottom w:val="single" w:sz="8" w:color="F0F5F1"/>
            </w:tcBorders>
            <w:shd w:val="clear" w:color="auto" w:fill="F0F5F1"/>
          </w:tcPr>
          <w:p>
            <w:pPr>
              <w:spacing w:after="0"/>
              <w:rPr>
                <w:sz w:val="23"/>
                <w:szCs w:val="23"/>
                <w:color w:val="auto"/>
              </w:rPr>
            </w:pPr>
          </w:p>
        </w:tc>
        <w:tc>
          <w:tcPr>
            <w:tcW w:w="1120" w:type="dxa"/>
            <w:vAlign w:val="bottom"/>
            <w:tcBorders>
              <w:bottom w:val="single" w:sz="8" w:color="F0F5F1"/>
            </w:tcBorders>
            <w:shd w:val="clear" w:color="auto" w:fill="F0F5F1"/>
          </w:tcPr>
          <w:p>
            <w:pPr>
              <w:spacing w:after="0"/>
              <w:rPr>
                <w:sz w:val="23"/>
                <w:szCs w:val="23"/>
                <w:color w:val="auto"/>
              </w:rPr>
            </w:pPr>
          </w:p>
        </w:tc>
        <w:tc>
          <w:tcPr>
            <w:tcW w:w="100" w:type="dxa"/>
            <w:vAlign w:val="bottom"/>
            <w:tcBorders>
              <w:bottom w:val="single" w:sz="8" w:color="F0F5F1"/>
            </w:tcBorders>
            <w:shd w:val="clear" w:color="auto" w:fill="F0F5F1"/>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400" w:type="dxa"/>
            <w:vAlign w:val="bottom"/>
            <w:tcBorders>
              <w:top w:val="single" w:sz="8" w:color="auto"/>
            </w:tcBorders>
            <w:gridSpan w:val="2"/>
            <w:shd w:val="clear" w:color="auto" w:fill="F0F5F1"/>
          </w:tcPr>
          <w:p>
            <w:pPr>
              <w:ind w:left="100"/>
              <w:spacing w:after="0"/>
              <w:rPr>
                <w:sz w:val="20"/>
                <w:szCs w:val="20"/>
                <w:color w:val="auto"/>
              </w:rPr>
            </w:pPr>
            <w:r>
              <w:rPr>
                <w:rFonts w:ascii="Arial" w:cs="Arial" w:eastAsia="Arial" w:hAnsi="Arial"/>
                <w:sz w:val="13"/>
                <w:szCs w:val="13"/>
                <w:b w:val="1"/>
                <w:bCs w:val="1"/>
                <w:color w:val="auto"/>
              </w:rPr>
              <w:t>Term Loans</w:t>
            </w:r>
          </w:p>
        </w:tc>
        <w:tc>
          <w:tcPr>
            <w:tcW w:w="120" w:type="dxa"/>
            <w:vAlign w:val="bottom"/>
            <w:tcBorders>
              <w:top w:val="single" w:sz="8" w:color="F0F5F1"/>
            </w:tcBorders>
            <w:shd w:val="clear" w:color="auto" w:fill="F0F5F1"/>
          </w:tcPr>
          <w:p>
            <w:pPr>
              <w:spacing w:after="0"/>
              <w:rPr>
                <w:sz w:val="24"/>
                <w:szCs w:val="24"/>
                <w:color w:val="auto"/>
              </w:rPr>
            </w:pPr>
          </w:p>
        </w:tc>
        <w:tc>
          <w:tcPr>
            <w:tcW w:w="80" w:type="dxa"/>
            <w:vAlign w:val="bottom"/>
            <w:tcBorders>
              <w:top w:val="single" w:sz="8" w:color="F0F5F1"/>
            </w:tcBorders>
            <w:shd w:val="clear" w:color="auto" w:fill="F0F5F1"/>
          </w:tcPr>
          <w:p>
            <w:pPr>
              <w:jc w:val="right"/>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top w:val="single" w:sz="8" w:color="F0F5F1"/>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7,842,500</w:t>
            </w:r>
          </w:p>
        </w:tc>
        <w:tc>
          <w:tcPr>
            <w:tcW w:w="120" w:type="dxa"/>
            <w:vAlign w:val="bottom"/>
            <w:tcBorders>
              <w:top w:val="single" w:sz="8" w:color="F0F5F1"/>
            </w:tcBorders>
            <w:shd w:val="clear" w:color="auto" w:fill="F0F5F1"/>
          </w:tcPr>
          <w:p>
            <w:pPr>
              <w:spacing w:after="0"/>
              <w:rPr>
                <w:sz w:val="24"/>
                <w:szCs w:val="24"/>
                <w:color w:val="auto"/>
              </w:rPr>
            </w:pPr>
          </w:p>
        </w:tc>
        <w:tc>
          <w:tcPr>
            <w:tcW w:w="220" w:type="dxa"/>
            <w:vAlign w:val="bottom"/>
            <w:tcBorders>
              <w:top w:val="single" w:sz="8" w:color="F0F5F1"/>
            </w:tcBorders>
            <w:gridSpan w:val="2"/>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F0F5F1"/>
            </w:tcBorders>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F0F5F1"/>
            </w:tcBorders>
            <w:gridSpan w:val="2"/>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F0F5F1"/>
            </w:tcBorders>
            <w:gridSpan w:val="2"/>
            <w:shd w:val="clear" w:color="auto" w:fill="F0F5F1"/>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F0F5F1"/>
            </w:tcBorders>
            <w:gridSpan w:val="2"/>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F0F5F1"/>
            </w:tcBorders>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7,842,500</w:t>
            </w:r>
          </w:p>
        </w:tc>
        <w:tc>
          <w:tcPr>
            <w:tcW w:w="0" w:type="dxa"/>
            <w:vAlign w:val="bottom"/>
          </w:tcPr>
          <w:p>
            <w:pPr>
              <w:spacing w:after="0"/>
              <w:rPr>
                <w:sz w:val="1"/>
                <w:szCs w:val="1"/>
                <w:color w:val="auto"/>
              </w:rPr>
            </w:pPr>
          </w:p>
        </w:tc>
      </w:tr>
      <w:tr>
        <w:trPr>
          <w:trHeight w:val="302"/>
        </w:trPr>
        <w:tc>
          <w:tcPr>
            <w:tcW w:w="5400" w:type="dxa"/>
            <w:vAlign w:val="bottom"/>
            <w:gridSpan w:val="2"/>
            <w:shd w:val="clear" w:color="auto" w:fill="F0F5F1"/>
          </w:tcPr>
          <w:p>
            <w:pPr>
              <w:ind w:left="100"/>
              <w:spacing w:after="0"/>
              <w:rPr>
                <w:sz w:val="20"/>
                <w:szCs w:val="20"/>
                <w:color w:val="auto"/>
              </w:rPr>
            </w:pPr>
            <w:r>
              <w:rPr>
                <w:rFonts w:ascii="Arial" w:cs="Arial" w:eastAsia="Arial" w:hAnsi="Arial"/>
                <w:sz w:val="13"/>
                <w:szCs w:val="13"/>
                <w:b w:val="1"/>
                <w:bCs w:val="1"/>
                <w:color w:val="auto"/>
              </w:rPr>
              <w:t>Structured Debt Security</w:t>
            </w:r>
          </w:p>
        </w:tc>
        <w:tc>
          <w:tcPr>
            <w:tcW w:w="120" w:type="dxa"/>
            <w:vAlign w:val="bottom"/>
            <w:shd w:val="clear" w:color="auto" w:fill="F0F5F1"/>
          </w:tcPr>
          <w:p>
            <w:pPr>
              <w:spacing w:after="0"/>
              <w:rPr>
                <w:sz w:val="24"/>
                <w:szCs w:val="24"/>
                <w:color w:val="auto"/>
              </w:rPr>
            </w:pPr>
          </w:p>
        </w:tc>
        <w:tc>
          <w:tcPr>
            <w:tcW w:w="80" w:type="dxa"/>
            <w:vAlign w:val="bottom"/>
            <w:shd w:val="clear" w:color="auto" w:fill="F0F5F1"/>
          </w:tcPr>
          <w:p>
            <w:pPr>
              <w:spacing w:after="0"/>
              <w:rPr>
                <w:sz w:val="24"/>
                <w:szCs w:val="24"/>
                <w:color w:val="auto"/>
              </w:rPr>
            </w:pPr>
          </w:p>
        </w:tc>
        <w:tc>
          <w:tcPr>
            <w:tcW w:w="1160" w:type="dxa"/>
            <w:vAlign w:val="bottom"/>
            <w:shd w:val="clear" w:color="auto" w:fill="F0F5F1"/>
          </w:tcPr>
          <w:p>
            <w:pPr>
              <w:jc w:val="right"/>
              <w:spacing w:after="0"/>
              <w:rPr>
                <w:sz w:val="20"/>
                <w:szCs w:val="20"/>
                <w:color w:val="auto"/>
              </w:rPr>
            </w:pPr>
            <w:r>
              <w:rPr>
                <w:rFonts w:ascii="Arial" w:cs="Arial" w:eastAsia="Arial" w:hAnsi="Arial"/>
                <w:sz w:val="13"/>
                <w:szCs w:val="13"/>
                <w:b w:val="1"/>
                <w:bCs w:val="1"/>
                <w:color w:val="auto"/>
              </w:rPr>
              <w:t>11,592,286</w:t>
            </w:r>
          </w:p>
        </w:tc>
        <w:tc>
          <w:tcPr>
            <w:tcW w:w="12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24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240" w:type="dxa"/>
            <w:vAlign w:val="bottom"/>
            <w:gridSpan w:val="2"/>
            <w:shd w:val="clear" w:color="auto" w:fill="F0F5F1"/>
          </w:tcPr>
          <w:p>
            <w:pPr>
              <w:jc w:val="right"/>
              <w:ind w:right="120"/>
              <w:spacing w:after="0"/>
              <w:rPr>
                <w:sz w:val="20"/>
                <w:szCs w:val="20"/>
                <w:color w:val="auto"/>
              </w:rPr>
            </w:pPr>
            <w:r>
              <w:rPr>
                <w:rFonts w:ascii="Arial" w:cs="Arial" w:eastAsia="Arial" w:hAnsi="Arial"/>
                <w:sz w:val="13"/>
                <w:szCs w:val="13"/>
                <w:color w:val="auto"/>
              </w:rPr>
              <w:t>11,592,286</w:t>
            </w:r>
          </w:p>
        </w:tc>
        <w:tc>
          <w:tcPr>
            <w:tcW w:w="10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2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2"/>
        </w:trPr>
        <w:tc>
          <w:tcPr>
            <w:tcW w:w="5400" w:type="dxa"/>
            <w:vAlign w:val="bottom"/>
            <w:gridSpan w:val="2"/>
            <w:shd w:val="clear" w:color="auto" w:fill="F0F5F1"/>
          </w:tcPr>
          <w:p>
            <w:pPr>
              <w:ind w:left="100"/>
              <w:spacing w:after="0"/>
              <w:rPr>
                <w:sz w:val="20"/>
                <w:szCs w:val="20"/>
                <w:color w:val="auto"/>
              </w:rPr>
            </w:pPr>
            <w:r>
              <w:rPr>
                <w:rFonts w:ascii="Arial" w:cs="Arial" w:eastAsia="Arial" w:hAnsi="Arial"/>
                <w:sz w:val="13"/>
                <w:szCs w:val="13"/>
                <w:b w:val="1"/>
                <w:bCs w:val="1"/>
                <w:color w:val="auto"/>
              </w:rPr>
              <w:t>Regulatory Capital Relief Securities</w:t>
            </w:r>
          </w:p>
        </w:tc>
        <w:tc>
          <w:tcPr>
            <w:tcW w:w="120" w:type="dxa"/>
            <w:vAlign w:val="bottom"/>
            <w:shd w:val="clear" w:color="auto" w:fill="F0F5F1"/>
          </w:tcPr>
          <w:p>
            <w:pPr>
              <w:spacing w:after="0"/>
              <w:rPr>
                <w:sz w:val="24"/>
                <w:szCs w:val="24"/>
                <w:color w:val="auto"/>
              </w:rPr>
            </w:pPr>
          </w:p>
        </w:tc>
        <w:tc>
          <w:tcPr>
            <w:tcW w:w="80" w:type="dxa"/>
            <w:vAlign w:val="bottom"/>
            <w:shd w:val="clear" w:color="auto" w:fill="F0F5F1"/>
          </w:tcPr>
          <w:p>
            <w:pPr>
              <w:spacing w:after="0"/>
              <w:rPr>
                <w:sz w:val="24"/>
                <w:szCs w:val="24"/>
                <w:color w:val="auto"/>
              </w:rPr>
            </w:pPr>
          </w:p>
        </w:tc>
        <w:tc>
          <w:tcPr>
            <w:tcW w:w="1160" w:type="dxa"/>
            <w:vAlign w:val="bottom"/>
            <w:shd w:val="clear" w:color="auto" w:fill="F0F5F1"/>
          </w:tcPr>
          <w:p>
            <w:pPr>
              <w:jc w:val="right"/>
              <w:spacing w:after="0"/>
              <w:rPr>
                <w:sz w:val="20"/>
                <w:szCs w:val="20"/>
                <w:color w:val="auto"/>
              </w:rPr>
            </w:pPr>
            <w:r>
              <w:rPr>
                <w:rFonts w:ascii="Arial" w:cs="Arial" w:eastAsia="Arial" w:hAnsi="Arial"/>
                <w:sz w:val="13"/>
                <w:szCs w:val="13"/>
                <w:b w:val="1"/>
                <w:bCs w:val="1"/>
                <w:color w:val="auto"/>
              </w:rPr>
              <w:t>168,283,662</w:t>
            </w:r>
          </w:p>
        </w:tc>
        <w:tc>
          <w:tcPr>
            <w:tcW w:w="12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1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120" w:type="dxa"/>
            <w:vAlign w:val="bottom"/>
            <w:shd w:val="clear" w:color="auto" w:fill="F0F5F1"/>
          </w:tcPr>
          <w:p>
            <w:pPr>
              <w:jc w:val="right"/>
              <w:spacing w:after="0"/>
              <w:rPr>
                <w:sz w:val="20"/>
                <w:szCs w:val="20"/>
                <w:color w:val="auto"/>
              </w:rPr>
            </w:pPr>
            <w:r>
              <w:rPr>
                <w:rFonts w:ascii="Arial" w:cs="Arial" w:eastAsia="Arial" w:hAnsi="Arial"/>
                <w:sz w:val="13"/>
                <w:szCs w:val="13"/>
                <w:color w:val="auto"/>
              </w:rPr>
              <w:t>27,302,862</w:t>
            </w:r>
          </w:p>
        </w:tc>
        <w:tc>
          <w:tcPr>
            <w:tcW w:w="12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2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140,980,800</w:t>
            </w:r>
          </w:p>
        </w:tc>
        <w:tc>
          <w:tcPr>
            <w:tcW w:w="0" w:type="dxa"/>
            <w:vAlign w:val="bottom"/>
          </w:tcPr>
          <w:p>
            <w:pPr>
              <w:spacing w:after="0"/>
              <w:rPr>
                <w:sz w:val="1"/>
                <w:szCs w:val="1"/>
                <w:color w:val="auto"/>
              </w:rPr>
            </w:pPr>
          </w:p>
        </w:tc>
      </w:tr>
      <w:tr>
        <w:trPr>
          <w:trHeight w:val="302"/>
        </w:trPr>
        <w:tc>
          <w:tcPr>
            <w:tcW w:w="5400" w:type="dxa"/>
            <w:vAlign w:val="bottom"/>
            <w:gridSpan w:val="2"/>
            <w:shd w:val="clear" w:color="auto" w:fill="F0F5F1"/>
          </w:tcPr>
          <w:p>
            <w:pPr>
              <w:ind w:left="100"/>
              <w:spacing w:after="0"/>
              <w:rPr>
                <w:sz w:val="20"/>
                <w:szCs w:val="20"/>
                <w:color w:val="auto"/>
              </w:rPr>
            </w:pPr>
            <w:r>
              <w:rPr>
                <w:rFonts w:ascii="Arial" w:cs="Arial" w:eastAsia="Arial" w:hAnsi="Arial"/>
                <w:sz w:val="13"/>
                <w:szCs w:val="13"/>
                <w:b w:val="1"/>
                <w:bCs w:val="1"/>
                <w:color w:val="auto"/>
              </w:rPr>
              <w:t>Trust Preferred and Preferred Securities</w:t>
            </w:r>
          </w:p>
        </w:tc>
        <w:tc>
          <w:tcPr>
            <w:tcW w:w="120" w:type="dxa"/>
            <w:vAlign w:val="bottom"/>
            <w:shd w:val="clear" w:color="auto" w:fill="F0F5F1"/>
          </w:tcPr>
          <w:p>
            <w:pPr>
              <w:spacing w:after="0"/>
              <w:rPr>
                <w:sz w:val="24"/>
                <w:szCs w:val="24"/>
                <w:color w:val="auto"/>
              </w:rPr>
            </w:pPr>
          </w:p>
        </w:tc>
        <w:tc>
          <w:tcPr>
            <w:tcW w:w="80" w:type="dxa"/>
            <w:vAlign w:val="bottom"/>
            <w:shd w:val="clear" w:color="auto" w:fill="F0F5F1"/>
          </w:tcPr>
          <w:p>
            <w:pPr>
              <w:spacing w:after="0"/>
              <w:rPr>
                <w:sz w:val="24"/>
                <w:szCs w:val="24"/>
                <w:color w:val="auto"/>
              </w:rPr>
            </w:pPr>
          </w:p>
        </w:tc>
        <w:tc>
          <w:tcPr>
            <w:tcW w:w="1160" w:type="dxa"/>
            <w:vAlign w:val="bottom"/>
            <w:shd w:val="clear" w:color="auto" w:fill="F0F5F1"/>
          </w:tcPr>
          <w:p>
            <w:pPr>
              <w:jc w:val="right"/>
              <w:spacing w:after="0"/>
              <w:rPr>
                <w:sz w:val="20"/>
                <w:szCs w:val="20"/>
                <w:color w:val="auto"/>
              </w:rPr>
            </w:pPr>
            <w:r>
              <w:rPr>
                <w:rFonts w:ascii="Arial" w:cs="Arial" w:eastAsia="Arial" w:hAnsi="Arial"/>
                <w:sz w:val="13"/>
                <w:szCs w:val="13"/>
                <w:b w:val="1"/>
                <w:bCs w:val="1"/>
                <w:color w:val="auto"/>
              </w:rPr>
              <w:t>1,793,400</w:t>
            </w:r>
          </w:p>
        </w:tc>
        <w:tc>
          <w:tcPr>
            <w:tcW w:w="12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1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240" w:type="dxa"/>
            <w:vAlign w:val="bottom"/>
            <w:gridSpan w:val="2"/>
            <w:shd w:val="clear" w:color="auto" w:fill="F0F5F1"/>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2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1,793,400</w:t>
            </w:r>
          </w:p>
        </w:tc>
        <w:tc>
          <w:tcPr>
            <w:tcW w:w="0" w:type="dxa"/>
            <w:vAlign w:val="bottom"/>
          </w:tcPr>
          <w:p>
            <w:pPr>
              <w:spacing w:after="0"/>
              <w:rPr>
                <w:sz w:val="1"/>
                <w:szCs w:val="1"/>
                <w:color w:val="auto"/>
              </w:rPr>
            </w:pPr>
          </w:p>
        </w:tc>
      </w:tr>
      <w:tr>
        <w:trPr>
          <w:trHeight w:val="302"/>
        </w:trPr>
        <w:tc>
          <w:tcPr>
            <w:tcW w:w="5400" w:type="dxa"/>
            <w:vAlign w:val="bottom"/>
            <w:gridSpan w:val="2"/>
            <w:shd w:val="clear" w:color="auto" w:fill="F0F5F1"/>
          </w:tcPr>
          <w:p>
            <w:pPr>
              <w:ind w:left="100"/>
              <w:spacing w:after="0"/>
              <w:rPr>
                <w:sz w:val="20"/>
                <w:szCs w:val="20"/>
                <w:color w:val="auto"/>
              </w:rPr>
            </w:pPr>
            <w:r>
              <w:rPr>
                <w:rFonts w:ascii="Arial" w:cs="Arial" w:eastAsia="Arial" w:hAnsi="Arial"/>
                <w:sz w:val="13"/>
                <w:szCs w:val="13"/>
                <w:b w:val="1"/>
                <w:bCs w:val="1"/>
                <w:color w:val="auto"/>
              </w:rPr>
              <w:t>Common Stocks</w:t>
            </w:r>
          </w:p>
        </w:tc>
        <w:tc>
          <w:tcPr>
            <w:tcW w:w="120" w:type="dxa"/>
            <w:vAlign w:val="bottom"/>
            <w:shd w:val="clear" w:color="auto" w:fill="F0F5F1"/>
          </w:tcPr>
          <w:p>
            <w:pPr>
              <w:spacing w:after="0"/>
              <w:rPr>
                <w:sz w:val="24"/>
                <w:szCs w:val="24"/>
                <w:color w:val="auto"/>
              </w:rPr>
            </w:pPr>
          </w:p>
        </w:tc>
        <w:tc>
          <w:tcPr>
            <w:tcW w:w="80" w:type="dxa"/>
            <w:vAlign w:val="bottom"/>
            <w:shd w:val="clear" w:color="auto" w:fill="F0F5F1"/>
          </w:tcPr>
          <w:p>
            <w:pPr>
              <w:spacing w:after="0"/>
              <w:rPr>
                <w:sz w:val="24"/>
                <w:szCs w:val="24"/>
                <w:color w:val="auto"/>
              </w:rPr>
            </w:pPr>
          </w:p>
        </w:tc>
        <w:tc>
          <w:tcPr>
            <w:tcW w:w="1160" w:type="dxa"/>
            <w:vAlign w:val="bottom"/>
            <w:shd w:val="clear" w:color="auto" w:fill="F0F5F1"/>
          </w:tcPr>
          <w:p>
            <w:pPr>
              <w:jc w:val="right"/>
              <w:spacing w:after="0"/>
              <w:rPr>
                <w:sz w:val="20"/>
                <w:szCs w:val="20"/>
                <w:color w:val="auto"/>
              </w:rPr>
            </w:pPr>
            <w:r>
              <w:rPr>
                <w:rFonts w:ascii="Arial" w:cs="Arial" w:eastAsia="Arial" w:hAnsi="Arial"/>
                <w:sz w:val="13"/>
                <w:szCs w:val="13"/>
                <w:b w:val="1"/>
                <w:bCs w:val="1"/>
                <w:color w:val="auto"/>
              </w:rPr>
              <w:t>5,874,936</w:t>
            </w:r>
          </w:p>
        </w:tc>
        <w:tc>
          <w:tcPr>
            <w:tcW w:w="12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1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5,874,936</w:t>
            </w: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12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2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4"/>
        </w:trPr>
        <w:tc>
          <w:tcPr>
            <w:tcW w:w="5400" w:type="dxa"/>
            <w:vAlign w:val="bottom"/>
            <w:gridSpan w:val="2"/>
            <w:shd w:val="clear" w:color="auto" w:fill="F0F5F1"/>
          </w:tcPr>
          <w:p>
            <w:pPr>
              <w:ind w:left="100"/>
              <w:spacing w:after="0"/>
              <w:rPr>
                <w:sz w:val="20"/>
                <w:szCs w:val="20"/>
                <w:color w:val="auto"/>
              </w:rPr>
            </w:pPr>
            <w:r>
              <w:rPr>
                <w:rFonts w:ascii="Arial" w:cs="Arial" w:eastAsia="Arial" w:hAnsi="Arial"/>
                <w:sz w:val="13"/>
                <w:szCs w:val="13"/>
                <w:b w:val="1"/>
                <w:bCs w:val="1"/>
                <w:color w:val="auto"/>
              </w:rPr>
              <w:t>Money Market Fund</w:t>
            </w:r>
          </w:p>
        </w:tc>
        <w:tc>
          <w:tcPr>
            <w:tcW w:w="120" w:type="dxa"/>
            <w:vAlign w:val="bottom"/>
            <w:shd w:val="clear" w:color="auto" w:fill="F0F5F1"/>
          </w:tcPr>
          <w:p>
            <w:pPr>
              <w:spacing w:after="0"/>
              <w:rPr>
                <w:sz w:val="24"/>
                <w:szCs w:val="24"/>
                <w:color w:val="auto"/>
              </w:rPr>
            </w:pPr>
          </w:p>
        </w:tc>
        <w:tc>
          <w:tcPr>
            <w:tcW w:w="80" w:type="dxa"/>
            <w:vAlign w:val="bottom"/>
            <w:shd w:val="clear" w:color="auto" w:fill="F0F5F1"/>
          </w:tcPr>
          <w:p>
            <w:pPr>
              <w:spacing w:after="0"/>
              <w:rPr>
                <w:sz w:val="24"/>
                <w:szCs w:val="24"/>
                <w:color w:val="auto"/>
              </w:rPr>
            </w:pPr>
          </w:p>
        </w:tc>
        <w:tc>
          <w:tcPr>
            <w:tcW w:w="1160" w:type="dxa"/>
            <w:vAlign w:val="bottom"/>
            <w:shd w:val="clear" w:color="auto" w:fill="F0F5F1"/>
          </w:tcPr>
          <w:p>
            <w:pPr>
              <w:jc w:val="right"/>
              <w:spacing w:after="0"/>
              <w:rPr>
                <w:sz w:val="20"/>
                <w:szCs w:val="20"/>
                <w:color w:val="auto"/>
              </w:rPr>
            </w:pPr>
            <w:r>
              <w:rPr>
                <w:rFonts w:ascii="Arial" w:cs="Arial" w:eastAsia="Arial" w:hAnsi="Arial"/>
                <w:sz w:val="13"/>
                <w:szCs w:val="13"/>
                <w:b w:val="1"/>
                <w:bCs w:val="1"/>
                <w:color w:val="auto"/>
              </w:rPr>
              <w:t>968,661</w:t>
            </w:r>
          </w:p>
        </w:tc>
        <w:tc>
          <w:tcPr>
            <w:tcW w:w="12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1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968,661</w:t>
            </w: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12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2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5400" w:type="dxa"/>
            <w:vAlign w:val="bottom"/>
            <w:tcBorders>
              <w:bottom w:val="single" w:sz="8" w:color="F0F5F1"/>
            </w:tcBorders>
            <w:gridSpan w:val="2"/>
            <w:vMerge w:val="restart"/>
            <w:shd w:val="clear" w:color="auto" w:fill="F0F5F1"/>
          </w:tcPr>
          <w:p>
            <w:pPr>
              <w:ind w:left="100"/>
              <w:spacing w:after="0"/>
              <w:rPr>
                <w:sz w:val="20"/>
                <w:szCs w:val="20"/>
                <w:color w:val="auto"/>
              </w:rPr>
            </w:pPr>
            <w:r>
              <w:rPr>
                <w:rFonts w:ascii="Arial" w:cs="Arial" w:eastAsia="Arial" w:hAnsi="Arial"/>
                <w:sz w:val="13"/>
                <w:szCs w:val="13"/>
                <w:b w:val="1"/>
                <w:bCs w:val="1"/>
                <w:color w:val="auto"/>
              </w:rPr>
              <w:t>Total Assets</w:t>
            </w:r>
          </w:p>
        </w:tc>
        <w:tc>
          <w:tcPr>
            <w:tcW w:w="120" w:type="dxa"/>
            <w:vAlign w:val="bottom"/>
            <w:tcBorders>
              <w:bottom w:val="single" w:sz="8" w:color="F0F5F1"/>
            </w:tcBorders>
            <w:shd w:val="clear" w:color="auto" w:fill="F0F5F1"/>
          </w:tcPr>
          <w:p>
            <w:pPr>
              <w:spacing w:after="0"/>
              <w:rPr>
                <w:sz w:val="14"/>
                <w:szCs w:val="14"/>
                <w:color w:val="auto"/>
              </w:rPr>
            </w:pPr>
          </w:p>
        </w:tc>
        <w:tc>
          <w:tcPr>
            <w:tcW w:w="80" w:type="dxa"/>
            <w:vAlign w:val="bottom"/>
            <w:tcBorders>
              <w:bottom w:val="single" w:sz="8" w:color="auto"/>
            </w:tcBorders>
            <w:shd w:val="clear" w:color="auto" w:fill="F0F5F1"/>
          </w:tcPr>
          <w:p>
            <w:pPr>
              <w:spacing w:after="0"/>
              <w:rPr>
                <w:sz w:val="14"/>
                <w:szCs w:val="14"/>
                <w:color w:val="auto"/>
              </w:rPr>
            </w:pPr>
          </w:p>
        </w:tc>
        <w:tc>
          <w:tcPr>
            <w:tcW w:w="1160" w:type="dxa"/>
            <w:vAlign w:val="bottom"/>
            <w:tcBorders>
              <w:bottom w:val="single" w:sz="8" w:color="auto"/>
            </w:tcBorders>
            <w:shd w:val="clear" w:color="auto" w:fill="F0F5F1"/>
          </w:tcPr>
          <w:p>
            <w:pPr>
              <w:spacing w:after="0"/>
              <w:rPr>
                <w:sz w:val="14"/>
                <w:szCs w:val="14"/>
                <w:color w:val="auto"/>
              </w:rPr>
            </w:pPr>
          </w:p>
        </w:tc>
        <w:tc>
          <w:tcPr>
            <w:tcW w:w="120" w:type="dxa"/>
            <w:vAlign w:val="bottom"/>
            <w:tcBorders>
              <w:bottom w:val="single" w:sz="8" w:color="F0F5F1"/>
            </w:tcBorders>
            <w:shd w:val="clear" w:color="auto" w:fill="F0F5F1"/>
          </w:tcPr>
          <w:p>
            <w:pPr>
              <w:spacing w:after="0"/>
              <w:rPr>
                <w:sz w:val="14"/>
                <w:szCs w:val="14"/>
                <w:color w:val="auto"/>
              </w:rPr>
            </w:pPr>
          </w:p>
        </w:tc>
        <w:tc>
          <w:tcPr>
            <w:tcW w:w="100" w:type="dxa"/>
            <w:vAlign w:val="bottom"/>
            <w:tcBorders>
              <w:bottom w:val="single" w:sz="8" w:color="F0F5F1"/>
            </w:tcBorders>
            <w:shd w:val="clear" w:color="auto" w:fill="F0F5F1"/>
          </w:tcPr>
          <w:p>
            <w:pPr>
              <w:spacing w:after="0"/>
              <w:rPr>
                <w:sz w:val="14"/>
                <w:szCs w:val="14"/>
                <w:color w:val="auto"/>
              </w:rPr>
            </w:pPr>
          </w:p>
        </w:tc>
        <w:tc>
          <w:tcPr>
            <w:tcW w:w="120" w:type="dxa"/>
            <w:vAlign w:val="bottom"/>
            <w:tcBorders>
              <w:bottom w:val="single" w:sz="8" w:color="auto"/>
            </w:tcBorders>
            <w:shd w:val="clear" w:color="auto" w:fill="F0F5F1"/>
          </w:tcPr>
          <w:p>
            <w:pPr>
              <w:spacing w:after="0"/>
              <w:rPr>
                <w:sz w:val="14"/>
                <w:szCs w:val="14"/>
                <w:color w:val="auto"/>
              </w:rPr>
            </w:pPr>
          </w:p>
        </w:tc>
        <w:tc>
          <w:tcPr>
            <w:tcW w:w="1140" w:type="dxa"/>
            <w:vAlign w:val="bottom"/>
            <w:tcBorders>
              <w:bottom w:val="single" w:sz="8" w:color="auto"/>
            </w:tcBorders>
            <w:shd w:val="clear" w:color="auto" w:fill="F0F5F1"/>
          </w:tcPr>
          <w:p>
            <w:pPr>
              <w:spacing w:after="0"/>
              <w:rPr>
                <w:sz w:val="14"/>
                <w:szCs w:val="14"/>
                <w:color w:val="auto"/>
              </w:rPr>
            </w:pPr>
          </w:p>
        </w:tc>
        <w:tc>
          <w:tcPr>
            <w:tcW w:w="100" w:type="dxa"/>
            <w:vAlign w:val="bottom"/>
            <w:tcBorders>
              <w:bottom w:val="single" w:sz="8" w:color="F0F5F1"/>
            </w:tcBorders>
            <w:shd w:val="clear" w:color="auto" w:fill="F0F5F1"/>
          </w:tcPr>
          <w:p>
            <w:pPr>
              <w:spacing w:after="0"/>
              <w:rPr>
                <w:sz w:val="14"/>
                <w:szCs w:val="14"/>
                <w:color w:val="auto"/>
              </w:rPr>
            </w:pPr>
          </w:p>
        </w:tc>
        <w:tc>
          <w:tcPr>
            <w:tcW w:w="120" w:type="dxa"/>
            <w:vAlign w:val="bottom"/>
            <w:tcBorders>
              <w:bottom w:val="single" w:sz="8" w:color="F0F5F1"/>
            </w:tcBorders>
            <w:shd w:val="clear" w:color="auto" w:fill="F0F5F1"/>
          </w:tcPr>
          <w:p>
            <w:pPr>
              <w:spacing w:after="0"/>
              <w:rPr>
                <w:sz w:val="14"/>
                <w:szCs w:val="14"/>
                <w:color w:val="auto"/>
              </w:rPr>
            </w:pPr>
          </w:p>
        </w:tc>
        <w:tc>
          <w:tcPr>
            <w:tcW w:w="120" w:type="dxa"/>
            <w:vAlign w:val="bottom"/>
            <w:tcBorders>
              <w:bottom w:val="single" w:sz="8" w:color="auto"/>
            </w:tcBorders>
            <w:shd w:val="clear" w:color="auto" w:fill="F0F5F1"/>
          </w:tcPr>
          <w:p>
            <w:pPr>
              <w:spacing w:after="0"/>
              <w:rPr>
                <w:sz w:val="14"/>
                <w:szCs w:val="14"/>
                <w:color w:val="auto"/>
              </w:rPr>
            </w:pPr>
          </w:p>
        </w:tc>
        <w:tc>
          <w:tcPr>
            <w:tcW w:w="1120" w:type="dxa"/>
            <w:vAlign w:val="bottom"/>
            <w:tcBorders>
              <w:bottom w:val="single" w:sz="8" w:color="auto"/>
            </w:tcBorders>
            <w:shd w:val="clear" w:color="auto" w:fill="F0F5F1"/>
          </w:tcPr>
          <w:p>
            <w:pPr>
              <w:spacing w:after="0"/>
              <w:rPr>
                <w:sz w:val="14"/>
                <w:szCs w:val="14"/>
                <w:color w:val="auto"/>
              </w:rPr>
            </w:pPr>
          </w:p>
        </w:tc>
        <w:tc>
          <w:tcPr>
            <w:tcW w:w="120" w:type="dxa"/>
            <w:vAlign w:val="bottom"/>
            <w:tcBorders>
              <w:bottom w:val="single" w:sz="8" w:color="F0F5F1"/>
            </w:tcBorders>
            <w:shd w:val="clear" w:color="auto" w:fill="F0F5F1"/>
          </w:tcPr>
          <w:p>
            <w:pPr>
              <w:spacing w:after="0"/>
              <w:rPr>
                <w:sz w:val="14"/>
                <w:szCs w:val="14"/>
                <w:color w:val="auto"/>
              </w:rPr>
            </w:pPr>
          </w:p>
        </w:tc>
        <w:tc>
          <w:tcPr>
            <w:tcW w:w="100" w:type="dxa"/>
            <w:vAlign w:val="bottom"/>
            <w:tcBorders>
              <w:bottom w:val="single" w:sz="8" w:color="F0F5F1"/>
            </w:tcBorders>
            <w:shd w:val="clear" w:color="auto" w:fill="F0F5F1"/>
          </w:tcPr>
          <w:p>
            <w:pPr>
              <w:spacing w:after="0"/>
              <w:rPr>
                <w:sz w:val="14"/>
                <w:szCs w:val="14"/>
                <w:color w:val="auto"/>
              </w:rPr>
            </w:pPr>
          </w:p>
        </w:tc>
        <w:tc>
          <w:tcPr>
            <w:tcW w:w="100" w:type="dxa"/>
            <w:vAlign w:val="bottom"/>
            <w:tcBorders>
              <w:bottom w:val="single" w:sz="8" w:color="auto"/>
            </w:tcBorders>
            <w:shd w:val="clear" w:color="auto" w:fill="F0F5F1"/>
          </w:tcPr>
          <w:p>
            <w:pPr>
              <w:spacing w:after="0"/>
              <w:rPr>
                <w:sz w:val="14"/>
                <w:szCs w:val="14"/>
                <w:color w:val="auto"/>
              </w:rPr>
            </w:pPr>
          </w:p>
        </w:tc>
        <w:tc>
          <w:tcPr>
            <w:tcW w:w="1120" w:type="dxa"/>
            <w:vAlign w:val="bottom"/>
            <w:tcBorders>
              <w:bottom w:val="single" w:sz="8" w:color="auto"/>
            </w:tcBorders>
            <w:shd w:val="clear" w:color="auto" w:fill="F0F5F1"/>
          </w:tcPr>
          <w:p>
            <w:pPr>
              <w:spacing w:after="0"/>
              <w:rPr>
                <w:sz w:val="14"/>
                <w:szCs w:val="14"/>
                <w:color w:val="auto"/>
              </w:rPr>
            </w:pPr>
          </w:p>
        </w:tc>
        <w:tc>
          <w:tcPr>
            <w:tcW w:w="100" w:type="dxa"/>
            <w:vAlign w:val="bottom"/>
            <w:tcBorders>
              <w:bottom w:val="single" w:sz="8" w:color="F0F5F1"/>
            </w:tcBorders>
            <w:shd w:val="clear" w:color="auto" w:fill="F0F5F1"/>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400" w:type="dxa"/>
            <w:vAlign w:val="bottom"/>
            <w:tcBorders>
              <w:bottom w:val="single" w:sz="8" w:color="F0F5F1"/>
            </w:tcBorders>
            <w:gridSpan w:val="2"/>
            <w:vMerge w:val="continue"/>
            <w:shd w:val="clear" w:color="auto" w:fill="F0F5F1"/>
          </w:tcPr>
          <w:p>
            <w:pPr>
              <w:spacing w:after="0"/>
              <w:rPr>
                <w:sz w:val="12"/>
                <w:szCs w:val="12"/>
                <w:color w:val="auto"/>
              </w:rPr>
            </w:pPr>
          </w:p>
        </w:tc>
        <w:tc>
          <w:tcPr>
            <w:tcW w:w="120" w:type="dxa"/>
            <w:vAlign w:val="bottom"/>
            <w:tcBorders>
              <w:bottom w:val="single" w:sz="8" w:color="F0F5F1"/>
            </w:tcBorders>
            <w:shd w:val="clear" w:color="auto" w:fill="F0F5F1"/>
          </w:tcPr>
          <w:p>
            <w:pPr>
              <w:spacing w:after="0"/>
              <w:rPr>
                <w:sz w:val="12"/>
                <w:szCs w:val="12"/>
                <w:color w:val="auto"/>
              </w:rPr>
            </w:pPr>
          </w:p>
        </w:tc>
        <w:tc>
          <w:tcPr>
            <w:tcW w:w="8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196,355,445</w:t>
            </w:r>
          </w:p>
        </w:tc>
        <w:tc>
          <w:tcPr>
            <w:tcW w:w="120" w:type="dxa"/>
            <w:vAlign w:val="bottom"/>
            <w:tcBorders>
              <w:bottom w:val="single" w:sz="8" w:color="F0F5F1"/>
            </w:tcBorders>
            <w:shd w:val="clear" w:color="auto" w:fill="F0F5F1"/>
          </w:tcPr>
          <w:p>
            <w:pPr>
              <w:spacing w:after="0"/>
              <w:rPr>
                <w:sz w:val="12"/>
                <w:szCs w:val="12"/>
                <w:color w:val="auto"/>
              </w:rPr>
            </w:pPr>
          </w:p>
        </w:tc>
        <w:tc>
          <w:tcPr>
            <w:tcW w:w="100" w:type="dxa"/>
            <w:vAlign w:val="bottom"/>
            <w:tcBorders>
              <w:bottom w:val="single" w:sz="8" w:color="F0F5F1"/>
            </w:tcBorders>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6,843,597</w:t>
            </w:r>
          </w:p>
        </w:tc>
        <w:tc>
          <w:tcPr>
            <w:tcW w:w="100" w:type="dxa"/>
            <w:vAlign w:val="bottom"/>
            <w:tcBorders>
              <w:bottom w:val="single" w:sz="8" w:color="F0F5F1"/>
            </w:tcBorders>
            <w:shd w:val="clear" w:color="auto" w:fill="F0F5F1"/>
          </w:tcPr>
          <w:p>
            <w:pPr>
              <w:spacing w:after="0"/>
              <w:rPr>
                <w:sz w:val="12"/>
                <w:szCs w:val="12"/>
                <w:color w:val="auto"/>
              </w:rPr>
            </w:pPr>
          </w:p>
        </w:tc>
        <w:tc>
          <w:tcPr>
            <w:tcW w:w="120" w:type="dxa"/>
            <w:vAlign w:val="bottom"/>
            <w:tcBorders>
              <w:bottom w:val="single" w:sz="8" w:color="F0F5F1"/>
            </w:tcBorders>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112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38,895,148</w:t>
            </w:r>
          </w:p>
        </w:tc>
        <w:tc>
          <w:tcPr>
            <w:tcW w:w="120" w:type="dxa"/>
            <w:vAlign w:val="bottom"/>
            <w:tcBorders>
              <w:bottom w:val="single" w:sz="8" w:color="F0F5F1"/>
            </w:tcBorders>
            <w:shd w:val="clear" w:color="auto" w:fill="F0F5F1"/>
          </w:tcPr>
          <w:p>
            <w:pPr>
              <w:spacing w:after="0"/>
              <w:rPr>
                <w:sz w:val="12"/>
                <w:szCs w:val="12"/>
                <w:color w:val="auto"/>
              </w:rPr>
            </w:pPr>
          </w:p>
        </w:tc>
        <w:tc>
          <w:tcPr>
            <w:tcW w:w="100" w:type="dxa"/>
            <w:vAlign w:val="bottom"/>
            <w:tcBorders>
              <w:bottom w:val="single" w:sz="8" w:color="F0F5F1"/>
            </w:tcBorders>
            <w:shd w:val="clear" w:color="auto" w:fill="F0F5F1"/>
          </w:tcPr>
          <w:p>
            <w:pPr>
              <w:spacing w:after="0"/>
              <w:rPr>
                <w:sz w:val="12"/>
                <w:szCs w:val="12"/>
                <w:color w:val="auto"/>
              </w:rPr>
            </w:pPr>
          </w:p>
        </w:tc>
        <w:tc>
          <w:tcPr>
            <w:tcW w:w="10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112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150,616,700</w:t>
            </w:r>
          </w:p>
        </w:tc>
        <w:tc>
          <w:tcPr>
            <w:tcW w:w="100" w:type="dxa"/>
            <w:vAlign w:val="bottom"/>
            <w:tcBorders>
              <w:bottom w:val="single" w:sz="8" w:color="F0F5F1"/>
            </w:tcBorders>
            <w:shd w:val="clear" w:color="auto" w:fill="F0F5F1"/>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580" w:type="dxa"/>
            <w:vAlign w:val="bottom"/>
          </w:tcPr>
          <w:p>
            <w:pPr>
              <w:spacing w:after="0"/>
              <w:rPr>
                <w:sz w:val="20"/>
                <w:szCs w:val="20"/>
                <w:color w:val="auto"/>
              </w:rPr>
            </w:pPr>
            <w:r>
              <w:rPr>
                <w:rFonts w:ascii="Arial" w:cs="Arial" w:eastAsia="Arial" w:hAnsi="Arial"/>
                <w:sz w:val="13"/>
                <w:szCs w:val="13"/>
                <w:color w:val="296B38"/>
              </w:rPr>
              <w:t>21</w:t>
            </w:r>
          </w:p>
        </w:tc>
        <w:tc>
          <w:tcPr>
            <w:tcW w:w="4820" w:type="dxa"/>
            <w:vAlign w:val="bottom"/>
          </w:tcPr>
          <w:p>
            <w:pPr>
              <w:ind w:left="20"/>
              <w:spacing w:after="0"/>
              <w:rPr>
                <w:sz w:val="20"/>
                <w:szCs w:val="20"/>
                <w:color w:val="auto"/>
              </w:rPr>
            </w:pPr>
            <w:r>
              <w:rPr>
                <w:rFonts w:ascii="Arial" w:cs="Arial" w:eastAsia="Arial" w:hAnsi="Arial"/>
                <w:sz w:val="13"/>
                <w:szCs w:val="13"/>
                <w:color w:val="296B38"/>
              </w:rPr>
              <w:t xml:space="preserve">ArrowMark Financial Corp. | </w:t>
            </w:r>
            <w:r>
              <w:rPr>
                <w:rFonts w:ascii="Arial" w:cs="Arial" w:eastAsia="Arial" w:hAnsi="Arial"/>
                <w:sz w:val="13"/>
                <w:szCs w:val="13"/>
                <w:b w:val="1"/>
                <w:bCs w:val="1"/>
                <w:color w:val="296B38"/>
              </w:rPr>
              <w:t>Annual Report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80" w:type="dxa"/>
            <w:vAlign w:val="bottom"/>
            <w:shd w:val="clear" w:color="auto" w:fill="F0F5F1"/>
          </w:tcPr>
          <w:p>
            <w:pPr>
              <w:spacing w:after="0"/>
              <w:rPr>
                <w:sz w:val="12"/>
                <w:szCs w:val="12"/>
                <w:color w:val="auto"/>
              </w:rPr>
            </w:pPr>
          </w:p>
        </w:tc>
        <w:tc>
          <w:tcPr>
            <w:tcW w:w="116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0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140" w:type="dxa"/>
            <w:vAlign w:val="bottom"/>
            <w:shd w:val="clear" w:color="auto" w:fill="F0F5F1"/>
          </w:tcPr>
          <w:p>
            <w:pPr>
              <w:spacing w:after="0"/>
              <w:rPr>
                <w:sz w:val="12"/>
                <w:szCs w:val="12"/>
                <w:color w:val="auto"/>
              </w:rPr>
            </w:pPr>
          </w:p>
        </w:tc>
        <w:tc>
          <w:tcPr>
            <w:tcW w:w="10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060" w:type="dxa"/>
            <w:vAlign w:val="bottom"/>
            <w:shd w:val="clear" w:color="auto" w:fill="F0F5F1"/>
          </w:tcPr>
          <w:p>
            <w:pPr>
              <w:jc w:val="center"/>
              <w:ind w:left="120"/>
              <w:spacing w:after="0"/>
              <w:rPr>
                <w:sz w:val="20"/>
                <w:szCs w:val="20"/>
                <w:color w:val="auto"/>
              </w:rPr>
            </w:pPr>
            <w:r>
              <w:rPr>
                <w:rFonts w:ascii="Arial" w:cs="Arial" w:eastAsia="Arial" w:hAnsi="Arial"/>
                <w:sz w:val="12"/>
                <w:szCs w:val="12"/>
                <w:color w:val="auto"/>
              </w:rPr>
              <w:t>LEVEL 2</w:t>
            </w:r>
          </w:p>
        </w:tc>
        <w:tc>
          <w:tcPr>
            <w:tcW w:w="180" w:type="dxa"/>
            <w:vAlign w:val="bottom"/>
            <w:shd w:val="clear" w:color="auto" w:fill="F0F5F1"/>
          </w:tcPr>
          <w:p>
            <w:pPr>
              <w:spacing w:after="0"/>
              <w:rPr>
                <w:sz w:val="12"/>
                <w:szCs w:val="12"/>
                <w:color w:val="auto"/>
              </w:rPr>
            </w:pPr>
          </w:p>
        </w:tc>
        <w:tc>
          <w:tcPr>
            <w:tcW w:w="22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200" w:type="dxa"/>
            <w:vAlign w:val="bottom"/>
            <w:gridSpan w:val="2"/>
            <w:shd w:val="clear" w:color="auto" w:fill="F0F5F1"/>
          </w:tcPr>
          <w:p>
            <w:pPr>
              <w:jc w:val="center"/>
              <w:ind w:right="220"/>
              <w:spacing w:after="0"/>
              <w:rPr>
                <w:sz w:val="20"/>
                <w:szCs w:val="20"/>
                <w:color w:val="auto"/>
              </w:rPr>
            </w:pPr>
            <w:r>
              <w:rPr>
                <w:rFonts w:ascii="Arial" w:cs="Arial" w:eastAsia="Arial" w:hAnsi="Arial"/>
                <w:sz w:val="12"/>
                <w:szCs w:val="12"/>
                <w:color w:val="auto"/>
                <w:w w:val="97"/>
              </w:rPr>
              <w:t>LEVEL 3</w:t>
            </w:r>
          </w:p>
        </w:tc>
        <w:tc>
          <w:tcPr>
            <w:tcW w:w="0" w:type="dxa"/>
            <w:vAlign w:val="bottom"/>
          </w:tcPr>
          <w:p>
            <w:pPr>
              <w:spacing w:after="0"/>
              <w:rPr>
                <w:sz w:val="1"/>
                <w:szCs w:val="1"/>
                <w:color w:val="auto"/>
              </w:rPr>
            </w:pPr>
          </w:p>
        </w:tc>
      </w:tr>
      <w:tr>
        <w:trPr>
          <w:trHeight w:val="126"/>
        </w:trPr>
        <w:tc>
          <w:tcPr>
            <w:tcW w:w="540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80" w:type="dxa"/>
            <w:vAlign w:val="bottom"/>
            <w:shd w:val="clear" w:color="auto" w:fill="F0F5F1"/>
          </w:tcPr>
          <w:p>
            <w:pPr>
              <w:spacing w:after="0"/>
              <w:rPr>
                <w:sz w:val="10"/>
                <w:szCs w:val="10"/>
                <w:color w:val="auto"/>
              </w:rPr>
            </w:pPr>
          </w:p>
        </w:tc>
        <w:tc>
          <w:tcPr>
            <w:tcW w:w="116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14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060" w:type="dxa"/>
            <w:vAlign w:val="bottom"/>
            <w:shd w:val="clear" w:color="auto" w:fill="F0F5F1"/>
          </w:tcPr>
          <w:p>
            <w:pPr>
              <w:jc w:val="center"/>
              <w:ind w:left="120"/>
              <w:spacing w:after="0" w:line="126" w:lineRule="exact"/>
              <w:rPr>
                <w:sz w:val="20"/>
                <w:szCs w:val="20"/>
                <w:color w:val="auto"/>
              </w:rPr>
            </w:pPr>
            <w:r>
              <w:rPr>
                <w:rFonts w:ascii="Arial" w:cs="Arial" w:eastAsia="Arial" w:hAnsi="Arial"/>
                <w:sz w:val="12"/>
                <w:szCs w:val="12"/>
                <w:color w:val="auto"/>
                <w:w w:val="99"/>
              </w:rPr>
              <w:t>SIGNIFICANT</w:t>
            </w:r>
          </w:p>
        </w:tc>
        <w:tc>
          <w:tcPr>
            <w:tcW w:w="180" w:type="dxa"/>
            <w:vAlign w:val="bottom"/>
            <w:shd w:val="clear" w:color="auto" w:fill="F0F5F1"/>
          </w:tcPr>
          <w:p>
            <w:pPr>
              <w:spacing w:after="0"/>
              <w:rPr>
                <w:sz w:val="10"/>
                <w:szCs w:val="10"/>
                <w:color w:val="auto"/>
              </w:rPr>
            </w:pPr>
          </w:p>
        </w:tc>
        <w:tc>
          <w:tcPr>
            <w:tcW w:w="22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200" w:type="dxa"/>
            <w:vAlign w:val="bottom"/>
            <w:gridSpan w:val="2"/>
            <w:shd w:val="clear" w:color="auto" w:fill="F0F5F1"/>
          </w:tcPr>
          <w:p>
            <w:pPr>
              <w:jc w:val="center"/>
              <w:ind w:right="220"/>
              <w:spacing w:after="0" w:line="126" w:lineRule="exact"/>
              <w:rPr>
                <w:sz w:val="20"/>
                <w:szCs w:val="20"/>
                <w:color w:val="auto"/>
              </w:rPr>
            </w:pPr>
            <w:r>
              <w:rPr>
                <w:rFonts w:ascii="Arial" w:cs="Arial" w:eastAsia="Arial" w:hAnsi="Arial"/>
                <w:sz w:val="12"/>
                <w:szCs w:val="12"/>
                <w:color w:val="auto"/>
                <w:w w:val="97"/>
              </w:rPr>
              <w:t>SIGNIFICANT</w:t>
            </w:r>
          </w:p>
        </w:tc>
        <w:tc>
          <w:tcPr>
            <w:tcW w:w="0" w:type="dxa"/>
            <w:vAlign w:val="bottom"/>
          </w:tcPr>
          <w:p>
            <w:pPr>
              <w:spacing w:after="0"/>
              <w:rPr>
                <w:sz w:val="1"/>
                <w:szCs w:val="1"/>
                <w:color w:val="auto"/>
              </w:rPr>
            </w:pPr>
          </w:p>
        </w:tc>
      </w:tr>
      <w:tr>
        <w:trPr>
          <w:trHeight w:val="126"/>
        </w:trPr>
        <w:tc>
          <w:tcPr>
            <w:tcW w:w="540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80" w:type="dxa"/>
            <w:vAlign w:val="bottom"/>
            <w:shd w:val="clear" w:color="auto" w:fill="F0F5F1"/>
          </w:tcPr>
          <w:p>
            <w:pPr>
              <w:spacing w:after="0"/>
              <w:rPr>
                <w:sz w:val="10"/>
                <w:szCs w:val="10"/>
                <w:color w:val="auto"/>
              </w:rPr>
            </w:pPr>
          </w:p>
        </w:tc>
        <w:tc>
          <w:tcPr>
            <w:tcW w:w="1280" w:type="dxa"/>
            <w:vAlign w:val="bottom"/>
            <w:gridSpan w:val="2"/>
            <w:shd w:val="clear" w:color="auto" w:fill="F0F5F1"/>
          </w:tcPr>
          <w:p>
            <w:pPr>
              <w:jc w:val="right"/>
              <w:ind w:right="381"/>
              <w:spacing w:after="0" w:line="126" w:lineRule="exact"/>
              <w:rPr>
                <w:sz w:val="20"/>
                <w:szCs w:val="20"/>
                <w:color w:val="auto"/>
              </w:rPr>
            </w:pPr>
            <w:r>
              <w:rPr>
                <w:rFonts w:ascii="Arial" w:cs="Arial" w:eastAsia="Arial" w:hAnsi="Arial"/>
                <w:sz w:val="12"/>
                <w:szCs w:val="12"/>
                <w:color w:val="auto"/>
              </w:rPr>
              <w:t>TOTAL FAIR</w:t>
            </w:r>
          </w:p>
        </w:tc>
        <w:tc>
          <w:tcPr>
            <w:tcW w:w="10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240" w:type="dxa"/>
            <w:vAlign w:val="bottom"/>
            <w:gridSpan w:val="2"/>
            <w:shd w:val="clear" w:color="auto" w:fill="F0F5F1"/>
          </w:tcPr>
          <w:p>
            <w:pPr>
              <w:jc w:val="right"/>
              <w:ind w:right="461"/>
              <w:spacing w:after="0" w:line="126" w:lineRule="exact"/>
              <w:rPr>
                <w:sz w:val="20"/>
                <w:szCs w:val="20"/>
                <w:color w:val="auto"/>
              </w:rPr>
            </w:pPr>
            <w:r>
              <w:rPr>
                <w:rFonts w:ascii="Arial" w:cs="Arial" w:eastAsia="Arial" w:hAnsi="Arial"/>
                <w:sz w:val="12"/>
                <w:szCs w:val="12"/>
                <w:color w:val="auto"/>
              </w:rPr>
              <w:t>LEVEL 1</w:t>
            </w:r>
          </w:p>
        </w:tc>
        <w:tc>
          <w:tcPr>
            <w:tcW w:w="120" w:type="dxa"/>
            <w:vAlign w:val="bottom"/>
            <w:shd w:val="clear" w:color="auto" w:fill="F0F5F1"/>
          </w:tcPr>
          <w:p>
            <w:pPr>
              <w:spacing w:after="0"/>
              <w:rPr>
                <w:sz w:val="10"/>
                <w:szCs w:val="10"/>
                <w:color w:val="auto"/>
              </w:rPr>
            </w:pPr>
          </w:p>
        </w:tc>
        <w:tc>
          <w:tcPr>
            <w:tcW w:w="1060" w:type="dxa"/>
            <w:vAlign w:val="bottom"/>
            <w:shd w:val="clear" w:color="auto" w:fill="F0F5F1"/>
          </w:tcPr>
          <w:p>
            <w:pPr>
              <w:jc w:val="center"/>
              <w:ind w:left="120"/>
              <w:spacing w:after="0" w:line="126" w:lineRule="exact"/>
              <w:rPr>
                <w:sz w:val="20"/>
                <w:szCs w:val="20"/>
                <w:color w:val="auto"/>
              </w:rPr>
            </w:pPr>
            <w:r>
              <w:rPr>
                <w:rFonts w:ascii="Arial" w:cs="Arial" w:eastAsia="Arial" w:hAnsi="Arial"/>
                <w:sz w:val="12"/>
                <w:szCs w:val="12"/>
                <w:color w:val="auto"/>
                <w:w w:val="94"/>
              </w:rPr>
              <w:t>OBSERVABLE</w:t>
            </w:r>
          </w:p>
        </w:tc>
        <w:tc>
          <w:tcPr>
            <w:tcW w:w="180" w:type="dxa"/>
            <w:vAlign w:val="bottom"/>
            <w:shd w:val="clear" w:color="auto" w:fill="F0F5F1"/>
          </w:tcPr>
          <w:p>
            <w:pPr>
              <w:spacing w:after="0"/>
              <w:rPr>
                <w:sz w:val="10"/>
                <w:szCs w:val="10"/>
                <w:color w:val="auto"/>
              </w:rPr>
            </w:pPr>
          </w:p>
        </w:tc>
        <w:tc>
          <w:tcPr>
            <w:tcW w:w="22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200" w:type="dxa"/>
            <w:vAlign w:val="bottom"/>
            <w:gridSpan w:val="2"/>
            <w:shd w:val="clear" w:color="auto" w:fill="F0F5F1"/>
          </w:tcPr>
          <w:p>
            <w:pPr>
              <w:jc w:val="center"/>
              <w:ind w:right="200"/>
              <w:spacing w:after="0" w:line="126" w:lineRule="exact"/>
              <w:rPr>
                <w:sz w:val="20"/>
                <w:szCs w:val="20"/>
                <w:color w:val="auto"/>
              </w:rPr>
            </w:pPr>
            <w:r>
              <w:rPr>
                <w:rFonts w:ascii="Arial" w:cs="Arial" w:eastAsia="Arial" w:hAnsi="Arial"/>
                <w:sz w:val="12"/>
                <w:szCs w:val="12"/>
                <w:color w:val="auto"/>
                <w:w w:val="97"/>
              </w:rPr>
              <w:t>UNOBSERVABLE</w:t>
            </w:r>
          </w:p>
        </w:tc>
        <w:tc>
          <w:tcPr>
            <w:tcW w:w="0" w:type="dxa"/>
            <w:vAlign w:val="bottom"/>
          </w:tcPr>
          <w:p>
            <w:pPr>
              <w:spacing w:after="0"/>
              <w:rPr>
                <w:sz w:val="1"/>
                <w:szCs w:val="1"/>
                <w:color w:val="auto"/>
              </w:rPr>
            </w:pPr>
          </w:p>
        </w:tc>
      </w:tr>
      <w:tr>
        <w:trPr>
          <w:trHeight w:val="141"/>
        </w:trPr>
        <w:tc>
          <w:tcPr>
            <w:tcW w:w="5400" w:type="dxa"/>
            <w:vAlign w:val="bottom"/>
            <w:tcBorders>
              <w:bottom w:val="single" w:sz="8" w:color="auto"/>
            </w:tcBorders>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spacing w:after="0"/>
              <w:rPr>
                <w:sz w:val="12"/>
                <w:szCs w:val="12"/>
                <w:color w:val="auto"/>
              </w:rPr>
            </w:pPr>
          </w:p>
        </w:tc>
        <w:tc>
          <w:tcPr>
            <w:tcW w:w="80" w:type="dxa"/>
            <w:vAlign w:val="bottom"/>
            <w:tcBorders>
              <w:bottom w:val="single" w:sz="8" w:color="auto"/>
            </w:tcBorders>
            <w:shd w:val="clear" w:color="auto" w:fill="F0F5F1"/>
          </w:tcPr>
          <w:p>
            <w:pPr>
              <w:spacing w:after="0"/>
              <w:rPr>
                <w:sz w:val="12"/>
                <w:szCs w:val="12"/>
                <w:color w:val="auto"/>
              </w:rPr>
            </w:pPr>
          </w:p>
        </w:tc>
        <w:tc>
          <w:tcPr>
            <w:tcW w:w="1280" w:type="dxa"/>
            <w:vAlign w:val="bottom"/>
            <w:tcBorders>
              <w:bottom w:val="single" w:sz="8" w:color="auto"/>
            </w:tcBorders>
            <w:gridSpan w:val="2"/>
            <w:shd w:val="clear" w:color="auto" w:fill="F0F5F1"/>
          </w:tcPr>
          <w:p>
            <w:pPr>
              <w:jc w:val="right"/>
              <w:ind w:right="181"/>
              <w:spacing w:after="0"/>
              <w:rPr>
                <w:sz w:val="20"/>
                <w:szCs w:val="20"/>
                <w:color w:val="auto"/>
              </w:rPr>
            </w:pPr>
            <w:r>
              <w:rPr>
                <w:rFonts w:ascii="Arial" w:cs="Arial" w:eastAsia="Arial" w:hAnsi="Arial"/>
                <w:sz w:val="12"/>
                <w:szCs w:val="12"/>
                <w:color w:val="auto"/>
                <w:w w:val="95"/>
              </w:rPr>
              <w:t>VALUE AT 12-31-25</w:t>
            </w:r>
          </w:p>
        </w:tc>
        <w:tc>
          <w:tcPr>
            <w:tcW w:w="100" w:type="dxa"/>
            <w:vAlign w:val="bottom"/>
            <w:tcBorders>
              <w:bottom w:val="single" w:sz="8" w:color="auto"/>
            </w:tcBorders>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spacing w:after="0"/>
              <w:rPr>
                <w:sz w:val="12"/>
                <w:szCs w:val="12"/>
                <w:color w:val="auto"/>
              </w:rPr>
            </w:pPr>
          </w:p>
        </w:tc>
        <w:tc>
          <w:tcPr>
            <w:tcW w:w="1240" w:type="dxa"/>
            <w:vAlign w:val="bottom"/>
            <w:tcBorders>
              <w:bottom w:val="single" w:sz="8" w:color="auto"/>
            </w:tcBorders>
            <w:gridSpan w:val="2"/>
            <w:shd w:val="clear" w:color="auto" w:fill="F0F5F1"/>
          </w:tcPr>
          <w:p>
            <w:pPr>
              <w:jc w:val="right"/>
              <w:ind w:right="241"/>
              <w:spacing w:after="0"/>
              <w:rPr>
                <w:sz w:val="20"/>
                <w:szCs w:val="20"/>
                <w:color w:val="auto"/>
              </w:rPr>
            </w:pPr>
            <w:r>
              <w:rPr>
                <w:rFonts w:ascii="Arial" w:cs="Arial" w:eastAsia="Arial" w:hAnsi="Arial"/>
                <w:sz w:val="12"/>
                <w:szCs w:val="12"/>
                <w:color w:val="auto"/>
              </w:rPr>
              <w:t>QUOTED PRICE</w:t>
            </w:r>
          </w:p>
        </w:tc>
        <w:tc>
          <w:tcPr>
            <w:tcW w:w="120" w:type="dxa"/>
            <w:vAlign w:val="bottom"/>
            <w:tcBorders>
              <w:bottom w:val="single" w:sz="8" w:color="auto"/>
            </w:tcBorders>
            <w:shd w:val="clear" w:color="auto" w:fill="F0F5F1"/>
          </w:tcPr>
          <w:p>
            <w:pPr>
              <w:spacing w:after="0"/>
              <w:rPr>
                <w:sz w:val="12"/>
                <w:szCs w:val="12"/>
                <w:color w:val="auto"/>
              </w:rPr>
            </w:pPr>
          </w:p>
        </w:tc>
        <w:tc>
          <w:tcPr>
            <w:tcW w:w="1060" w:type="dxa"/>
            <w:vAlign w:val="bottom"/>
            <w:tcBorders>
              <w:bottom w:val="single" w:sz="8" w:color="auto"/>
            </w:tcBorders>
            <w:shd w:val="clear" w:color="auto" w:fill="F0F5F1"/>
          </w:tcPr>
          <w:p>
            <w:pPr>
              <w:jc w:val="center"/>
              <w:ind w:left="120"/>
              <w:spacing w:after="0"/>
              <w:rPr>
                <w:sz w:val="20"/>
                <w:szCs w:val="20"/>
                <w:color w:val="auto"/>
              </w:rPr>
            </w:pPr>
            <w:r>
              <w:rPr>
                <w:rFonts w:ascii="Arial" w:cs="Arial" w:eastAsia="Arial" w:hAnsi="Arial"/>
                <w:sz w:val="12"/>
                <w:szCs w:val="12"/>
                <w:color w:val="auto"/>
                <w:w w:val="99"/>
              </w:rPr>
              <w:t>INPUTS</w:t>
            </w:r>
          </w:p>
        </w:tc>
        <w:tc>
          <w:tcPr>
            <w:tcW w:w="180" w:type="dxa"/>
            <w:vAlign w:val="bottom"/>
            <w:tcBorders>
              <w:bottom w:val="single" w:sz="8" w:color="auto"/>
            </w:tcBorders>
            <w:shd w:val="clear" w:color="auto" w:fill="F0F5F1"/>
          </w:tcPr>
          <w:p>
            <w:pPr>
              <w:spacing w:after="0"/>
              <w:rPr>
                <w:sz w:val="12"/>
                <w:szCs w:val="12"/>
                <w:color w:val="auto"/>
              </w:rPr>
            </w:pPr>
          </w:p>
        </w:tc>
        <w:tc>
          <w:tcPr>
            <w:tcW w:w="220" w:type="dxa"/>
            <w:vAlign w:val="bottom"/>
            <w:tcBorders>
              <w:bottom w:val="single" w:sz="8" w:color="auto"/>
            </w:tcBorders>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spacing w:after="0"/>
              <w:rPr>
                <w:sz w:val="12"/>
                <w:szCs w:val="12"/>
                <w:color w:val="auto"/>
              </w:rPr>
            </w:pPr>
          </w:p>
        </w:tc>
        <w:tc>
          <w:tcPr>
            <w:tcW w:w="1200" w:type="dxa"/>
            <w:vAlign w:val="bottom"/>
            <w:tcBorders>
              <w:bottom w:val="single" w:sz="8" w:color="auto"/>
            </w:tcBorders>
            <w:gridSpan w:val="2"/>
            <w:shd w:val="clear" w:color="auto" w:fill="F0F5F1"/>
          </w:tcPr>
          <w:p>
            <w:pPr>
              <w:jc w:val="center"/>
              <w:ind w:right="200"/>
              <w:spacing w:after="0"/>
              <w:rPr>
                <w:sz w:val="20"/>
                <w:szCs w:val="20"/>
                <w:color w:val="auto"/>
              </w:rPr>
            </w:pPr>
            <w:r>
              <w:rPr>
                <w:rFonts w:ascii="Arial" w:cs="Arial" w:eastAsia="Arial" w:hAnsi="Arial"/>
                <w:sz w:val="12"/>
                <w:szCs w:val="12"/>
                <w:color w:val="auto"/>
                <w:w w:val="99"/>
              </w:rPr>
              <w:t>INPUTS</w:t>
            </w:r>
          </w:p>
        </w:tc>
        <w:tc>
          <w:tcPr>
            <w:tcW w:w="0" w:type="dxa"/>
            <w:vAlign w:val="bottom"/>
          </w:tcPr>
          <w:p>
            <w:pPr>
              <w:spacing w:after="0"/>
              <w:rPr>
                <w:sz w:val="1"/>
                <w:szCs w:val="1"/>
                <w:color w:val="auto"/>
              </w:rPr>
            </w:pPr>
          </w:p>
        </w:tc>
      </w:tr>
      <w:tr>
        <w:trPr>
          <w:trHeight w:val="274"/>
        </w:trPr>
        <w:tc>
          <w:tcPr>
            <w:tcW w:w="5400" w:type="dxa"/>
            <w:vAlign w:val="bottom"/>
            <w:tcBorders>
              <w:bottom w:val="single" w:sz="8" w:color="F0F5F1"/>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Liabilities</w:t>
            </w:r>
          </w:p>
        </w:tc>
        <w:tc>
          <w:tcPr>
            <w:tcW w:w="120" w:type="dxa"/>
            <w:vAlign w:val="bottom"/>
            <w:tcBorders>
              <w:bottom w:val="single" w:sz="8" w:color="F0F5F1"/>
            </w:tcBorders>
            <w:shd w:val="clear" w:color="auto" w:fill="F0F5F1"/>
          </w:tcPr>
          <w:p>
            <w:pPr>
              <w:spacing w:after="0"/>
              <w:rPr>
                <w:sz w:val="23"/>
                <w:szCs w:val="23"/>
                <w:color w:val="auto"/>
              </w:rPr>
            </w:pPr>
          </w:p>
        </w:tc>
        <w:tc>
          <w:tcPr>
            <w:tcW w:w="80" w:type="dxa"/>
            <w:vAlign w:val="bottom"/>
            <w:tcBorders>
              <w:bottom w:val="single" w:sz="8" w:color="F0F5F1"/>
            </w:tcBorders>
            <w:shd w:val="clear" w:color="auto" w:fill="F0F5F1"/>
          </w:tcPr>
          <w:p>
            <w:pPr>
              <w:spacing w:after="0"/>
              <w:rPr>
                <w:sz w:val="23"/>
                <w:szCs w:val="23"/>
                <w:color w:val="auto"/>
              </w:rPr>
            </w:pPr>
          </w:p>
        </w:tc>
        <w:tc>
          <w:tcPr>
            <w:tcW w:w="1160" w:type="dxa"/>
            <w:vAlign w:val="bottom"/>
            <w:tcBorders>
              <w:bottom w:val="single" w:sz="8" w:color="F0F5F1"/>
            </w:tcBorders>
            <w:shd w:val="clear" w:color="auto" w:fill="F0F5F1"/>
          </w:tcPr>
          <w:p>
            <w:pPr>
              <w:spacing w:after="0"/>
              <w:rPr>
                <w:sz w:val="23"/>
                <w:szCs w:val="23"/>
                <w:color w:val="auto"/>
              </w:rPr>
            </w:pPr>
          </w:p>
        </w:tc>
        <w:tc>
          <w:tcPr>
            <w:tcW w:w="120" w:type="dxa"/>
            <w:vAlign w:val="bottom"/>
            <w:tcBorders>
              <w:bottom w:val="single" w:sz="8" w:color="F0F5F1"/>
            </w:tcBorders>
            <w:shd w:val="clear" w:color="auto" w:fill="F0F5F1"/>
          </w:tcPr>
          <w:p>
            <w:pPr>
              <w:spacing w:after="0"/>
              <w:rPr>
                <w:sz w:val="23"/>
                <w:szCs w:val="23"/>
                <w:color w:val="auto"/>
              </w:rPr>
            </w:pPr>
          </w:p>
        </w:tc>
        <w:tc>
          <w:tcPr>
            <w:tcW w:w="100" w:type="dxa"/>
            <w:vAlign w:val="bottom"/>
            <w:tcBorders>
              <w:bottom w:val="single" w:sz="8" w:color="F0F5F1"/>
            </w:tcBorders>
            <w:shd w:val="clear" w:color="auto" w:fill="F0F5F1"/>
          </w:tcPr>
          <w:p>
            <w:pPr>
              <w:spacing w:after="0"/>
              <w:rPr>
                <w:sz w:val="23"/>
                <w:szCs w:val="23"/>
                <w:color w:val="auto"/>
              </w:rPr>
            </w:pPr>
          </w:p>
        </w:tc>
        <w:tc>
          <w:tcPr>
            <w:tcW w:w="120" w:type="dxa"/>
            <w:vAlign w:val="bottom"/>
            <w:tcBorders>
              <w:bottom w:val="single" w:sz="8" w:color="F0F5F1"/>
            </w:tcBorders>
            <w:shd w:val="clear" w:color="auto" w:fill="F0F5F1"/>
          </w:tcPr>
          <w:p>
            <w:pPr>
              <w:spacing w:after="0"/>
              <w:rPr>
                <w:sz w:val="23"/>
                <w:szCs w:val="23"/>
                <w:color w:val="auto"/>
              </w:rPr>
            </w:pPr>
          </w:p>
        </w:tc>
        <w:tc>
          <w:tcPr>
            <w:tcW w:w="1140" w:type="dxa"/>
            <w:vAlign w:val="bottom"/>
            <w:tcBorders>
              <w:bottom w:val="single" w:sz="8" w:color="F0F5F1"/>
            </w:tcBorders>
            <w:shd w:val="clear" w:color="auto" w:fill="F0F5F1"/>
          </w:tcPr>
          <w:p>
            <w:pPr>
              <w:spacing w:after="0"/>
              <w:rPr>
                <w:sz w:val="23"/>
                <w:szCs w:val="23"/>
                <w:color w:val="auto"/>
              </w:rPr>
            </w:pPr>
          </w:p>
        </w:tc>
        <w:tc>
          <w:tcPr>
            <w:tcW w:w="100" w:type="dxa"/>
            <w:vAlign w:val="bottom"/>
            <w:tcBorders>
              <w:bottom w:val="single" w:sz="8" w:color="F0F5F1"/>
            </w:tcBorders>
            <w:shd w:val="clear" w:color="auto" w:fill="F0F5F1"/>
          </w:tcPr>
          <w:p>
            <w:pPr>
              <w:spacing w:after="0"/>
              <w:rPr>
                <w:sz w:val="23"/>
                <w:szCs w:val="23"/>
                <w:color w:val="auto"/>
              </w:rPr>
            </w:pPr>
          </w:p>
        </w:tc>
        <w:tc>
          <w:tcPr>
            <w:tcW w:w="120" w:type="dxa"/>
            <w:vAlign w:val="bottom"/>
            <w:tcBorders>
              <w:bottom w:val="single" w:sz="8" w:color="F0F5F1"/>
            </w:tcBorders>
            <w:shd w:val="clear" w:color="auto" w:fill="F0F5F1"/>
          </w:tcPr>
          <w:p>
            <w:pPr>
              <w:spacing w:after="0"/>
              <w:rPr>
                <w:sz w:val="23"/>
                <w:szCs w:val="23"/>
                <w:color w:val="auto"/>
              </w:rPr>
            </w:pPr>
          </w:p>
        </w:tc>
        <w:tc>
          <w:tcPr>
            <w:tcW w:w="1060" w:type="dxa"/>
            <w:vAlign w:val="bottom"/>
            <w:tcBorders>
              <w:bottom w:val="single" w:sz="8" w:color="F0F5F1"/>
            </w:tcBorders>
            <w:shd w:val="clear" w:color="auto" w:fill="F0F5F1"/>
          </w:tcPr>
          <w:p>
            <w:pPr>
              <w:spacing w:after="0"/>
              <w:rPr>
                <w:sz w:val="23"/>
                <w:szCs w:val="23"/>
                <w:color w:val="auto"/>
              </w:rPr>
            </w:pPr>
          </w:p>
        </w:tc>
        <w:tc>
          <w:tcPr>
            <w:tcW w:w="180" w:type="dxa"/>
            <w:vAlign w:val="bottom"/>
            <w:tcBorders>
              <w:bottom w:val="single" w:sz="8" w:color="F0F5F1"/>
            </w:tcBorders>
            <w:shd w:val="clear" w:color="auto" w:fill="F0F5F1"/>
          </w:tcPr>
          <w:p>
            <w:pPr>
              <w:spacing w:after="0"/>
              <w:rPr>
                <w:sz w:val="23"/>
                <w:szCs w:val="23"/>
                <w:color w:val="auto"/>
              </w:rPr>
            </w:pPr>
          </w:p>
        </w:tc>
        <w:tc>
          <w:tcPr>
            <w:tcW w:w="220" w:type="dxa"/>
            <w:vAlign w:val="bottom"/>
            <w:tcBorders>
              <w:bottom w:val="single" w:sz="8" w:color="F0F5F1"/>
            </w:tcBorders>
            <w:shd w:val="clear" w:color="auto" w:fill="F0F5F1"/>
          </w:tcPr>
          <w:p>
            <w:pPr>
              <w:spacing w:after="0"/>
              <w:rPr>
                <w:sz w:val="23"/>
                <w:szCs w:val="23"/>
                <w:color w:val="auto"/>
              </w:rPr>
            </w:pPr>
          </w:p>
        </w:tc>
        <w:tc>
          <w:tcPr>
            <w:tcW w:w="120" w:type="dxa"/>
            <w:vAlign w:val="bottom"/>
            <w:tcBorders>
              <w:bottom w:val="single" w:sz="8" w:color="F0F5F1"/>
            </w:tcBorders>
            <w:shd w:val="clear" w:color="auto" w:fill="F0F5F1"/>
          </w:tcPr>
          <w:p>
            <w:pPr>
              <w:spacing w:after="0"/>
              <w:rPr>
                <w:sz w:val="23"/>
                <w:szCs w:val="23"/>
                <w:color w:val="auto"/>
              </w:rPr>
            </w:pPr>
          </w:p>
        </w:tc>
        <w:tc>
          <w:tcPr>
            <w:tcW w:w="1100" w:type="dxa"/>
            <w:vAlign w:val="bottom"/>
            <w:tcBorders>
              <w:bottom w:val="single" w:sz="8" w:color="F0F5F1"/>
            </w:tcBorders>
            <w:shd w:val="clear" w:color="auto" w:fill="F0F5F1"/>
          </w:tcPr>
          <w:p>
            <w:pPr>
              <w:spacing w:after="0"/>
              <w:rPr>
                <w:sz w:val="23"/>
                <w:szCs w:val="23"/>
                <w:color w:val="auto"/>
              </w:rPr>
            </w:pPr>
          </w:p>
        </w:tc>
        <w:tc>
          <w:tcPr>
            <w:tcW w:w="100" w:type="dxa"/>
            <w:vAlign w:val="bottom"/>
            <w:tcBorders>
              <w:bottom w:val="single" w:sz="8" w:color="F0F5F1"/>
            </w:tcBorders>
            <w:shd w:val="clear" w:color="auto" w:fill="F0F5F1"/>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400" w:type="dxa"/>
            <w:vAlign w:val="bottom"/>
            <w:tcBorders>
              <w:top w:val="single" w:sz="8" w:color="auto"/>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Derivatives:</w:t>
            </w:r>
          </w:p>
        </w:tc>
        <w:tc>
          <w:tcPr>
            <w:tcW w:w="120" w:type="dxa"/>
            <w:vAlign w:val="bottom"/>
            <w:tcBorders>
              <w:top w:val="single" w:sz="8" w:color="F0F5F1"/>
            </w:tcBorders>
            <w:shd w:val="clear" w:color="auto" w:fill="F0F5F1"/>
          </w:tcPr>
          <w:p>
            <w:pPr>
              <w:spacing w:after="0"/>
              <w:rPr>
                <w:sz w:val="24"/>
                <w:szCs w:val="24"/>
                <w:color w:val="auto"/>
              </w:rPr>
            </w:pPr>
          </w:p>
        </w:tc>
        <w:tc>
          <w:tcPr>
            <w:tcW w:w="80" w:type="dxa"/>
            <w:vAlign w:val="bottom"/>
            <w:tcBorders>
              <w:top w:val="single" w:sz="8" w:color="F0F5F1"/>
            </w:tcBorders>
            <w:shd w:val="clear" w:color="auto" w:fill="F0F5F1"/>
          </w:tcPr>
          <w:p>
            <w:pPr>
              <w:spacing w:after="0"/>
              <w:rPr>
                <w:sz w:val="24"/>
                <w:szCs w:val="24"/>
                <w:color w:val="auto"/>
              </w:rPr>
            </w:pPr>
          </w:p>
        </w:tc>
        <w:tc>
          <w:tcPr>
            <w:tcW w:w="1160" w:type="dxa"/>
            <w:vAlign w:val="bottom"/>
            <w:tcBorders>
              <w:top w:val="single" w:sz="8" w:color="F0F5F1"/>
            </w:tcBorders>
            <w:shd w:val="clear" w:color="auto" w:fill="F0F5F1"/>
          </w:tcPr>
          <w:p>
            <w:pPr>
              <w:spacing w:after="0"/>
              <w:rPr>
                <w:sz w:val="24"/>
                <w:szCs w:val="24"/>
                <w:color w:val="auto"/>
              </w:rPr>
            </w:pPr>
          </w:p>
        </w:tc>
        <w:tc>
          <w:tcPr>
            <w:tcW w:w="120" w:type="dxa"/>
            <w:vAlign w:val="bottom"/>
            <w:tcBorders>
              <w:top w:val="single" w:sz="8" w:color="F0F5F1"/>
            </w:tcBorders>
            <w:shd w:val="clear" w:color="auto" w:fill="F0F5F1"/>
          </w:tcPr>
          <w:p>
            <w:pPr>
              <w:spacing w:after="0"/>
              <w:rPr>
                <w:sz w:val="24"/>
                <w:szCs w:val="24"/>
                <w:color w:val="auto"/>
              </w:rPr>
            </w:pPr>
          </w:p>
        </w:tc>
        <w:tc>
          <w:tcPr>
            <w:tcW w:w="100" w:type="dxa"/>
            <w:vAlign w:val="bottom"/>
            <w:tcBorders>
              <w:top w:val="single" w:sz="8" w:color="F0F5F1"/>
            </w:tcBorders>
            <w:shd w:val="clear" w:color="auto" w:fill="F0F5F1"/>
          </w:tcPr>
          <w:p>
            <w:pPr>
              <w:spacing w:after="0"/>
              <w:rPr>
                <w:sz w:val="24"/>
                <w:szCs w:val="24"/>
                <w:color w:val="auto"/>
              </w:rPr>
            </w:pPr>
          </w:p>
        </w:tc>
        <w:tc>
          <w:tcPr>
            <w:tcW w:w="120" w:type="dxa"/>
            <w:vAlign w:val="bottom"/>
            <w:tcBorders>
              <w:top w:val="single" w:sz="8" w:color="F0F5F1"/>
            </w:tcBorders>
            <w:shd w:val="clear" w:color="auto" w:fill="F0F5F1"/>
          </w:tcPr>
          <w:p>
            <w:pPr>
              <w:spacing w:after="0"/>
              <w:rPr>
                <w:sz w:val="24"/>
                <w:szCs w:val="24"/>
                <w:color w:val="auto"/>
              </w:rPr>
            </w:pPr>
          </w:p>
        </w:tc>
        <w:tc>
          <w:tcPr>
            <w:tcW w:w="1140" w:type="dxa"/>
            <w:vAlign w:val="bottom"/>
            <w:tcBorders>
              <w:top w:val="single" w:sz="8" w:color="F0F5F1"/>
            </w:tcBorders>
            <w:shd w:val="clear" w:color="auto" w:fill="F0F5F1"/>
          </w:tcPr>
          <w:p>
            <w:pPr>
              <w:spacing w:after="0"/>
              <w:rPr>
                <w:sz w:val="24"/>
                <w:szCs w:val="24"/>
                <w:color w:val="auto"/>
              </w:rPr>
            </w:pPr>
          </w:p>
        </w:tc>
        <w:tc>
          <w:tcPr>
            <w:tcW w:w="100" w:type="dxa"/>
            <w:vAlign w:val="bottom"/>
            <w:tcBorders>
              <w:top w:val="single" w:sz="8" w:color="F0F5F1"/>
            </w:tcBorders>
            <w:shd w:val="clear" w:color="auto" w:fill="F0F5F1"/>
          </w:tcPr>
          <w:p>
            <w:pPr>
              <w:spacing w:after="0"/>
              <w:rPr>
                <w:sz w:val="24"/>
                <w:szCs w:val="24"/>
                <w:color w:val="auto"/>
              </w:rPr>
            </w:pPr>
          </w:p>
        </w:tc>
        <w:tc>
          <w:tcPr>
            <w:tcW w:w="120" w:type="dxa"/>
            <w:vAlign w:val="bottom"/>
            <w:tcBorders>
              <w:top w:val="single" w:sz="8" w:color="F0F5F1"/>
            </w:tcBorders>
            <w:shd w:val="clear" w:color="auto" w:fill="F0F5F1"/>
          </w:tcPr>
          <w:p>
            <w:pPr>
              <w:spacing w:after="0"/>
              <w:rPr>
                <w:sz w:val="24"/>
                <w:szCs w:val="24"/>
                <w:color w:val="auto"/>
              </w:rPr>
            </w:pPr>
          </w:p>
        </w:tc>
        <w:tc>
          <w:tcPr>
            <w:tcW w:w="1060" w:type="dxa"/>
            <w:vAlign w:val="bottom"/>
            <w:tcBorders>
              <w:top w:val="single" w:sz="8" w:color="F0F5F1"/>
            </w:tcBorders>
            <w:shd w:val="clear" w:color="auto" w:fill="F0F5F1"/>
          </w:tcPr>
          <w:p>
            <w:pPr>
              <w:spacing w:after="0"/>
              <w:rPr>
                <w:sz w:val="24"/>
                <w:szCs w:val="24"/>
                <w:color w:val="auto"/>
              </w:rPr>
            </w:pPr>
          </w:p>
        </w:tc>
        <w:tc>
          <w:tcPr>
            <w:tcW w:w="180" w:type="dxa"/>
            <w:vAlign w:val="bottom"/>
            <w:tcBorders>
              <w:top w:val="single" w:sz="8" w:color="F0F5F1"/>
            </w:tcBorders>
            <w:shd w:val="clear" w:color="auto" w:fill="F0F5F1"/>
          </w:tcPr>
          <w:p>
            <w:pPr>
              <w:spacing w:after="0"/>
              <w:rPr>
                <w:sz w:val="24"/>
                <w:szCs w:val="24"/>
                <w:color w:val="auto"/>
              </w:rPr>
            </w:pPr>
          </w:p>
        </w:tc>
        <w:tc>
          <w:tcPr>
            <w:tcW w:w="220" w:type="dxa"/>
            <w:vAlign w:val="bottom"/>
            <w:tcBorders>
              <w:top w:val="single" w:sz="8" w:color="F0F5F1"/>
            </w:tcBorders>
            <w:shd w:val="clear" w:color="auto" w:fill="F0F5F1"/>
          </w:tcPr>
          <w:p>
            <w:pPr>
              <w:spacing w:after="0"/>
              <w:rPr>
                <w:sz w:val="24"/>
                <w:szCs w:val="24"/>
                <w:color w:val="auto"/>
              </w:rPr>
            </w:pPr>
          </w:p>
        </w:tc>
        <w:tc>
          <w:tcPr>
            <w:tcW w:w="120" w:type="dxa"/>
            <w:vAlign w:val="bottom"/>
            <w:tcBorders>
              <w:top w:val="single" w:sz="8" w:color="F0F5F1"/>
            </w:tcBorders>
            <w:shd w:val="clear" w:color="auto" w:fill="F0F5F1"/>
          </w:tcPr>
          <w:p>
            <w:pPr>
              <w:spacing w:after="0"/>
              <w:rPr>
                <w:sz w:val="24"/>
                <w:szCs w:val="24"/>
                <w:color w:val="auto"/>
              </w:rPr>
            </w:pPr>
          </w:p>
        </w:tc>
        <w:tc>
          <w:tcPr>
            <w:tcW w:w="1100" w:type="dxa"/>
            <w:vAlign w:val="bottom"/>
            <w:tcBorders>
              <w:top w:val="single" w:sz="8" w:color="F0F5F1"/>
            </w:tcBorders>
            <w:shd w:val="clear" w:color="auto" w:fill="F0F5F1"/>
          </w:tcPr>
          <w:p>
            <w:pPr>
              <w:spacing w:after="0"/>
              <w:rPr>
                <w:sz w:val="24"/>
                <w:szCs w:val="24"/>
                <w:color w:val="auto"/>
              </w:rPr>
            </w:pPr>
          </w:p>
        </w:tc>
        <w:tc>
          <w:tcPr>
            <w:tcW w:w="100" w:type="dxa"/>
            <w:vAlign w:val="bottom"/>
            <w:tcBorders>
              <w:top w:val="single" w:sz="8" w:color="F0F5F1"/>
            </w:tcBorders>
            <w:shd w:val="clear" w:color="auto" w:fill="F0F5F1"/>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400" w:type="dxa"/>
            <w:vAlign w:val="bottom"/>
            <w:shd w:val="clear" w:color="auto" w:fill="F0F5F1"/>
          </w:tcPr>
          <w:p>
            <w:pPr>
              <w:ind w:left="100"/>
              <w:spacing w:after="0"/>
              <w:rPr>
                <w:sz w:val="20"/>
                <w:szCs w:val="20"/>
                <w:color w:val="auto"/>
              </w:rPr>
            </w:pPr>
            <w:r>
              <w:rPr>
                <w:rFonts w:ascii="Arial" w:cs="Arial" w:eastAsia="Arial" w:hAnsi="Arial"/>
                <w:sz w:val="13"/>
                <w:szCs w:val="13"/>
                <w:b w:val="1"/>
                <w:bCs w:val="1"/>
                <w:color w:val="auto"/>
              </w:rPr>
              <w:t>Equity Risk Contracts</w:t>
            </w:r>
          </w:p>
        </w:tc>
        <w:tc>
          <w:tcPr>
            <w:tcW w:w="120" w:type="dxa"/>
            <w:vAlign w:val="bottom"/>
            <w:shd w:val="clear" w:color="auto" w:fill="F0F5F1"/>
          </w:tcPr>
          <w:p>
            <w:pPr>
              <w:spacing w:after="0"/>
              <w:rPr>
                <w:sz w:val="24"/>
                <w:szCs w:val="24"/>
                <w:color w:val="auto"/>
              </w:rPr>
            </w:pPr>
          </w:p>
        </w:tc>
        <w:tc>
          <w:tcPr>
            <w:tcW w:w="80" w:type="dxa"/>
            <w:vAlign w:val="bottom"/>
            <w:shd w:val="clear" w:color="auto" w:fill="F0F5F1"/>
          </w:tcPr>
          <w:p>
            <w:pPr>
              <w:spacing w:after="0"/>
              <w:rPr>
                <w:sz w:val="24"/>
                <w:szCs w:val="24"/>
                <w:color w:val="auto"/>
              </w:rPr>
            </w:pPr>
          </w:p>
        </w:tc>
        <w:tc>
          <w:tcPr>
            <w:tcW w:w="116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14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060" w:type="dxa"/>
            <w:vAlign w:val="bottom"/>
            <w:shd w:val="clear" w:color="auto" w:fill="F0F5F1"/>
          </w:tcPr>
          <w:p>
            <w:pPr>
              <w:spacing w:after="0"/>
              <w:rPr>
                <w:sz w:val="24"/>
                <w:szCs w:val="24"/>
                <w:color w:val="auto"/>
              </w:rPr>
            </w:pPr>
          </w:p>
        </w:tc>
        <w:tc>
          <w:tcPr>
            <w:tcW w:w="180" w:type="dxa"/>
            <w:vAlign w:val="bottom"/>
            <w:shd w:val="clear" w:color="auto" w:fill="F0F5F1"/>
          </w:tcPr>
          <w:p>
            <w:pPr>
              <w:spacing w:after="0"/>
              <w:rPr>
                <w:sz w:val="24"/>
                <w:szCs w:val="24"/>
                <w:color w:val="auto"/>
              </w:rPr>
            </w:pPr>
          </w:p>
        </w:tc>
        <w:tc>
          <w:tcPr>
            <w:tcW w:w="220" w:type="dxa"/>
            <w:vAlign w:val="bottom"/>
            <w:shd w:val="clear" w:color="auto" w:fill="F0F5F1"/>
          </w:tcPr>
          <w:p>
            <w:pPr>
              <w:spacing w:after="0"/>
              <w:rPr>
                <w:sz w:val="24"/>
                <w:szCs w:val="24"/>
                <w:color w:val="auto"/>
              </w:rPr>
            </w:pPr>
          </w:p>
        </w:tc>
        <w:tc>
          <w:tcPr>
            <w:tcW w:w="120" w:type="dxa"/>
            <w:vAlign w:val="bottom"/>
            <w:shd w:val="clear" w:color="auto" w:fill="F0F5F1"/>
          </w:tcPr>
          <w:p>
            <w:pPr>
              <w:spacing w:after="0"/>
              <w:rPr>
                <w:sz w:val="24"/>
                <w:szCs w:val="24"/>
                <w:color w:val="auto"/>
              </w:rPr>
            </w:pPr>
          </w:p>
        </w:tc>
        <w:tc>
          <w:tcPr>
            <w:tcW w:w="1100" w:type="dxa"/>
            <w:vAlign w:val="bottom"/>
            <w:shd w:val="clear" w:color="auto" w:fill="F0F5F1"/>
          </w:tcPr>
          <w:p>
            <w:pPr>
              <w:spacing w:after="0"/>
              <w:rPr>
                <w:sz w:val="24"/>
                <w:szCs w:val="24"/>
                <w:color w:val="auto"/>
              </w:rPr>
            </w:pPr>
          </w:p>
        </w:tc>
        <w:tc>
          <w:tcPr>
            <w:tcW w:w="100" w:type="dxa"/>
            <w:vAlign w:val="bottom"/>
            <w:shd w:val="clear" w:color="auto" w:fill="F0F5F1"/>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400" w:type="dxa"/>
            <w:vAlign w:val="bottom"/>
            <w:shd w:val="clear" w:color="auto" w:fill="F0F5F1"/>
          </w:tcPr>
          <w:p>
            <w:pPr>
              <w:ind w:left="240"/>
              <w:spacing w:after="0"/>
              <w:rPr>
                <w:sz w:val="20"/>
                <w:szCs w:val="20"/>
                <w:color w:val="auto"/>
              </w:rPr>
            </w:pPr>
            <w:r>
              <w:rPr>
                <w:rFonts w:ascii="Arial" w:cs="Arial" w:eastAsia="Arial" w:hAnsi="Arial"/>
                <w:sz w:val="13"/>
                <w:szCs w:val="13"/>
                <w:b w:val="1"/>
                <w:bCs w:val="1"/>
                <w:color w:val="auto"/>
              </w:rPr>
              <w:t>Written Options</w:t>
            </w:r>
          </w:p>
        </w:tc>
        <w:tc>
          <w:tcPr>
            <w:tcW w:w="120" w:type="dxa"/>
            <w:vAlign w:val="bottom"/>
            <w:shd w:val="clear" w:color="auto" w:fill="F0F5F1"/>
          </w:tcPr>
          <w:p>
            <w:pPr>
              <w:spacing w:after="0"/>
              <w:rPr>
                <w:sz w:val="24"/>
                <w:szCs w:val="24"/>
                <w:color w:val="auto"/>
              </w:rPr>
            </w:pPr>
          </w:p>
        </w:tc>
        <w:tc>
          <w:tcPr>
            <w:tcW w:w="8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F0F5F1"/>
          </w:tcPr>
          <w:p>
            <w:pPr>
              <w:jc w:val="right"/>
              <w:spacing w:after="0"/>
              <w:rPr>
                <w:sz w:val="20"/>
                <w:szCs w:val="20"/>
                <w:color w:val="auto"/>
              </w:rPr>
            </w:pPr>
            <w:r>
              <w:rPr>
                <w:rFonts w:ascii="Arial" w:cs="Arial" w:eastAsia="Arial" w:hAnsi="Arial"/>
                <w:sz w:val="13"/>
                <w:szCs w:val="13"/>
                <w:b w:val="1"/>
                <w:bCs w:val="1"/>
                <w:color w:val="auto"/>
              </w:rPr>
              <w:t>(1,767,105</w:t>
            </w:r>
          </w:p>
        </w:tc>
        <w:tc>
          <w:tcPr>
            <w:tcW w:w="120" w:type="dxa"/>
            <w:vAlign w:val="bottom"/>
            <w:shd w:val="clear" w:color="auto" w:fill="F0F5F1"/>
          </w:tcPr>
          <w:p>
            <w:pPr>
              <w:jc w:val="right"/>
              <w:ind w:right="41"/>
              <w:spacing w:after="0"/>
              <w:rPr>
                <w:sz w:val="20"/>
                <w:szCs w:val="20"/>
                <w:color w:val="auto"/>
              </w:rPr>
            </w:pPr>
            <w:r>
              <w:rPr>
                <w:rFonts w:ascii="Arial" w:cs="Arial" w:eastAsia="Arial" w:hAnsi="Arial"/>
                <w:sz w:val="8"/>
                <w:szCs w:val="8"/>
                <w:b w:val="1"/>
                <w:bCs w:val="1"/>
                <w:color w:val="auto"/>
                <w:w w:val="73"/>
              </w:rPr>
              <w:t>)</w:t>
            </w:r>
          </w:p>
        </w:tc>
        <w:tc>
          <w:tcPr>
            <w:tcW w:w="100" w:type="dxa"/>
            <w:vAlign w:val="bottom"/>
            <w:shd w:val="clear" w:color="auto" w:fill="F0F5F1"/>
          </w:tcPr>
          <w:p>
            <w:pPr>
              <w:spacing w:after="0"/>
              <w:rPr>
                <w:sz w:val="24"/>
                <w:szCs w:val="24"/>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(1,767,105</w:t>
            </w:r>
          </w:p>
        </w:tc>
        <w:tc>
          <w:tcPr>
            <w:tcW w:w="100" w:type="dxa"/>
            <w:vAlign w:val="bottom"/>
            <w:shd w:val="clear" w:color="auto" w:fill="F0F5F1"/>
          </w:tcPr>
          <w:p>
            <w:pPr>
              <w:jc w:val="right"/>
              <w:ind w:right="21"/>
              <w:spacing w:after="0"/>
              <w:rPr>
                <w:sz w:val="20"/>
                <w:szCs w:val="20"/>
                <w:color w:val="auto"/>
              </w:rPr>
            </w:pPr>
            <w:r>
              <w:rPr>
                <w:rFonts w:ascii="Arial" w:cs="Arial" w:eastAsia="Arial" w:hAnsi="Arial"/>
                <w:sz w:val="8"/>
                <w:szCs w:val="8"/>
                <w:color w:val="auto"/>
                <w:w w:val="73"/>
              </w:rPr>
              <w:t>)</w:t>
            </w:r>
          </w:p>
        </w:tc>
        <w:tc>
          <w:tcPr>
            <w:tcW w:w="1180" w:type="dxa"/>
            <w:vAlign w:val="bottom"/>
            <w:gridSpan w:val="2"/>
            <w:shd w:val="clear" w:color="auto" w:fill="F0F5F1"/>
          </w:tcPr>
          <w:p>
            <w:pPr>
              <w:jc w:val="right"/>
              <w:ind w:right="9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F0F5F1"/>
          </w:tcPr>
          <w:p>
            <w:pPr>
              <w:ind w:lef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F0F5F1"/>
          </w:tcPr>
          <w:p>
            <w:pPr>
              <w:ind w:left="9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5400" w:type="dxa"/>
            <w:vAlign w:val="bottom"/>
            <w:tcBorders>
              <w:bottom w:val="single" w:sz="8" w:color="F0F5F1"/>
            </w:tcBorders>
            <w:vMerge w:val="restart"/>
            <w:shd w:val="clear" w:color="auto" w:fill="F0F5F1"/>
          </w:tcPr>
          <w:p>
            <w:pPr>
              <w:ind w:left="100"/>
              <w:spacing w:after="0"/>
              <w:rPr>
                <w:sz w:val="20"/>
                <w:szCs w:val="20"/>
                <w:color w:val="auto"/>
              </w:rPr>
            </w:pPr>
            <w:r>
              <w:rPr>
                <w:rFonts w:ascii="Arial" w:cs="Arial" w:eastAsia="Arial" w:hAnsi="Arial"/>
                <w:sz w:val="13"/>
                <w:szCs w:val="13"/>
                <w:b w:val="1"/>
                <w:bCs w:val="1"/>
                <w:color w:val="auto"/>
              </w:rPr>
              <w:t>Total Liabilities</w:t>
            </w:r>
          </w:p>
        </w:tc>
        <w:tc>
          <w:tcPr>
            <w:tcW w:w="120" w:type="dxa"/>
            <w:vAlign w:val="bottom"/>
            <w:tcBorders>
              <w:bottom w:val="single" w:sz="8" w:color="F0F5F1"/>
            </w:tcBorders>
            <w:shd w:val="clear" w:color="auto" w:fill="F0F5F1"/>
          </w:tcPr>
          <w:p>
            <w:pPr>
              <w:spacing w:after="0"/>
              <w:rPr>
                <w:sz w:val="14"/>
                <w:szCs w:val="14"/>
                <w:color w:val="auto"/>
              </w:rPr>
            </w:pPr>
          </w:p>
        </w:tc>
        <w:tc>
          <w:tcPr>
            <w:tcW w:w="80" w:type="dxa"/>
            <w:vAlign w:val="bottom"/>
            <w:tcBorders>
              <w:bottom w:val="single" w:sz="8" w:color="auto"/>
            </w:tcBorders>
            <w:shd w:val="clear" w:color="auto" w:fill="F0F5F1"/>
          </w:tcPr>
          <w:p>
            <w:pPr>
              <w:spacing w:after="0"/>
              <w:rPr>
                <w:sz w:val="14"/>
                <w:szCs w:val="14"/>
                <w:color w:val="auto"/>
              </w:rPr>
            </w:pPr>
          </w:p>
        </w:tc>
        <w:tc>
          <w:tcPr>
            <w:tcW w:w="1160" w:type="dxa"/>
            <w:vAlign w:val="bottom"/>
            <w:tcBorders>
              <w:bottom w:val="single" w:sz="8" w:color="auto"/>
            </w:tcBorders>
            <w:shd w:val="clear" w:color="auto" w:fill="F0F5F1"/>
          </w:tcPr>
          <w:p>
            <w:pPr>
              <w:spacing w:after="0"/>
              <w:rPr>
                <w:sz w:val="14"/>
                <w:szCs w:val="14"/>
                <w:color w:val="auto"/>
              </w:rPr>
            </w:pPr>
          </w:p>
        </w:tc>
        <w:tc>
          <w:tcPr>
            <w:tcW w:w="120" w:type="dxa"/>
            <w:vAlign w:val="bottom"/>
            <w:tcBorders>
              <w:bottom w:val="single" w:sz="8" w:color="F0F5F1"/>
            </w:tcBorders>
            <w:vMerge w:val="restart"/>
            <w:shd w:val="clear" w:color="auto" w:fill="F0F5F1"/>
          </w:tcPr>
          <w:p>
            <w:pPr>
              <w:jc w:val="right"/>
              <w:ind w:right="41"/>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bottom w:val="single" w:sz="8" w:color="F0F5F1"/>
            </w:tcBorders>
            <w:shd w:val="clear" w:color="auto" w:fill="F0F5F1"/>
          </w:tcPr>
          <w:p>
            <w:pPr>
              <w:spacing w:after="0"/>
              <w:rPr>
                <w:sz w:val="14"/>
                <w:szCs w:val="14"/>
                <w:color w:val="auto"/>
              </w:rPr>
            </w:pPr>
          </w:p>
        </w:tc>
        <w:tc>
          <w:tcPr>
            <w:tcW w:w="120" w:type="dxa"/>
            <w:vAlign w:val="bottom"/>
            <w:tcBorders>
              <w:bottom w:val="single" w:sz="8" w:color="auto"/>
            </w:tcBorders>
            <w:shd w:val="clear" w:color="auto" w:fill="F0F5F1"/>
          </w:tcPr>
          <w:p>
            <w:pPr>
              <w:spacing w:after="0"/>
              <w:rPr>
                <w:sz w:val="14"/>
                <w:szCs w:val="14"/>
                <w:color w:val="auto"/>
              </w:rPr>
            </w:pPr>
          </w:p>
        </w:tc>
        <w:tc>
          <w:tcPr>
            <w:tcW w:w="1140" w:type="dxa"/>
            <w:vAlign w:val="bottom"/>
            <w:tcBorders>
              <w:bottom w:val="single" w:sz="8" w:color="auto"/>
            </w:tcBorders>
            <w:shd w:val="clear" w:color="auto" w:fill="F0F5F1"/>
          </w:tcPr>
          <w:p>
            <w:pPr>
              <w:spacing w:after="0"/>
              <w:rPr>
                <w:sz w:val="14"/>
                <w:szCs w:val="14"/>
                <w:color w:val="auto"/>
              </w:rPr>
            </w:pPr>
          </w:p>
        </w:tc>
        <w:tc>
          <w:tcPr>
            <w:tcW w:w="100" w:type="dxa"/>
            <w:vAlign w:val="bottom"/>
            <w:tcBorders>
              <w:bottom w:val="single" w:sz="8" w:color="F0F5F1"/>
            </w:tcBorders>
            <w:vMerge w:val="restart"/>
            <w:shd w:val="clear" w:color="auto" w:fill="F0F5F1"/>
          </w:tcPr>
          <w:p>
            <w:pPr>
              <w:jc w:val="right"/>
              <w:ind w:right="21"/>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bottom w:val="single" w:sz="8" w:color="F0F5F1"/>
            </w:tcBorders>
            <w:shd w:val="clear" w:color="auto" w:fill="F0F5F1"/>
          </w:tcPr>
          <w:p>
            <w:pPr>
              <w:spacing w:after="0"/>
              <w:rPr>
                <w:sz w:val="14"/>
                <w:szCs w:val="14"/>
                <w:color w:val="auto"/>
              </w:rPr>
            </w:pPr>
          </w:p>
        </w:tc>
        <w:tc>
          <w:tcPr>
            <w:tcW w:w="1060" w:type="dxa"/>
            <w:vAlign w:val="bottom"/>
            <w:tcBorders>
              <w:bottom w:val="single" w:sz="8" w:color="auto"/>
            </w:tcBorders>
            <w:shd w:val="clear" w:color="auto" w:fill="F0F5F1"/>
          </w:tcPr>
          <w:p>
            <w:pPr>
              <w:spacing w:after="0"/>
              <w:rPr>
                <w:sz w:val="14"/>
                <w:szCs w:val="14"/>
                <w:color w:val="auto"/>
              </w:rPr>
            </w:pPr>
          </w:p>
        </w:tc>
        <w:tc>
          <w:tcPr>
            <w:tcW w:w="180" w:type="dxa"/>
            <w:vAlign w:val="bottom"/>
            <w:tcBorders>
              <w:bottom w:val="single" w:sz="8" w:color="auto"/>
            </w:tcBorders>
            <w:shd w:val="clear" w:color="auto" w:fill="F0F5F1"/>
          </w:tcPr>
          <w:p>
            <w:pPr>
              <w:spacing w:after="0"/>
              <w:rPr>
                <w:sz w:val="14"/>
                <w:szCs w:val="14"/>
                <w:color w:val="auto"/>
              </w:rPr>
            </w:pPr>
          </w:p>
        </w:tc>
        <w:tc>
          <w:tcPr>
            <w:tcW w:w="220" w:type="dxa"/>
            <w:vAlign w:val="bottom"/>
            <w:tcBorders>
              <w:bottom w:val="single" w:sz="8" w:color="F0F5F1"/>
            </w:tcBorders>
            <w:shd w:val="clear" w:color="auto" w:fill="F0F5F1"/>
          </w:tcPr>
          <w:p>
            <w:pPr>
              <w:spacing w:after="0"/>
              <w:rPr>
                <w:sz w:val="14"/>
                <w:szCs w:val="14"/>
                <w:color w:val="auto"/>
              </w:rPr>
            </w:pPr>
          </w:p>
        </w:tc>
        <w:tc>
          <w:tcPr>
            <w:tcW w:w="120" w:type="dxa"/>
            <w:vAlign w:val="bottom"/>
            <w:tcBorders>
              <w:bottom w:val="single" w:sz="8" w:color="auto"/>
            </w:tcBorders>
            <w:shd w:val="clear" w:color="auto" w:fill="F0F5F1"/>
          </w:tcPr>
          <w:p>
            <w:pPr>
              <w:spacing w:after="0"/>
              <w:rPr>
                <w:sz w:val="14"/>
                <w:szCs w:val="14"/>
                <w:color w:val="auto"/>
              </w:rPr>
            </w:pPr>
          </w:p>
        </w:tc>
        <w:tc>
          <w:tcPr>
            <w:tcW w:w="1100" w:type="dxa"/>
            <w:vAlign w:val="bottom"/>
            <w:tcBorders>
              <w:bottom w:val="single" w:sz="8" w:color="auto"/>
            </w:tcBorders>
            <w:shd w:val="clear" w:color="auto" w:fill="F0F5F1"/>
          </w:tcPr>
          <w:p>
            <w:pPr>
              <w:spacing w:after="0"/>
              <w:rPr>
                <w:sz w:val="14"/>
                <w:szCs w:val="14"/>
                <w:color w:val="auto"/>
              </w:rPr>
            </w:pPr>
          </w:p>
        </w:tc>
        <w:tc>
          <w:tcPr>
            <w:tcW w:w="100" w:type="dxa"/>
            <w:vAlign w:val="bottom"/>
            <w:tcBorders>
              <w:bottom w:val="single" w:sz="8" w:color="F0F5F1"/>
            </w:tcBorders>
            <w:shd w:val="clear" w:color="auto" w:fill="F0F5F1"/>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400" w:type="dxa"/>
            <w:vAlign w:val="bottom"/>
            <w:vMerge w:val="continue"/>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8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(1,767,105</w:t>
            </w:r>
          </w:p>
        </w:tc>
        <w:tc>
          <w:tcPr>
            <w:tcW w:w="120" w:type="dxa"/>
            <w:vAlign w:val="bottom"/>
            <w:vMerge w:val="continue"/>
            <w:shd w:val="clear" w:color="auto" w:fill="F0F5F1"/>
          </w:tcPr>
          <w:p>
            <w:pPr>
              <w:spacing w:after="0"/>
              <w:rPr>
                <w:sz w:val="12"/>
                <w:szCs w:val="12"/>
                <w:color w:val="auto"/>
              </w:rPr>
            </w:pPr>
          </w:p>
        </w:tc>
        <w:tc>
          <w:tcPr>
            <w:tcW w:w="100" w:type="dxa"/>
            <w:vAlign w:val="bottom"/>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(1,767,105</w:t>
            </w:r>
          </w:p>
        </w:tc>
        <w:tc>
          <w:tcPr>
            <w:tcW w:w="100" w:type="dxa"/>
            <w:vAlign w:val="bottom"/>
            <w:vMerge w:val="continue"/>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060" w:type="dxa"/>
            <w:vAlign w:val="bottom"/>
            <w:tcBorders>
              <w:bottom w:val="single" w:sz="8" w:color="auto"/>
            </w:tcBorders>
            <w:shd w:val="clear" w:color="auto" w:fill="F0F5F1"/>
          </w:tcPr>
          <w:p>
            <w:pPr>
              <w:jc w:val="right"/>
              <w:ind w:right="920"/>
              <w:spacing w:after="0" w:line="144" w:lineRule="exact"/>
              <w:rPr>
                <w:sz w:val="20"/>
                <w:szCs w:val="20"/>
                <w:color w:val="auto"/>
              </w:rPr>
            </w:pPr>
            <w:r>
              <w:rPr>
                <w:rFonts w:ascii="Arial" w:cs="Arial" w:eastAsia="Arial" w:hAnsi="Arial"/>
                <w:sz w:val="13"/>
                <w:szCs w:val="13"/>
                <w:b w:val="1"/>
                <w:bCs w:val="1"/>
                <w:color w:val="auto"/>
                <w:w w:val="82"/>
              </w:rPr>
              <w:t>$</w:t>
            </w:r>
          </w:p>
        </w:tc>
        <w:tc>
          <w:tcPr>
            <w:tcW w:w="180" w:type="dxa"/>
            <w:vAlign w:val="bottom"/>
            <w:tcBorders>
              <w:bottom w:val="single" w:sz="8" w:color="auto"/>
            </w:tcBorders>
            <w:shd w:val="clear" w:color="auto" w:fill="F0F5F1"/>
          </w:tcPr>
          <w:p>
            <w:pPr>
              <w:ind w:left="40"/>
              <w:spacing w:after="0" w:line="144" w:lineRule="exact"/>
              <w:rPr>
                <w:sz w:val="20"/>
                <w:szCs w:val="20"/>
                <w:color w:val="auto"/>
              </w:rPr>
            </w:pPr>
            <w:r>
              <w:rPr>
                <w:rFonts w:ascii="Arial" w:cs="Arial" w:eastAsia="Arial" w:hAnsi="Arial"/>
                <w:sz w:val="13"/>
                <w:szCs w:val="13"/>
                <w:b w:val="1"/>
                <w:bCs w:val="1"/>
                <w:color w:val="auto"/>
                <w:w w:val="91"/>
              </w:rPr>
              <w:t>—</w:t>
            </w:r>
          </w:p>
        </w:tc>
        <w:tc>
          <w:tcPr>
            <w:tcW w:w="220" w:type="dxa"/>
            <w:vAlign w:val="bottom"/>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F0F5F1"/>
          </w:tcPr>
          <w:p>
            <w:pPr>
              <w:ind w:left="980"/>
              <w:spacing w:after="0" w:line="144" w:lineRule="exact"/>
              <w:rPr>
                <w:sz w:val="20"/>
                <w:szCs w:val="20"/>
                <w:color w:val="auto"/>
              </w:rPr>
            </w:pPr>
            <w:r>
              <w:rPr>
                <w:rFonts w:ascii="Arial" w:cs="Arial" w:eastAsia="Arial" w:hAnsi="Arial"/>
                <w:sz w:val="13"/>
                <w:szCs w:val="13"/>
                <w:b w:val="1"/>
                <w:bCs w:val="1"/>
                <w:color w:val="auto"/>
                <w:w w:val="76"/>
              </w:rPr>
              <w:t>—</w:t>
            </w:r>
          </w:p>
        </w:tc>
        <w:tc>
          <w:tcPr>
            <w:tcW w:w="100" w:type="dxa"/>
            <w:vAlign w:val="bottom"/>
            <w:shd w:val="clear" w:color="auto" w:fill="F0F5F1"/>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Level 3 categorized assets listed above have been valued via the use of a) independent third party valuation firms, or, b) fair valued as determined in good faith by the Board of Directors, in accordance with procedures established by the Board of Directors.</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fair valuations using significant unobservable inputs, U.S. GAAP requires AMFC to present a reconciliation of the beginning to ending balances for reported fair values that presents changes attributable to total realized and unrealized gains or losses, purchase and sales, and transfers in and out of Level 3 during the period. Transfers in and out between levels are based on values at the end of a period. U.S. GAAP also requires AMFC to disclose amounts and reasons for all transfers in and out of Level 1 and Level 2 fair value measurements. A reconciliation of Level 3 investments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00" w:type="dxa"/>
            <w:vAlign w:val="bottom"/>
            <w:shd w:val="clear" w:color="auto" w:fill="F0F5F1"/>
          </w:tcPr>
          <w:p>
            <w:pPr>
              <w:spacing w:after="0"/>
              <w:rPr>
                <w:sz w:val="12"/>
                <w:szCs w:val="12"/>
                <w:color w:val="auto"/>
              </w:rPr>
            </w:pPr>
          </w:p>
        </w:tc>
        <w:tc>
          <w:tcPr>
            <w:tcW w:w="1140" w:type="dxa"/>
            <w:vAlign w:val="bottom"/>
            <w:shd w:val="clear" w:color="auto" w:fill="F0F5F1"/>
          </w:tcPr>
          <w:p>
            <w:pPr>
              <w:spacing w:after="0"/>
              <w:rPr>
                <w:sz w:val="12"/>
                <w:szCs w:val="12"/>
                <w:color w:val="auto"/>
              </w:rPr>
            </w:pPr>
          </w:p>
        </w:tc>
        <w:tc>
          <w:tcPr>
            <w:tcW w:w="10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240" w:type="dxa"/>
            <w:vAlign w:val="bottom"/>
            <w:gridSpan w:val="2"/>
            <w:shd w:val="clear" w:color="auto" w:fill="F0F5F1"/>
          </w:tcPr>
          <w:p>
            <w:pPr>
              <w:jc w:val="center"/>
              <w:ind w:right="240"/>
              <w:spacing w:after="0"/>
              <w:rPr>
                <w:sz w:val="20"/>
                <w:szCs w:val="20"/>
                <w:color w:val="auto"/>
              </w:rPr>
            </w:pPr>
            <w:r>
              <w:rPr>
                <w:rFonts w:ascii="Arial" w:cs="Arial" w:eastAsia="Arial" w:hAnsi="Arial"/>
                <w:sz w:val="12"/>
                <w:szCs w:val="12"/>
                <w:color w:val="auto"/>
                <w:w w:val="96"/>
              </w:rPr>
              <w:t>REGULATORY</w:t>
            </w:r>
          </w:p>
        </w:tc>
        <w:tc>
          <w:tcPr>
            <w:tcW w:w="120" w:type="dxa"/>
            <w:vAlign w:val="bottom"/>
            <w:shd w:val="clear" w:color="auto" w:fill="F0F5F1"/>
          </w:tcPr>
          <w:p>
            <w:pPr>
              <w:spacing w:after="0"/>
              <w:rPr>
                <w:sz w:val="12"/>
                <w:szCs w:val="12"/>
                <w:color w:val="auto"/>
              </w:rPr>
            </w:pPr>
          </w:p>
        </w:tc>
        <w:tc>
          <w:tcPr>
            <w:tcW w:w="120" w:type="dxa"/>
            <w:vAlign w:val="bottom"/>
            <w:shd w:val="clear" w:color="auto" w:fill="F0F5F1"/>
          </w:tcPr>
          <w:p>
            <w:pPr>
              <w:spacing w:after="0"/>
              <w:rPr>
                <w:sz w:val="12"/>
                <w:szCs w:val="12"/>
                <w:color w:val="auto"/>
              </w:rPr>
            </w:pPr>
          </w:p>
        </w:tc>
        <w:tc>
          <w:tcPr>
            <w:tcW w:w="1560" w:type="dxa"/>
            <w:vAlign w:val="bottom"/>
            <w:gridSpan w:val="2"/>
            <w:shd w:val="clear" w:color="auto" w:fill="F0F5F1"/>
          </w:tcPr>
          <w:p>
            <w:pPr>
              <w:jc w:val="center"/>
              <w:ind w:right="340"/>
              <w:spacing w:after="0"/>
              <w:rPr>
                <w:sz w:val="20"/>
                <w:szCs w:val="20"/>
                <w:color w:val="auto"/>
              </w:rPr>
            </w:pPr>
            <w:r>
              <w:rPr>
                <w:rFonts w:ascii="Arial" w:cs="Arial" w:eastAsia="Arial" w:hAnsi="Arial"/>
                <w:sz w:val="12"/>
                <w:szCs w:val="12"/>
                <w:color w:val="auto"/>
                <w:w w:val="97"/>
              </w:rPr>
              <w:t>TRUST PREFERRED</w:t>
            </w:r>
          </w:p>
        </w:tc>
        <w:tc>
          <w:tcPr>
            <w:tcW w:w="260" w:type="dxa"/>
            <w:vAlign w:val="bottom"/>
            <w:shd w:val="clear" w:color="auto" w:fill="F0F5F1"/>
          </w:tcPr>
          <w:p>
            <w:pPr>
              <w:spacing w:after="0"/>
              <w:rPr>
                <w:sz w:val="12"/>
                <w:szCs w:val="12"/>
                <w:color w:val="auto"/>
              </w:rPr>
            </w:pPr>
          </w:p>
        </w:tc>
        <w:tc>
          <w:tcPr>
            <w:tcW w:w="960" w:type="dxa"/>
            <w:vAlign w:val="bottom"/>
            <w:shd w:val="clear" w:color="auto" w:fill="F0F5F1"/>
          </w:tcPr>
          <w:p>
            <w:pPr>
              <w:spacing w:after="0"/>
              <w:rPr>
                <w:sz w:val="12"/>
                <w:szCs w:val="12"/>
                <w:color w:val="auto"/>
              </w:rPr>
            </w:pPr>
          </w:p>
        </w:tc>
        <w:tc>
          <w:tcPr>
            <w:tcW w:w="100" w:type="dxa"/>
            <w:vAlign w:val="bottom"/>
            <w:shd w:val="clear" w:color="auto" w:fill="F0F5F1"/>
          </w:tcPr>
          <w:p>
            <w:pPr>
              <w:spacing w:after="0"/>
              <w:rPr>
                <w:sz w:val="12"/>
                <w:szCs w:val="12"/>
                <w:color w:val="auto"/>
              </w:rPr>
            </w:pPr>
          </w:p>
        </w:tc>
      </w:tr>
      <w:tr>
        <w:trPr>
          <w:trHeight w:val="126"/>
        </w:trPr>
        <w:tc>
          <w:tcPr>
            <w:tcW w:w="518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14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240" w:type="dxa"/>
            <w:vAlign w:val="bottom"/>
            <w:gridSpan w:val="2"/>
            <w:shd w:val="clear" w:color="auto" w:fill="F0F5F1"/>
          </w:tcPr>
          <w:p>
            <w:pPr>
              <w:jc w:val="center"/>
              <w:ind w:right="240"/>
              <w:spacing w:after="0" w:line="126" w:lineRule="exact"/>
              <w:rPr>
                <w:sz w:val="20"/>
                <w:szCs w:val="20"/>
                <w:color w:val="auto"/>
              </w:rPr>
            </w:pPr>
            <w:r>
              <w:rPr>
                <w:rFonts w:ascii="Arial" w:cs="Arial" w:eastAsia="Arial" w:hAnsi="Arial"/>
                <w:sz w:val="12"/>
                <w:szCs w:val="12"/>
                <w:color w:val="auto"/>
                <w:w w:val="95"/>
              </w:rPr>
              <w:t>CAPITAL</w:t>
            </w:r>
          </w:p>
        </w:tc>
        <w:tc>
          <w:tcPr>
            <w:tcW w:w="12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560" w:type="dxa"/>
            <w:vAlign w:val="bottom"/>
            <w:gridSpan w:val="2"/>
            <w:shd w:val="clear" w:color="auto" w:fill="F0F5F1"/>
          </w:tcPr>
          <w:p>
            <w:pPr>
              <w:jc w:val="center"/>
              <w:ind w:right="340"/>
              <w:spacing w:after="0" w:line="126" w:lineRule="exact"/>
              <w:rPr>
                <w:sz w:val="20"/>
                <w:szCs w:val="20"/>
                <w:color w:val="auto"/>
              </w:rPr>
            </w:pPr>
            <w:r>
              <w:rPr>
                <w:rFonts w:ascii="Arial" w:cs="Arial" w:eastAsia="Arial" w:hAnsi="Arial"/>
                <w:sz w:val="12"/>
                <w:szCs w:val="12"/>
                <w:color w:val="auto"/>
              </w:rPr>
              <w:t>AND</w:t>
            </w:r>
          </w:p>
        </w:tc>
        <w:tc>
          <w:tcPr>
            <w:tcW w:w="260" w:type="dxa"/>
            <w:vAlign w:val="bottom"/>
            <w:shd w:val="clear" w:color="auto" w:fill="F0F5F1"/>
          </w:tcPr>
          <w:p>
            <w:pPr>
              <w:spacing w:after="0"/>
              <w:rPr>
                <w:sz w:val="10"/>
                <w:szCs w:val="10"/>
                <w:color w:val="auto"/>
              </w:rPr>
            </w:pPr>
          </w:p>
        </w:tc>
        <w:tc>
          <w:tcPr>
            <w:tcW w:w="96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r>
      <w:tr>
        <w:trPr>
          <w:trHeight w:val="126"/>
        </w:trPr>
        <w:tc>
          <w:tcPr>
            <w:tcW w:w="518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14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240" w:type="dxa"/>
            <w:vAlign w:val="bottom"/>
            <w:gridSpan w:val="2"/>
            <w:shd w:val="clear" w:color="auto" w:fill="F0F5F1"/>
          </w:tcPr>
          <w:p>
            <w:pPr>
              <w:jc w:val="center"/>
              <w:ind w:right="240"/>
              <w:spacing w:after="0" w:line="126" w:lineRule="exact"/>
              <w:rPr>
                <w:sz w:val="20"/>
                <w:szCs w:val="20"/>
                <w:color w:val="auto"/>
              </w:rPr>
            </w:pPr>
            <w:r>
              <w:rPr>
                <w:rFonts w:ascii="Arial" w:cs="Arial" w:eastAsia="Arial" w:hAnsi="Arial"/>
                <w:sz w:val="12"/>
                <w:szCs w:val="12"/>
                <w:color w:val="auto"/>
                <w:w w:val="95"/>
              </w:rPr>
              <w:t>RELIEF</w:t>
            </w:r>
          </w:p>
        </w:tc>
        <w:tc>
          <w:tcPr>
            <w:tcW w:w="120" w:type="dxa"/>
            <w:vAlign w:val="bottom"/>
            <w:shd w:val="clear" w:color="auto" w:fill="F0F5F1"/>
          </w:tcPr>
          <w:p>
            <w:pPr>
              <w:spacing w:after="0"/>
              <w:rPr>
                <w:sz w:val="10"/>
                <w:szCs w:val="10"/>
                <w:color w:val="auto"/>
              </w:rPr>
            </w:pPr>
          </w:p>
        </w:tc>
        <w:tc>
          <w:tcPr>
            <w:tcW w:w="120" w:type="dxa"/>
            <w:vAlign w:val="bottom"/>
            <w:shd w:val="clear" w:color="auto" w:fill="F0F5F1"/>
          </w:tcPr>
          <w:p>
            <w:pPr>
              <w:spacing w:after="0"/>
              <w:rPr>
                <w:sz w:val="10"/>
                <w:szCs w:val="10"/>
                <w:color w:val="auto"/>
              </w:rPr>
            </w:pPr>
          </w:p>
        </w:tc>
        <w:tc>
          <w:tcPr>
            <w:tcW w:w="1560" w:type="dxa"/>
            <w:vAlign w:val="bottom"/>
            <w:gridSpan w:val="2"/>
            <w:shd w:val="clear" w:color="auto" w:fill="F0F5F1"/>
          </w:tcPr>
          <w:p>
            <w:pPr>
              <w:jc w:val="center"/>
              <w:ind w:right="360"/>
              <w:spacing w:after="0" w:line="126" w:lineRule="exact"/>
              <w:rPr>
                <w:sz w:val="20"/>
                <w:szCs w:val="20"/>
                <w:color w:val="auto"/>
              </w:rPr>
            </w:pPr>
            <w:r>
              <w:rPr>
                <w:rFonts w:ascii="Arial" w:cs="Arial" w:eastAsia="Arial" w:hAnsi="Arial"/>
                <w:sz w:val="12"/>
                <w:szCs w:val="12"/>
                <w:color w:val="auto"/>
                <w:w w:val="97"/>
              </w:rPr>
              <w:t>PREFERRED</w:t>
            </w:r>
          </w:p>
        </w:tc>
        <w:tc>
          <w:tcPr>
            <w:tcW w:w="260" w:type="dxa"/>
            <w:vAlign w:val="bottom"/>
            <w:shd w:val="clear" w:color="auto" w:fill="F0F5F1"/>
          </w:tcPr>
          <w:p>
            <w:pPr>
              <w:spacing w:after="0"/>
              <w:rPr>
                <w:sz w:val="10"/>
                <w:szCs w:val="10"/>
                <w:color w:val="auto"/>
              </w:rPr>
            </w:pPr>
          </w:p>
        </w:tc>
        <w:tc>
          <w:tcPr>
            <w:tcW w:w="96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r>
      <w:tr>
        <w:trPr>
          <w:trHeight w:val="141"/>
        </w:trPr>
        <w:tc>
          <w:tcPr>
            <w:tcW w:w="5180" w:type="dxa"/>
            <w:vAlign w:val="bottom"/>
            <w:tcBorders>
              <w:bottom w:val="single" w:sz="8" w:color="auto"/>
            </w:tcBorders>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spacing w:after="0"/>
              <w:rPr>
                <w:sz w:val="12"/>
                <w:szCs w:val="12"/>
                <w:color w:val="auto"/>
              </w:rPr>
            </w:pPr>
          </w:p>
        </w:tc>
        <w:tc>
          <w:tcPr>
            <w:tcW w:w="100" w:type="dxa"/>
            <w:vAlign w:val="bottom"/>
            <w:tcBorders>
              <w:bottom w:val="single" w:sz="8" w:color="auto"/>
            </w:tcBorders>
            <w:shd w:val="clear" w:color="auto" w:fill="F0F5F1"/>
          </w:tcPr>
          <w:p>
            <w:pPr>
              <w:spacing w:after="0"/>
              <w:rPr>
                <w:sz w:val="12"/>
                <w:szCs w:val="12"/>
                <w:color w:val="auto"/>
              </w:rPr>
            </w:pPr>
          </w:p>
        </w:tc>
        <w:tc>
          <w:tcPr>
            <w:tcW w:w="1240" w:type="dxa"/>
            <w:vAlign w:val="bottom"/>
            <w:tcBorders>
              <w:bottom w:val="single" w:sz="8" w:color="auto"/>
            </w:tcBorders>
            <w:gridSpan w:val="2"/>
            <w:shd w:val="clear" w:color="auto" w:fill="F0F5F1"/>
          </w:tcPr>
          <w:p>
            <w:pPr>
              <w:ind w:left="140"/>
              <w:spacing w:after="0"/>
              <w:rPr>
                <w:sz w:val="20"/>
                <w:szCs w:val="20"/>
                <w:color w:val="auto"/>
              </w:rPr>
            </w:pPr>
            <w:r>
              <w:rPr>
                <w:rFonts w:ascii="Arial" w:cs="Arial" w:eastAsia="Arial" w:hAnsi="Arial"/>
                <w:sz w:val="12"/>
                <w:szCs w:val="12"/>
                <w:color w:val="auto"/>
              </w:rPr>
              <w:t>TERM LOANS</w:t>
            </w:r>
          </w:p>
        </w:tc>
        <w:tc>
          <w:tcPr>
            <w:tcW w:w="120" w:type="dxa"/>
            <w:vAlign w:val="bottom"/>
            <w:tcBorders>
              <w:bottom w:val="single" w:sz="8" w:color="auto"/>
            </w:tcBorders>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spacing w:after="0"/>
              <w:rPr>
                <w:sz w:val="12"/>
                <w:szCs w:val="12"/>
                <w:color w:val="auto"/>
              </w:rPr>
            </w:pPr>
          </w:p>
        </w:tc>
        <w:tc>
          <w:tcPr>
            <w:tcW w:w="1240" w:type="dxa"/>
            <w:vAlign w:val="bottom"/>
            <w:tcBorders>
              <w:bottom w:val="single" w:sz="8" w:color="auto"/>
            </w:tcBorders>
            <w:gridSpan w:val="2"/>
            <w:shd w:val="clear" w:color="auto" w:fill="F0F5F1"/>
          </w:tcPr>
          <w:p>
            <w:pPr>
              <w:jc w:val="center"/>
              <w:ind w:right="220"/>
              <w:spacing w:after="0"/>
              <w:rPr>
                <w:sz w:val="20"/>
                <w:szCs w:val="20"/>
                <w:color w:val="auto"/>
              </w:rPr>
            </w:pPr>
            <w:r>
              <w:rPr>
                <w:rFonts w:ascii="Arial" w:cs="Arial" w:eastAsia="Arial" w:hAnsi="Arial"/>
                <w:sz w:val="12"/>
                <w:szCs w:val="12"/>
                <w:color w:val="auto"/>
                <w:w w:val="97"/>
              </w:rPr>
              <w:t>SECURITIES</w:t>
            </w:r>
          </w:p>
        </w:tc>
        <w:tc>
          <w:tcPr>
            <w:tcW w:w="120" w:type="dxa"/>
            <w:vAlign w:val="bottom"/>
            <w:tcBorders>
              <w:bottom w:val="single" w:sz="8" w:color="auto"/>
            </w:tcBorders>
            <w:shd w:val="clear" w:color="auto" w:fill="F0F5F1"/>
          </w:tcPr>
          <w:p>
            <w:pPr>
              <w:spacing w:after="0"/>
              <w:rPr>
                <w:sz w:val="12"/>
                <w:szCs w:val="12"/>
                <w:color w:val="auto"/>
              </w:rPr>
            </w:pPr>
          </w:p>
        </w:tc>
        <w:tc>
          <w:tcPr>
            <w:tcW w:w="120" w:type="dxa"/>
            <w:vAlign w:val="bottom"/>
            <w:tcBorders>
              <w:bottom w:val="single" w:sz="8" w:color="auto"/>
            </w:tcBorders>
            <w:shd w:val="clear" w:color="auto" w:fill="F0F5F1"/>
          </w:tcPr>
          <w:p>
            <w:pPr>
              <w:spacing w:after="0"/>
              <w:rPr>
                <w:sz w:val="12"/>
                <w:szCs w:val="12"/>
                <w:color w:val="auto"/>
              </w:rPr>
            </w:pPr>
          </w:p>
        </w:tc>
        <w:tc>
          <w:tcPr>
            <w:tcW w:w="1560" w:type="dxa"/>
            <w:vAlign w:val="bottom"/>
            <w:tcBorders>
              <w:bottom w:val="single" w:sz="8" w:color="auto"/>
            </w:tcBorders>
            <w:gridSpan w:val="2"/>
            <w:shd w:val="clear" w:color="auto" w:fill="F0F5F1"/>
          </w:tcPr>
          <w:p>
            <w:pPr>
              <w:jc w:val="center"/>
              <w:ind w:right="340"/>
              <w:spacing w:after="0"/>
              <w:rPr>
                <w:sz w:val="20"/>
                <w:szCs w:val="20"/>
                <w:color w:val="auto"/>
              </w:rPr>
            </w:pPr>
            <w:r>
              <w:rPr>
                <w:rFonts w:ascii="Arial" w:cs="Arial" w:eastAsia="Arial" w:hAnsi="Arial"/>
                <w:sz w:val="12"/>
                <w:szCs w:val="12"/>
                <w:color w:val="auto"/>
                <w:w w:val="97"/>
              </w:rPr>
              <w:t>SECURITIES</w:t>
            </w:r>
          </w:p>
        </w:tc>
        <w:tc>
          <w:tcPr>
            <w:tcW w:w="260" w:type="dxa"/>
            <w:vAlign w:val="bottom"/>
            <w:tcBorders>
              <w:bottom w:val="single" w:sz="8" w:color="auto"/>
            </w:tcBorders>
            <w:shd w:val="clear" w:color="auto" w:fill="F0F5F1"/>
          </w:tcPr>
          <w:p>
            <w:pPr>
              <w:spacing w:after="0"/>
              <w:rPr>
                <w:sz w:val="12"/>
                <w:szCs w:val="12"/>
                <w:color w:val="auto"/>
              </w:rPr>
            </w:pPr>
          </w:p>
        </w:tc>
        <w:tc>
          <w:tcPr>
            <w:tcW w:w="1060" w:type="dxa"/>
            <w:vAlign w:val="bottom"/>
            <w:tcBorders>
              <w:bottom w:val="single" w:sz="8" w:color="auto"/>
            </w:tcBorders>
            <w:gridSpan w:val="2"/>
            <w:shd w:val="clear" w:color="auto" w:fill="F0F5F1"/>
          </w:tcPr>
          <w:p>
            <w:pPr>
              <w:jc w:val="right"/>
              <w:ind w:right="520"/>
              <w:spacing w:after="0"/>
              <w:rPr>
                <w:sz w:val="20"/>
                <w:szCs w:val="20"/>
                <w:color w:val="auto"/>
              </w:rPr>
            </w:pPr>
            <w:r>
              <w:rPr>
                <w:rFonts w:ascii="Arial" w:cs="Arial" w:eastAsia="Arial" w:hAnsi="Arial"/>
                <w:sz w:val="12"/>
                <w:szCs w:val="12"/>
                <w:color w:val="auto"/>
              </w:rPr>
              <w:t>TOTAL</w:t>
            </w:r>
          </w:p>
        </w:tc>
      </w:tr>
      <w:tr>
        <w:trPr>
          <w:trHeight w:val="143"/>
        </w:trPr>
        <w:tc>
          <w:tcPr>
            <w:tcW w:w="5180" w:type="dxa"/>
            <w:vAlign w:val="bottom"/>
            <w:shd w:val="clear" w:color="auto" w:fill="F0F5F1"/>
          </w:tcPr>
          <w:p>
            <w:pPr>
              <w:ind w:left="100"/>
              <w:spacing w:after="0" w:line="144" w:lineRule="exact"/>
              <w:rPr>
                <w:sz w:val="20"/>
                <w:szCs w:val="20"/>
                <w:color w:val="auto"/>
              </w:rPr>
            </w:pPr>
            <w:r>
              <w:rPr>
                <w:rFonts w:ascii="Arial" w:cs="Arial" w:eastAsia="Arial" w:hAnsi="Arial"/>
                <w:sz w:val="13"/>
                <w:szCs w:val="13"/>
                <w:b w:val="1"/>
                <w:bCs w:val="1"/>
                <w:color w:val="auto"/>
              </w:rPr>
              <w:t>Balance at December 31, 2024</w:t>
            </w:r>
          </w:p>
        </w:tc>
        <w:tc>
          <w:tcPr>
            <w:tcW w:w="120" w:type="dxa"/>
            <w:vAlign w:val="bottom"/>
            <w:shd w:val="clear" w:color="auto" w:fill="F0F5F1"/>
          </w:tcPr>
          <w:p>
            <w:pPr>
              <w:spacing w:after="0"/>
              <w:rPr>
                <w:sz w:val="12"/>
                <w:szCs w:val="12"/>
                <w:color w:val="auto"/>
              </w:rPr>
            </w:pPr>
          </w:p>
        </w:tc>
        <w:tc>
          <w:tcPr>
            <w:tcW w:w="100" w:type="dxa"/>
            <w:vAlign w:val="bottom"/>
            <w:shd w:val="clear" w:color="auto" w:fill="F0F5F1"/>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8,380,000</w:t>
            </w:r>
          </w:p>
        </w:tc>
        <w:tc>
          <w:tcPr>
            <w:tcW w:w="100" w:type="dxa"/>
            <w:vAlign w:val="bottom"/>
            <w:shd w:val="clear" w:color="auto" w:fill="F0F5F1"/>
          </w:tcPr>
          <w:p>
            <w:pPr>
              <w:spacing w:after="0"/>
              <w:rPr>
                <w:sz w:val="12"/>
                <w:szCs w:val="12"/>
                <w:color w:val="auto"/>
              </w:rPr>
            </w:pPr>
          </w:p>
        </w:tc>
        <w:tc>
          <w:tcPr>
            <w:tcW w:w="240" w:type="dxa"/>
            <w:vAlign w:val="bottom"/>
            <w:gridSpan w:val="2"/>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1240" w:type="dxa"/>
            <w:vAlign w:val="bottom"/>
            <w:gridSpan w:val="2"/>
            <w:shd w:val="clear" w:color="auto" w:fill="F0F5F1"/>
          </w:tcPr>
          <w:p>
            <w:pPr>
              <w:jc w:val="right"/>
              <w:ind w:right="120"/>
              <w:spacing w:after="0" w:line="144" w:lineRule="exact"/>
              <w:rPr>
                <w:sz w:val="20"/>
                <w:szCs w:val="20"/>
                <w:color w:val="auto"/>
              </w:rPr>
            </w:pPr>
            <w:r>
              <w:rPr>
                <w:rFonts w:ascii="Arial" w:cs="Arial" w:eastAsia="Arial" w:hAnsi="Arial"/>
                <w:sz w:val="13"/>
                <w:szCs w:val="13"/>
                <w:b w:val="1"/>
                <w:bCs w:val="1"/>
                <w:color w:val="auto"/>
              </w:rPr>
              <w:t>93,281,213</w:t>
            </w:r>
          </w:p>
        </w:tc>
        <w:tc>
          <w:tcPr>
            <w:tcW w:w="240" w:type="dxa"/>
            <w:vAlign w:val="bottom"/>
            <w:gridSpan w:val="2"/>
            <w:shd w:val="clear" w:color="auto" w:fill="F0F5F1"/>
          </w:tcPr>
          <w:p>
            <w:pPr>
              <w:jc w:val="right"/>
              <w:ind w:right="10"/>
              <w:spacing w:after="0" w:line="144" w:lineRule="exact"/>
              <w:rPr>
                <w:sz w:val="20"/>
                <w:szCs w:val="20"/>
                <w:color w:val="auto"/>
              </w:rPr>
            </w:pPr>
            <w:r>
              <w:rPr>
                <w:rFonts w:ascii="Arial" w:cs="Arial" w:eastAsia="Arial" w:hAnsi="Arial"/>
                <w:sz w:val="13"/>
                <w:szCs w:val="13"/>
                <w:b w:val="1"/>
                <w:bCs w:val="1"/>
                <w:color w:val="auto"/>
              </w:rPr>
              <w:t>$</w:t>
            </w:r>
          </w:p>
        </w:tc>
        <w:tc>
          <w:tcPr>
            <w:tcW w:w="1340" w:type="dxa"/>
            <w:vAlign w:val="bottom"/>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1,793,400</w:t>
            </w:r>
          </w:p>
        </w:tc>
        <w:tc>
          <w:tcPr>
            <w:tcW w:w="220" w:type="dxa"/>
            <w:vAlign w:val="bottom"/>
            <w:shd w:val="clear" w:color="auto" w:fill="F0F5F1"/>
          </w:tcPr>
          <w:p>
            <w:pPr>
              <w:spacing w:after="0"/>
              <w:rPr>
                <w:sz w:val="12"/>
                <w:szCs w:val="12"/>
                <w:color w:val="auto"/>
              </w:rPr>
            </w:pPr>
          </w:p>
        </w:tc>
        <w:tc>
          <w:tcPr>
            <w:tcW w:w="260" w:type="dxa"/>
            <w:vAlign w:val="bottom"/>
            <w:shd w:val="clear" w:color="auto" w:fill="F0F5F1"/>
          </w:tcPr>
          <w:p>
            <w:pPr>
              <w:jc w:val="right"/>
              <w:ind w:right="113"/>
              <w:spacing w:after="0" w:line="144" w:lineRule="exact"/>
              <w:rPr>
                <w:sz w:val="20"/>
                <w:szCs w:val="20"/>
                <w:color w:val="auto"/>
              </w:rPr>
            </w:pPr>
            <w:r>
              <w:rPr>
                <w:rFonts w:ascii="Arial" w:cs="Arial" w:eastAsia="Arial" w:hAnsi="Arial"/>
                <w:sz w:val="13"/>
                <w:szCs w:val="13"/>
                <w:b w:val="1"/>
                <w:bCs w:val="1"/>
                <w:color w:val="auto"/>
                <w:w w:val="82"/>
              </w:rPr>
              <w:t>$</w:t>
            </w:r>
          </w:p>
        </w:tc>
        <w:tc>
          <w:tcPr>
            <w:tcW w:w="1060" w:type="dxa"/>
            <w:vAlign w:val="bottom"/>
            <w:gridSpan w:val="2"/>
            <w:shd w:val="clear" w:color="auto" w:fill="F0F5F1"/>
          </w:tcPr>
          <w:p>
            <w:pPr>
              <w:jc w:val="right"/>
              <w:ind w:right="100"/>
              <w:spacing w:after="0" w:line="144" w:lineRule="exact"/>
              <w:rPr>
                <w:sz w:val="20"/>
                <w:szCs w:val="20"/>
                <w:color w:val="auto"/>
              </w:rPr>
            </w:pPr>
            <w:r>
              <w:rPr>
                <w:rFonts w:ascii="Arial" w:cs="Arial" w:eastAsia="Arial" w:hAnsi="Arial"/>
                <w:sz w:val="13"/>
                <w:szCs w:val="13"/>
                <w:b w:val="1"/>
                <w:bCs w:val="1"/>
                <w:color w:val="auto"/>
              </w:rPr>
              <w:t>103,454,613</w:t>
            </w:r>
          </w:p>
        </w:tc>
      </w:tr>
      <w:tr>
        <w:trPr>
          <w:trHeight w:val="151"/>
        </w:trPr>
        <w:tc>
          <w:tcPr>
            <w:tcW w:w="5180" w:type="dxa"/>
            <w:vAlign w:val="bottom"/>
            <w:shd w:val="clear" w:color="auto" w:fill="F0F5F1"/>
          </w:tcPr>
          <w:p>
            <w:pPr>
              <w:ind w:left="100"/>
              <w:spacing w:after="0"/>
              <w:rPr>
                <w:sz w:val="20"/>
                <w:szCs w:val="20"/>
                <w:color w:val="auto"/>
              </w:rPr>
            </w:pPr>
            <w:r>
              <w:rPr>
                <w:rFonts w:ascii="Arial" w:cs="Arial" w:eastAsia="Arial" w:hAnsi="Arial"/>
                <w:sz w:val="13"/>
                <w:szCs w:val="13"/>
                <w:color w:val="auto"/>
              </w:rPr>
              <w:t>Realized loss including earnings</w:t>
            </w:r>
          </w:p>
        </w:tc>
        <w:tc>
          <w:tcPr>
            <w:tcW w:w="120" w:type="dxa"/>
            <w:vAlign w:val="bottom"/>
            <w:shd w:val="clear" w:color="auto" w:fill="F0F5F1"/>
          </w:tcPr>
          <w:p>
            <w:pPr>
              <w:spacing w:after="0"/>
              <w:rPr>
                <w:sz w:val="13"/>
                <w:szCs w:val="13"/>
                <w:color w:val="auto"/>
              </w:rPr>
            </w:pPr>
          </w:p>
        </w:tc>
        <w:tc>
          <w:tcPr>
            <w:tcW w:w="100" w:type="dxa"/>
            <w:vAlign w:val="bottom"/>
            <w:shd w:val="clear" w:color="auto" w:fill="F0F5F1"/>
          </w:tcPr>
          <w:p>
            <w:pPr>
              <w:spacing w:after="0"/>
              <w:rPr>
                <w:sz w:val="13"/>
                <w:szCs w:val="13"/>
                <w:color w:val="auto"/>
              </w:rPr>
            </w:pPr>
          </w:p>
        </w:tc>
        <w:tc>
          <w:tcPr>
            <w:tcW w:w="124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240" w:type="dxa"/>
            <w:vAlign w:val="bottom"/>
            <w:gridSpan w:val="2"/>
            <w:shd w:val="clear" w:color="auto" w:fill="F0F5F1"/>
          </w:tcPr>
          <w:p>
            <w:pPr>
              <w:jc w:val="right"/>
              <w:ind w:right="60"/>
              <w:spacing w:after="0"/>
              <w:rPr>
                <w:sz w:val="20"/>
                <w:szCs w:val="20"/>
                <w:color w:val="auto"/>
              </w:rPr>
            </w:pPr>
            <w:r>
              <w:rPr>
                <w:rFonts w:ascii="Arial" w:cs="Arial" w:eastAsia="Arial" w:hAnsi="Arial"/>
                <w:sz w:val="13"/>
                <w:szCs w:val="13"/>
                <w:color w:val="auto"/>
              </w:rPr>
              <w:t>(3,762,476)</w:t>
            </w: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560" w:type="dxa"/>
            <w:vAlign w:val="bottom"/>
            <w:gridSpan w:val="2"/>
            <w:shd w:val="clear" w:color="auto" w:fill="F0F5F1"/>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F0F5F1"/>
          </w:tcPr>
          <w:p>
            <w:pPr>
              <w:spacing w:after="0"/>
              <w:rPr>
                <w:sz w:val="13"/>
                <w:szCs w:val="13"/>
                <w:color w:val="auto"/>
              </w:rPr>
            </w:pPr>
          </w:p>
        </w:tc>
        <w:tc>
          <w:tcPr>
            <w:tcW w:w="1060" w:type="dxa"/>
            <w:vAlign w:val="bottom"/>
            <w:gridSpan w:val="2"/>
            <w:shd w:val="clear" w:color="auto" w:fill="F0F5F1"/>
          </w:tcPr>
          <w:p>
            <w:pPr>
              <w:jc w:val="right"/>
              <w:ind w:right="40"/>
              <w:spacing w:after="0"/>
              <w:rPr>
                <w:sz w:val="20"/>
                <w:szCs w:val="20"/>
                <w:color w:val="auto"/>
              </w:rPr>
            </w:pPr>
            <w:r>
              <w:rPr>
                <w:rFonts w:ascii="Arial" w:cs="Arial" w:eastAsia="Arial" w:hAnsi="Arial"/>
                <w:sz w:val="13"/>
                <w:szCs w:val="13"/>
                <w:color w:val="auto"/>
              </w:rPr>
              <w:t>(3,762,476)</w:t>
            </w:r>
          </w:p>
        </w:tc>
      </w:tr>
      <w:tr>
        <w:trPr>
          <w:trHeight w:val="151"/>
        </w:trPr>
        <w:tc>
          <w:tcPr>
            <w:tcW w:w="5180" w:type="dxa"/>
            <w:vAlign w:val="bottom"/>
            <w:shd w:val="clear" w:color="auto" w:fill="F0F5F1"/>
          </w:tcPr>
          <w:p>
            <w:pPr>
              <w:ind w:left="100"/>
              <w:spacing w:after="0"/>
              <w:rPr>
                <w:sz w:val="20"/>
                <w:szCs w:val="20"/>
                <w:color w:val="auto"/>
              </w:rPr>
            </w:pPr>
            <w:r>
              <w:rPr>
                <w:rFonts w:ascii="Arial" w:cs="Arial" w:eastAsia="Arial" w:hAnsi="Arial"/>
                <w:sz w:val="13"/>
                <w:szCs w:val="13"/>
                <w:color w:val="auto"/>
              </w:rPr>
              <w:t>Unrealized depreciation on investments</w:t>
            </w:r>
          </w:p>
        </w:tc>
        <w:tc>
          <w:tcPr>
            <w:tcW w:w="120" w:type="dxa"/>
            <w:vAlign w:val="bottom"/>
            <w:shd w:val="clear" w:color="auto" w:fill="F0F5F1"/>
          </w:tcPr>
          <w:p>
            <w:pPr>
              <w:spacing w:after="0"/>
              <w:rPr>
                <w:sz w:val="13"/>
                <w:szCs w:val="13"/>
                <w:color w:val="auto"/>
              </w:rPr>
            </w:pPr>
          </w:p>
        </w:tc>
        <w:tc>
          <w:tcPr>
            <w:tcW w:w="100" w:type="dxa"/>
            <w:vAlign w:val="bottom"/>
            <w:shd w:val="clear" w:color="auto" w:fill="F0F5F1"/>
          </w:tcPr>
          <w:p>
            <w:pPr>
              <w:spacing w:after="0"/>
              <w:rPr>
                <w:sz w:val="13"/>
                <w:szCs w:val="13"/>
                <w:color w:val="auto"/>
              </w:rPr>
            </w:pPr>
          </w:p>
        </w:tc>
        <w:tc>
          <w:tcPr>
            <w:tcW w:w="11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375,750</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240" w:type="dxa"/>
            <w:vAlign w:val="bottom"/>
            <w:gridSpan w:val="2"/>
            <w:shd w:val="clear" w:color="auto" w:fill="F0F5F1"/>
          </w:tcPr>
          <w:p>
            <w:pPr>
              <w:jc w:val="right"/>
              <w:ind w:right="120"/>
              <w:spacing w:after="0"/>
              <w:rPr>
                <w:sz w:val="20"/>
                <w:szCs w:val="20"/>
                <w:color w:val="auto"/>
              </w:rPr>
            </w:pPr>
            <w:r>
              <w:rPr>
                <w:rFonts w:ascii="Arial" w:cs="Arial" w:eastAsia="Arial" w:hAnsi="Arial"/>
                <w:sz w:val="13"/>
                <w:szCs w:val="13"/>
                <w:color w:val="auto"/>
              </w:rPr>
              <w:t>7,603,456</w:t>
            </w: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560" w:type="dxa"/>
            <w:vAlign w:val="bottom"/>
            <w:gridSpan w:val="2"/>
            <w:shd w:val="clear" w:color="auto" w:fill="F0F5F1"/>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F0F5F1"/>
          </w:tcPr>
          <w:p>
            <w:pPr>
              <w:spacing w:after="0"/>
              <w:rPr>
                <w:sz w:val="13"/>
                <w:szCs w:val="13"/>
                <w:color w:val="auto"/>
              </w:rPr>
            </w:pPr>
          </w:p>
        </w:tc>
        <w:tc>
          <w:tcPr>
            <w:tcW w:w="106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7,979,206</w:t>
            </w:r>
          </w:p>
        </w:tc>
      </w:tr>
      <w:tr>
        <w:trPr>
          <w:trHeight w:val="151"/>
        </w:trPr>
        <w:tc>
          <w:tcPr>
            <w:tcW w:w="5180" w:type="dxa"/>
            <w:vAlign w:val="bottom"/>
            <w:shd w:val="clear" w:color="auto" w:fill="F0F5F1"/>
          </w:tcPr>
          <w:p>
            <w:pPr>
              <w:ind w:left="100"/>
              <w:spacing w:after="0"/>
              <w:rPr>
                <w:sz w:val="20"/>
                <w:szCs w:val="20"/>
                <w:color w:val="auto"/>
              </w:rPr>
            </w:pPr>
            <w:r>
              <w:rPr>
                <w:rFonts w:ascii="Arial" w:cs="Arial" w:eastAsia="Arial" w:hAnsi="Arial"/>
                <w:sz w:val="13"/>
                <w:szCs w:val="13"/>
                <w:color w:val="auto"/>
              </w:rPr>
              <w:t>Purchases</w:t>
            </w:r>
          </w:p>
        </w:tc>
        <w:tc>
          <w:tcPr>
            <w:tcW w:w="120" w:type="dxa"/>
            <w:vAlign w:val="bottom"/>
            <w:shd w:val="clear" w:color="auto" w:fill="F0F5F1"/>
          </w:tcPr>
          <w:p>
            <w:pPr>
              <w:spacing w:after="0"/>
              <w:rPr>
                <w:sz w:val="13"/>
                <w:szCs w:val="13"/>
                <w:color w:val="auto"/>
              </w:rPr>
            </w:pPr>
          </w:p>
        </w:tc>
        <w:tc>
          <w:tcPr>
            <w:tcW w:w="100" w:type="dxa"/>
            <w:vAlign w:val="bottom"/>
            <w:shd w:val="clear" w:color="auto" w:fill="F0F5F1"/>
          </w:tcPr>
          <w:p>
            <w:pPr>
              <w:spacing w:after="0"/>
              <w:rPr>
                <w:sz w:val="13"/>
                <w:szCs w:val="13"/>
                <w:color w:val="auto"/>
              </w:rPr>
            </w:pPr>
          </w:p>
        </w:tc>
        <w:tc>
          <w:tcPr>
            <w:tcW w:w="11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240" w:type="dxa"/>
            <w:vAlign w:val="bottom"/>
            <w:gridSpan w:val="2"/>
            <w:shd w:val="clear" w:color="auto" w:fill="F0F5F1"/>
          </w:tcPr>
          <w:p>
            <w:pPr>
              <w:jc w:val="right"/>
              <w:ind w:right="120"/>
              <w:spacing w:after="0"/>
              <w:rPr>
                <w:sz w:val="20"/>
                <w:szCs w:val="20"/>
                <w:color w:val="auto"/>
              </w:rPr>
            </w:pPr>
            <w:r>
              <w:rPr>
                <w:rFonts w:ascii="Arial" w:cs="Arial" w:eastAsia="Arial" w:hAnsi="Arial"/>
                <w:sz w:val="13"/>
                <w:szCs w:val="13"/>
                <w:color w:val="auto"/>
              </w:rPr>
              <w:t>44,082,668</w:t>
            </w: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560" w:type="dxa"/>
            <w:vAlign w:val="bottom"/>
            <w:gridSpan w:val="2"/>
            <w:shd w:val="clear" w:color="auto" w:fill="F0F5F1"/>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F0F5F1"/>
          </w:tcPr>
          <w:p>
            <w:pPr>
              <w:spacing w:after="0"/>
              <w:rPr>
                <w:sz w:val="13"/>
                <w:szCs w:val="13"/>
                <w:color w:val="auto"/>
              </w:rPr>
            </w:pPr>
          </w:p>
        </w:tc>
        <w:tc>
          <w:tcPr>
            <w:tcW w:w="106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46,082,668</w:t>
            </w:r>
          </w:p>
        </w:tc>
      </w:tr>
      <w:tr>
        <w:trPr>
          <w:trHeight w:val="151"/>
        </w:trPr>
        <w:tc>
          <w:tcPr>
            <w:tcW w:w="5180" w:type="dxa"/>
            <w:vAlign w:val="bottom"/>
            <w:shd w:val="clear" w:color="auto" w:fill="F0F5F1"/>
          </w:tcPr>
          <w:p>
            <w:pPr>
              <w:ind w:left="100"/>
              <w:spacing w:after="0"/>
              <w:rPr>
                <w:sz w:val="20"/>
                <w:szCs w:val="20"/>
                <w:color w:val="auto"/>
              </w:rPr>
            </w:pPr>
            <w:r>
              <w:rPr>
                <w:rFonts w:ascii="Arial" w:cs="Arial" w:eastAsia="Arial" w:hAnsi="Arial"/>
                <w:sz w:val="13"/>
                <w:szCs w:val="13"/>
                <w:color w:val="auto"/>
              </w:rPr>
              <w:t>Sales</w:t>
            </w:r>
          </w:p>
        </w:tc>
        <w:tc>
          <w:tcPr>
            <w:tcW w:w="120" w:type="dxa"/>
            <w:vAlign w:val="bottom"/>
            <w:shd w:val="clear" w:color="auto" w:fill="F0F5F1"/>
          </w:tcPr>
          <w:p>
            <w:pPr>
              <w:spacing w:after="0"/>
              <w:rPr>
                <w:sz w:val="13"/>
                <w:szCs w:val="13"/>
                <w:color w:val="auto"/>
              </w:rPr>
            </w:pPr>
          </w:p>
        </w:tc>
        <w:tc>
          <w:tcPr>
            <w:tcW w:w="100" w:type="dxa"/>
            <w:vAlign w:val="bottom"/>
            <w:shd w:val="clear" w:color="auto" w:fill="F0F5F1"/>
          </w:tcPr>
          <w:p>
            <w:pPr>
              <w:spacing w:after="0"/>
              <w:rPr>
                <w:sz w:val="13"/>
                <w:szCs w:val="13"/>
                <w:color w:val="auto"/>
              </w:rPr>
            </w:pPr>
          </w:p>
        </w:tc>
        <w:tc>
          <w:tcPr>
            <w:tcW w:w="11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240" w:type="dxa"/>
            <w:vAlign w:val="bottom"/>
            <w:gridSpan w:val="2"/>
            <w:shd w:val="clear" w:color="auto" w:fill="F0F5F1"/>
          </w:tcPr>
          <w:p>
            <w:pPr>
              <w:jc w:val="right"/>
              <w:ind w:right="60"/>
              <w:spacing w:after="0"/>
              <w:rPr>
                <w:sz w:val="20"/>
                <w:szCs w:val="20"/>
                <w:color w:val="auto"/>
              </w:rPr>
            </w:pPr>
            <w:r>
              <w:rPr>
                <w:rFonts w:ascii="Arial" w:cs="Arial" w:eastAsia="Arial" w:hAnsi="Arial"/>
                <w:sz w:val="13"/>
                <w:szCs w:val="13"/>
                <w:color w:val="auto"/>
              </w:rPr>
              <w:t>(33,338,161)</w:t>
            </w: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560" w:type="dxa"/>
            <w:vAlign w:val="bottom"/>
            <w:gridSpan w:val="2"/>
            <w:shd w:val="clear" w:color="auto" w:fill="F0F5F1"/>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F0F5F1"/>
          </w:tcPr>
          <w:p>
            <w:pPr>
              <w:spacing w:after="0"/>
              <w:rPr>
                <w:sz w:val="13"/>
                <w:szCs w:val="13"/>
                <w:color w:val="auto"/>
              </w:rPr>
            </w:pPr>
          </w:p>
        </w:tc>
        <w:tc>
          <w:tcPr>
            <w:tcW w:w="1060" w:type="dxa"/>
            <w:vAlign w:val="bottom"/>
            <w:gridSpan w:val="2"/>
            <w:shd w:val="clear" w:color="auto" w:fill="F0F5F1"/>
          </w:tcPr>
          <w:p>
            <w:pPr>
              <w:jc w:val="right"/>
              <w:ind w:right="40"/>
              <w:spacing w:after="0"/>
              <w:rPr>
                <w:sz w:val="20"/>
                <w:szCs w:val="20"/>
                <w:color w:val="auto"/>
              </w:rPr>
            </w:pPr>
            <w:r>
              <w:rPr>
                <w:rFonts w:ascii="Arial" w:cs="Arial" w:eastAsia="Arial" w:hAnsi="Arial"/>
                <w:sz w:val="13"/>
                <w:szCs w:val="13"/>
                <w:color w:val="auto"/>
              </w:rPr>
              <w:t>(38,338,161)</w:t>
            </w:r>
          </w:p>
        </w:tc>
      </w:tr>
      <w:tr>
        <w:trPr>
          <w:trHeight w:val="151"/>
        </w:trPr>
        <w:tc>
          <w:tcPr>
            <w:tcW w:w="5180" w:type="dxa"/>
            <w:vAlign w:val="bottom"/>
            <w:shd w:val="clear" w:color="auto" w:fill="F0F5F1"/>
          </w:tcPr>
          <w:p>
            <w:pPr>
              <w:ind w:left="100"/>
              <w:spacing w:after="0"/>
              <w:rPr>
                <w:sz w:val="20"/>
                <w:szCs w:val="20"/>
                <w:color w:val="auto"/>
              </w:rPr>
            </w:pPr>
            <w:r>
              <w:rPr>
                <w:rFonts w:ascii="Arial" w:cs="Arial" w:eastAsia="Arial" w:hAnsi="Arial"/>
                <w:sz w:val="13"/>
                <w:szCs w:val="13"/>
                <w:color w:val="auto"/>
              </w:rPr>
              <w:t>Transfers in</w:t>
            </w:r>
          </w:p>
        </w:tc>
        <w:tc>
          <w:tcPr>
            <w:tcW w:w="120" w:type="dxa"/>
            <w:vAlign w:val="bottom"/>
            <w:shd w:val="clear" w:color="auto" w:fill="F0F5F1"/>
          </w:tcPr>
          <w:p>
            <w:pPr>
              <w:spacing w:after="0"/>
              <w:rPr>
                <w:sz w:val="13"/>
                <w:szCs w:val="13"/>
                <w:color w:val="auto"/>
              </w:rPr>
            </w:pPr>
          </w:p>
        </w:tc>
        <w:tc>
          <w:tcPr>
            <w:tcW w:w="100" w:type="dxa"/>
            <w:vAlign w:val="bottom"/>
            <w:shd w:val="clear" w:color="auto" w:fill="F0F5F1"/>
          </w:tcPr>
          <w:p>
            <w:pPr>
              <w:spacing w:after="0"/>
              <w:rPr>
                <w:sz w:val="13"/>
                <w:szCs w:val="13"/>
                <w:color w:val="auto"/>
              </w:rPr>
            </w:pPr>
          </w:p>
        </w:tc>
        <w:tc>
          <w:tcPr>
            <w:tcW w:w="11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2,086,750</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240" w:type="dxa"/>
            <w:vAlign w:val="bottom"/>
            <w:gridSpan w:val="2"/>
            <w:shd w:val="clear" w:color="auto" w:fill="F0F5F1"/>
          </w:tcPr>
          <w:p>
            <w:pPr>
              <w:jc w:val="right"/>
              <w:ind w:right="120"/>
              <w:spacing w:after="0"/>
              <w:rPr>
                <w:sz w:val="20"/>
                <w:szCs w:val="20"/>
                <w:color w:val="auto"/>
              </w:rPr>
            </w:pPr>
            <w:r>
              <w:rPr>
                <w:rFonts w:ascii="Arial" w:cs="Arial" w:eastAsia="Arial" w:hAnsi="Arial"/>
                <w:sz w:val="13"/>
                <w:szCs w:val="13"/>
                <w:color w:val="auto"/>
              </w:rPr>
              <w:t>33,108,778</w:t>
            </w: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560" w:type="dxa"/>
            <w:vAlign w:val="bottom"/>
            <w:gridSpan w:val="2"/>
            <w:shd w:val="clear" w:color="auto" w:fill="F0F5F1"/>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F0F5F1"/>
          </w:tcPr>
          <w:p>
            <w:pPr>
              <w:spacing w:after="0"/>
              <w:rPr>
                <w:sz w:val="13"/>
                <w:szCs w:val="13"/>
                <w:color w:val="auto"/>
              </w:rPr>
            </w:pPr>
          </w:p>
        </w:tc>
        <w:tc>
          <w:tcPr>
            <w:tcW w:w="106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35,195,528</w:t>
            </w:r>
          </w:p>
        </w:tc>
      </w:tr>
      <w:tr>
        <w:trPr>
          <w:trHeight w:val="151"/>
        </w:trPr>
        <w:tc>
          <w:tcPr>
            <w:tcW w:w="5180" w:type="dxa"/>
            <w:vAlign w:val="bottom"/>
            <w:shd w:val="clear" w:color="auto" w:fill="F0F5F1"/>
          </w:tcPr>
          <w:p>
            <w:pPr>
              <w:ind w:left="100"/>
              <w:spacing w:after="0"/>
              <w:rPr>
                <w:sz w:val="20"/>
                <w:szCs w:val="20"/>
                <w:color w:val="auto"/>
              </w:rPr>
            </w:pPr>
            <w:r>
              <w:rPr>
                <w:rFonts w:ascii="Arial" w:cs="Arial" w:eastAsia="Arial" w:hAnsi="Arial"/>
                <w:sz w:val="13"/>
                <w:szCs w:val="13"/>
                <w:color w:val="auto"/>
              </w:rPr>
              <w:t>Transfers out</w:t>
            </w:r>
          </w:p>
        </w:tc>
        <w:tc>
          <w:tcPr>
            <w:tcW w:w="120" w:type="dxa"/>
            <w:vAlign w:val="bottom"/>
            <w:shd w:val="clear" w:color="auto" w:fill="F0F5F1"/>
          </w:tcPr>
          <w:p>
            <w:pPr>
              <w:spacing w:after="0"/>
              <w:rPr>
                <w:sz w:val="13"/>
                <w:szCs w:val="13"/>
                <w:color w:val="auto"/>
              </w:rPr>
            </w:pPr>
          </w:p>
        </w:tc>
        <w:tc>
          <w:tcPr>
            <w:tcW w:w="100" w:type="dxa"/>
            <w:vAlign w:val="bottom"/>
            <w:shd w:val="clear" w:color="auto" w:fill="F0F5F1"/>
          </w:tcPr>
          <w:p>
            <w:pPr>
              <w:spacing w:after="0"/>
              <w:rPr>
                <w:sz w:val="13"/>
                <w:szCs w:val="13"/>
                <w:color w:val="auto"/>
              </w:rPr>
            </w:pPr>
          </w:p>
        </w:tc>
        <w:tc>
          <w:tcPr>
            <w:tcW w:w="11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12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1560" w:type="dxa"/>
            <w:vAlign w:val="bottom"/>
            <w:gridSpan w:val="2"/>
            <w:shd w:val="clear" w:color="auto" w:fill="F0F5F1"/>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F0F5F1"/>
          </w:tcPr>
          <w:p>
            <w:pPr>
              <w:spacing w:after="0"/>
              <w:rPr>
                <w:sz w:val="13"/>
                <w:szCs w:val="13"/>
                <w:color w:val="auto"/>
              </w:rPr>
            </w:pPr>
          </w:p>
        </w:tc>
        <w:tc>
          <w:tcPr>
            <w:tcW w:w="106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w:t>
            </w:r>
          </w:p>
        </w:tc>
      </w:tr>
      <w:tr>
        <w:trPr>
          <w:trHeight w:val="163"/>
        </w:trPr>
        <w:tc>
          <w:tcPr>
            <w:tcW w:w="5180" w:type="dxa"/>
            <w:vAlign w:val="bottom"/>
            <w:shd w:val="clear" w:color="auto" w:fill="F0F5F1"/>
          </w:tcPr>
          <w:p>
            <w:pPr>
              <w:ind w:left="100"/>
              <w:spacing w:after="0"/>
              <w:rPr>
                <w:sz w:val="20"/>
                <w:szCs w:val="20"/>
                <w:color w:val="auto"/>
              </w:rPr>
            </w:pPr>
            <w:r>
              <w:rPr>
                <w:rFonts w:ascii="Arial" w:cs="Arial" w:eastAsia="Arial" w:hAnsi="Arial"/>
                <w:sz w:val="13"/>
                <w:szCs w:val="13"/>
                <w:color w:val="auto"/>
              </w:rPr>
              <w:t>Amortization</w:t>
            </w:r>
          </w:p>
        </w:tc>
        <w:tc>
          <w:tcPr>
            <w:tcW w:w="120" w:type="dxa"/>
            <w:vAlign w:val="bottom"/>
            <w:shd w:val="clear" w:color="auto" w:fill="F0F5F1"/>
          </w:tcPr>
          <w:p>
            <w:pPr>
              <w:spacing w:after="0"/>
              <w:rPr>
                <w:sz w:val="14"/>
                <w:szCs w:val="14"/>
                <w:color w:val="auto"/>
              </w:rPr>
            </w:pPr>
          </w:p>
        </w:tc>
        <w:tc>
          <w:tcPr>
            <w:tcW w:w="100" w:type="dxa"/>
            <w:vAlign w:val="bottom"/>
            <w:shd w:val="clear" w:color="auto" w:fill="F0F5F1"/>
          </w:tcPr>
          <w:p>
            <w:pPr>
              <w:spacing w:after="0"/>
              <w:rPr>
                <w:sz w:val="14"/>
                <w:szCs w:val="14"/>
                <w:color w:val="auto"/>
              </w:rPr>
            </w:pPr>
          </w:p>
        </w:tc>
        <w:tc>
          <w:tcPr>
            <w:tcW w:w="11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5F1"/>
          </w:tcPr>
          <w:p>
            <w:pPr>
              <w:spacing w:after="0"/>
              <w:rPr>
                <w:sz w:val="14"/>
                <w:szCs w:val="14"/>
                <w:color w:val="auto"/>
              </w:rPr>
            </w:pPr>
          </w:p>
        </w:tc>
        <w:tc>
          <w:tcPr>
            <w:tcW w:w="120" w:type="dxa"/>
            <w:vAlign w:val="bottom"/>
            <w:shd w:val="clear" w:color="auto" w:fill="F0F5F1"/>
          </w:tcPr>
          <w:p>
            <w:pPr>
              <w:spacing w:after="0"/>
              <w:rPr>
                <w:sz w:val="14"/>
                <w:szCs w:val="14"/>
                <w:color w:val="auto"/>
              </w:rPr>
            </w:pPr>
          </w:p>
        </w:tc>
        <w:tc>
          <w:tcPr>
            <w:tcW w:w="120" w:type="dxa"/>
            <w:vAlign w:val="bottom"/>
            <w:shd w:val="clear" w:color="auto" w:fill="F0F5F1"/>
          </w:tcPr>
          <w:p>
            <w:pPr>
              <w:spacing w:after="0"/>
              <w:rPr>
                <w:sz w:val="14"/>
                <w:szCs w:val="14"/>
                <w:color w:val="auto"/>
              </w:rPr>
            </w:pPr>
          </w:p>
        </w:tc>
        <w:tc>
          <w:tcPr>
            <w:tcW w:w="1120" w:type="dxa"/>
            <w:vAlign w:val="bottom"/>
            <w:shd w:val="clear" w:color="auto" w:fill="F0F5F1"/>
          </w:tcPr>
          <w:p>
            <w:pPr>
              <w:jc w:val="right"/>
              <w:spacing w:after="0"/>
              <w:rPr>
                <w:sz w:val="20"/>
                <w:szCs w:val="20"/>
                <w:color w:val="auto"/>
              </w:rPr>
            </w:pPr>
            <w:r>
              <w:rPr>
                <w:rFonts w:ascii="Arial" w:cs="Arial" w:eastAsia="Arial" w:hAnsi="Arial"/>
                <w:sz w:val="13"/>
                <w:szCs w:val="13"/>
                <w:color w:val="auto"/>
              </w:rPr>
              <w:t>5,322</w:t>
            </w:r>
          </w:p>
        </w:tc>
        <w:tc>
          <w:tcPr>
            <w:tcW w:w="120" w:type="dxa"/>
            <w:vAlign w:val="bottom"/>
            <w:shd w:val="clear" w:color="auto" w:fill="F0F5F1"/>
          </w:tcPr>
          <w:p>
            <w:pPr>
              <w:spacing w:after="0"/>
              <w:rPr>
                <w:sz w:val="14"/>
                <w:szCs w:val="14"/>
                <w:color w:val="auto"/>
              </w:rPr>
            </w:pPr>
          </w:p>
        </w:tc>
        <w:tc>
          <w:tcPr>
            <w:tcW w:w="120" w:type="dxa"/>
            <w:vAlign w:val="bottom"/>
            <w:shd w:val="clear" w:color="auto" w:fill="F0F5F1"/>
          </w:tcPr>
          <w:p>
            <w:pPr>
              <w:spacing w:after="0"/>
              <w:rPr>
                <w:sz w:val="14"/>
                <w:szCs w:val="14"/>
                <w:color w:val="auto"/>
              </w:rPr>
            </w:pPr>
          </w:p>
        </w:tc>
        <w:tc>
          <w:tcPr>
            <w:tcW w:w="120" w:type="dxa"/>
            <w:vAlign w:val="bottom"/>
            <w:shd w:val="clear" w:color="auto" w:fill="F0F5F1"/>
          </w:tcPr>
          <w:p>
            <w:pPr>
              <w:spacing w:after="0"/>
              <w:rPr>
                <w:sz w:val="14"/>
                <w:szCs w:val="14"/>
                <w:color w:val="auto"/>
              </w:rPr>
            </w:pPr>
          </w:p>
        </w:tc>
        <w:tc>
          <w:tcPr>
            <w:tcW w:w="1560" w:type="dxa"/>
            <w:vAlign w:val="bottom"/>
            <w:gridSpan w:val="2"/>
            <w:shd w:val="clear" w:color="auto" w:fill="F0F5F1"/>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F0F5F1"/>
          </w:tcPr>
          <w:p>
            <w:pPr>
              <w:spacing w:after="0"/>
              <w:rPr>
                <w:sz w:val="14"/>
                <w:szCs w:val="14"/>
                <w:color w:val="auto"/>
              </w:rPr>
            </w:pPr>
          </w:p>
        </w:tc>
        <w:tc>
          <w:tcPr>
            <w:tcW w:w="1060" w:type="dxa"/>
            <w:vAlign w:val="bottom"/>
            <w:gridSpan w:val="2"/>
            <w:shd w:val="clear" w:color="auto" w:fill="F0F5F1"/>
          </w:tcPr>
          <w:p>
            <w:pPr>
              <w:jc w:val="right"/>
              <w:ind w:right="100"/>
              <w:spacing w:after="0"/>
              <w:rPr>
                <w:sz w:val="20"/>
                <w:szCs w:val="20"/>
                <w:color w:val="auto"/>
              </w:rPr>
            </w:pPr>
            <w:r>
              <w:rPr>
                <w:rFonts w:ascii="Arial" w:cs="Arial" w:eastAsia="Arial" w:hAnsi="Arial"/>
                <w:sz w:val="13"/>
                <w:szCs w:val="13"/>
                <w:color w:val="auto"/>
              </w:rPr>
              <w:t>5,322</w:t>
            </w:r>
          </w:p>
        </w:tc>
      </w:tr>
      <w:tr>
        <w:trPr>
          <w:trHeight w:val="143"/>
        </w:trPr>
        <w:tc>
          <w:tcPr>
            <w:tcW w:w="5180" w:type="dxa"/>
            <w:vAlign w:val="bottom"/>
            <w:tcBorders>
              <w:top w:val="single" w:sz="8" w:color="F0F5F1"/>
            </w:tcBorders>
            <w:shd w:val="clear" w:color="auto" w:fill="F0F5F1"/>
          </w:tcPr>
          <w:p>
            <w:pPr>
              <w:ind w:left="100"/>
              <w:spacing w:after="0" w:line="144" w:lineRule="exact"/>
              <w:rPr>
                <w:sz w:val="20"/>
                <w:szCs w:val="20"/>
                <w:color w:val="auto"/>
              </w:rPr>
            </w:pPr>
            <w:r>
              <w:rPr>
                <w:rFonts w:ascii="Arial" w:cs="Arial" w:eastAsia="Arial" w:hAnsi="Arial"/>
                <w:sz w:val="13"/>
                <w:szCs w:val="13"/>
                <w:b w:val="1"/>
                <w:bCs w:val="1"/>
                <w:color w:val="auto"/>
              </w:rPr>
              <w:t>Balance at December 31, 2025</w:t>
            </w:r>
          </w:p>
        </w:tc>
        <w:tc>
          <w:tcPr>
            <w:tcW w:w="120" w:type="dxa"/>
            <w:vAlign w:val="bottom"/>
            <w:tcBorders>
              <w:top w:val="single" w:sz="8" w:color="F0F5F1"/>
            </w:tcBorders>
            <w:shd w:val="clear" w:color="auto" w:fill="F0F5F1"/>
          </w:tcPr>
          <w:p>
            <w:pPr>
              <w:spacing w:after="0"/>
              <w:rPr>
                <w:sz w:val="12"/>
                <w:szCs w:val="12"/>
                <w:color w:val="auto"/>
              </w:rPr>
            </w:pPr>
          </w:p>
        </w:tc>
        <w:tc>
          <w:tcPr>
            <w:tcW w:w="100" w:type="dxa"/>
            <w:vAlign w:val="bottom"/>
            <w:tcBorders>
              <w:top w:val="single" w:sz="8" w:color="auto"/>
              <w:bottom w:val="single" w:sz="8" w:color="auto"/>
            </w:tcBorders>
            <w:shd w:val="clear" w:color="auto" w:fill="F0F5F1"/>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7,842,500</w:t>
            </w:r>
          </w:p>
        </w:tc>
        <w:tc>
          <w:tcPr>
            <w:tcW w:w="100" w:type="dxa"/>
            <w:vAlign w:val="bottom"/>
            <w:tcBorders>
              <w:top w:val="single" w:sz="8" w:color="F0F5F1"/>
            </w:tcBorders>
            <w:shd w:val="clear" w:color="auto" w:fill="F0F5F1"/>
          </w:tcPr>
          <w:p>
            <w:pPr>
              <w:spacing w:after="0"/>
              <w:rPr>
                <w:sz w:val="12"/>
                <w:szCs w:val="12"/>
                <w:color w:val="auto"/>
              </w:rPr>
            </w:pPr>
          </w:p>
        </w:tc>
        <w:tc>
          <w:tcPr>
            <w:tcW w:w="120" w:type="dxa"/>
            <w:vAlign w:val="bottom"/>
            <w:tcBorders>
              <w:top w:val="single" w:sz="8" w:color="F0F5F1"/>
            </w:tcBorders>
            <w:shd w:val="clear" w:color="auto" w:fill="F0F5F1"/>
          </w:tcPr>
          <w:p>
            <w:pPr>
              <w:spacing w:after="0"/>
              <w:rPr>
                <w:sz w:val="12"/>
                <w:szCs w:val="12"/>
                <w:color w:val="auto"/>
              </w:rPr>
            </w:pPr>
          </w:p>
        </w:tc>
        <w:tc>
          <w:tcPr>
            <w:tcW w:w="120" w:type="dxa"/>
            <w:vAlign w:val="bottom"/>
            <w:tcBorders>
              <w:top w:val="single" w:sz="8" w:color="auto"/>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1120" w:type="dxa"/>
            <w:vAlign w:val="bottom"/>
            <w:tcBorders>
              <w:top w:val="single" w:sz="8" w:color="auto"/>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140,980,800</w:t>
            </w:r>
          </w:p>
        </w:tc>
        <w:tc>
          <w:tcPr>
            <w:tcW w:w="120" w:type="dxa"/>
            <w:vAlign w:val="bottom"/>
            <w:tcBorders>
              <w:top w:val="single" w:sz="8" w:color="F0F5F1"/>
            </w:tcBorders>
            <w:shd w:val="clear" w:color="auto" w:fill="F0F5F1"/>
          </w:tcPr>
          <w:p>
            <w:pPr>
              <w:spacing w:after="0"/>
              <w:rPr>
                <w:sz w:val="12"/>
                <w:szCs w:val="12"/>
                <w:color w:val="auto"/>
              </w:rPr>
            </w:pPr>
          </w:p>
        </w:tc>
        <w:tc>
          <w:tcPr>
            <w:tcW w:w="120" w:type="dxa"/>
            <w:vAlign w:val="bottom"/>
            <w:tcBorders>
              <w:top w:val="single" w:sz="8" w:color="F0F5F1"/>
            </w:tcBorders>
            <w:shd w:val="clear" w:color="auto" w:fill="F0F5F1"/>
          </w:tcPr>
          <w:p>
            <w:pPr>
              <w:spacing w:after="0"/>
              <w:rPr>
                <w:sz w:val="12"/>
                <w:szCs w:val="12"/>
                <w:color w:val="auto"/>
              </w:rPr>
            </w:pPr>
          </w:p>
        </w:tc>
        <w:tc>
          <w:tcPr>
            <w:tcW w:w="120" w:type="dxa"/>
            <w:vAlign w:val="bottom"/>
            <w:tcBorders>
              <w:top w:val="single" w:sz="8" w:color="auto"/>
              <w:bottom w:val="single" w:sz="8" w:color="auto"/>
            </w:tcBorders>
            <w:shd w:val="clear" w:color="auto" w:fill="F0F5F1"/>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top w:val="single" w:sz="8" w:color="auto"/>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1,793,400</w:t>
            </w:r>
          </w:p>
        </w:tc>
        <w:tc>
          <w:tcPr>
            <w:tcW w:w="220" w:type="dxa"/>
            <w:vAlign w:val="bottom"/>
            <w:tcBorders>
              <w:top w:val="single" w:sz="8" w:color="F0F5F1"/>
            </w:tcBorders>
            <w:shd w:val="clear" w:color="auto" w:fill="F0F5F1"/>
          </w:tcPr>
          <w:p>
            <w:pPr>
              <w:spacing w:after="0"/>
              <w:rPr>
                <w:sz w:val="12"/>
                <w:szCs w:val="12"/>
                <w:color w:val="auto"/>
              </w:rPr>
            </w:pPr>
          </w:p>
        </w:tc>
        <w:tc>
          <w:tcPr>
            <w:tcW w:w="260" w:type="dxa"/>
            <w:vAlign w:val="bottom"/>
            <w:tcBorders>
              <w:top w:val="single" w:sz="8" w:color="auto"/>
              <w:bottom w:val="single" w:sz="8" w:color="auto"/>
            </w:tcBorders>
            <w:shd w:val="clear" w:color="auto" w:fill="F0F5F1"/>
          </w:tcPr>
          <w:p>
            <w:pPr>
              <w:jc w:val="right"/>
              <w:ind w:right="113"/>
              <w:spacing w:after="0" w:line="144" w:lineRule="exact"/>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b w:val="1"/>
                <w:bCs w:val="1"/>
                <w:color w:val="auto"/>
              </w:rPr>
              <w:t>150,616,700</w:t>
            </w:r>
          </w:p>
        </w:tc>
        <w:tc>
          <w:tcPr>
            <w:tcW w:w="100" w:type="dxa"/>
            <w:vAlign w:val="bottom"/>
            <w:tcBorders>
              <w:top w:val="single" w:sz="8" w:color="F0F5F1"/>
            </w:tcBorders>
            <w:shd w:val="clear" w:color="auto" w:fill="F0F5F1"/>
          </w:tcPr>
          <w:p>
            <w:pPr>
              <w:spacing w:after="0"/>
              <w:rPr>
                <w:sz w:val="12"/>
                <w:szCs w:val="12"/>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change in unrealized depreciation on Level 3 securities held as of December 31, 2025 was $7,979,206.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20" w:type="dxa"/>
            <w:vAlign w:val="bottom"/>
            <w:shd w:val="clear" w:color="auto" w:fill="F0F5F1"/>
          </w:tcPr>
          <w:p>
            <w:pPr>
              <w:spacing w:after="0"/>
              <w:rPr>
                <w:sz w:val="12"/>
                <w:szCs w:val="12"/>
                <w:color w:val="auto"/>
              </w:rPr>
            </w:pPr>
          </w:p>
        </w:tc>
        <w:tc>
          <w:tcPr>
            <w:tcW w:w="100" w:type="dxa"/>
            <w:vAlign w:val="bottom"/>
            <w:shd w:val="clear" w:color="auto" w:fill="F0F5F1"/>
          </w:tcPr>
          <w:p>
            <w:pPr>
              <w:spacing w:after="0"/>
              <w:rPr>
                <w:sz w:val="12"/>
                <w:szCs w:val="12"/>
                <w:color w:val="auto"/>
              </w:rPr>
            </w:pPr>
          </w:p>
        </w:tc>
        <w:tc>
          <w:tcPr>
            <w:tcW w:w="1360" w:type="dxa"/>
            <w:vAlign w:val="bottom"/>
            <w:shd w:val="clear" w:color="auto" w:fill="F0F5F1"/>
          </w:tcPr>
          <w:p>
            <w:pPr>
              <w:spacing w:after="0"/>
              <w:rPr>
                <w:sz w:val="12"/>
                <w:szCs w:val="12"/>
                <w:color w:val="auto"/>
              </w:rPr>
            </w:pPr>
          </w:p>
        </w:tc>
        <w:tc>
          <w:tcPr>
            <w:tcW w:w="180" w:type="dxa"/>
            <w:vAlign w:val="bottom"/>
            <w:shd w:val="clear" w:color="auto" w:fill="F0F5F1"/>
          </w:tcPr>
          <w:p>
            <w:pPr>
              <w:spacing w:after="0"/>
              <w:rPr>
                <w:sz w:val="12"/>
                <w:szCs w:val="12"/>
                <w:color w:val="auto"/>
              </w:rPr>
            </w:pPr>
          </w:p>
        </w:tc>
        <w:tc>
          <w:tcPr>
            <w:tcW w:w="1440" w:type="dxa"/>
            <w:vAlign w:val="bottom"/>
            <w:shd w:val="clear" w:color="auto" w:fill="F0F5F1"/>
          </w:tcPr>
          <w:p>
            <w:pPr>
              <w:spacing w:after="0"/>
              <w:rPr>
                <w:sz w:val="12"/>
                <w:szCs w:val="12"/>
                <w:color w:val="auto"/>
              </w:rPr>
            </w:pPr>
          </w:p>
        </w:tc>
        <w:tc>
          <w:tcPr>
            <w:tcW w:w="1820" w:type="dxa"/>
            <w:vAlign w:val="bottom"/>
            <w:shd w:val="clear" w:color="auto" w:fill="F0F5F1"/>
          </w:tcPr>
          <w:p>
            <w:pPr>
              <w:spacing w:after="0"/>
              <w:rPr>
                <w:sz w:val="12"/>
                <w:szCs w:val="12"/>
                <w:color w:val="auto"/>
              </w:rPr>
            </w:pPr>
          </w:p>
        </w:tc>
        <w:tc>
          <w:tcPr>
            <w:tcW w:w="1200" w:type="dxa"/>
            <w:vAlign w:val="bottom"/>
            <w:shd w:val="clear" w:color="auto" w:fill="F0F5F1"/>
          </w:tcPr>
          <w:p>
            <w:pPr>
              <w:spacing w:after="0"/>
              <w:rPr>
                <w:sz w:val="12"/>
                <w:szCs w:val="12"/>
                <w:color w:val="auto"/>
              </w:rPr>
            </w:pPr>
          </w:p>
        </w:tc>
        <w:tc>
          <w:tcPr>
            <w:tcW w:w="2020" w:type="dxa"/>
            <w:vAlign w:val="bottom"/>
            <w:shd w:val="clear" w:color="auto" w:fill="F0F5F1"/>
          </w:tcPr>
          <w:p>
            <w:pPr>
              <w:jc w:val="center"/>
              <w:ind w:left="576"/>
              <w:spacing w:after="0"/>
              <w:rPr>
                <w:sz w:val="20"/>
                <w:szCs w:val="20"/>
                <w:color w:val="auto"/>
              </w:rPr>
            </w:pPr>
            <w:r>
              <w:rPr>
                <w:rFonts w:ascii="Arial" w:cs="Arial" w:eastAsia="Arial" w:hAnsi="Arial"/>
                <w:sz w:val="12"/>
                <w:szCs w:val="12"/>
                <w:color w:val="auto"/>
                <w:w w:val="94"/>
              </w:rPr>
              <w:t>IMPACT TO</w:t>
            </w:r>
          </w:p>
        </w:tc>
        <w:tc>
          <w:tcPr>
            <w:tcW w:w="300" w:type="dxa"/>
            <w:vAlign w:val="bottom"/>
            <w:shd w:val="clear" w:color="auto" w:fill="F0F5F1"/>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540" w:type="dxa"/>
            <w:vAlign w:val="bottom"/>
            <w:gridSpan w:val="2"/>
            <w:shd w:val="clear" w:color="auto" w:fill="F0F5F1"/>
          </w:tcPr>
          <w:p>
            <w:pPr>
              <w:jc w:val="right"/>
              <w:ind w:right="480"/>
              <w:spacing w:after="0" w:line="126" w:lineRule="exact"/>
              <w:rPr>
                <w:sz w:val="20"/>
                <w:szCs w:val="20"/>
                <w:color w:val="auto"/>
              </w:rPr>
            </w:pPr>
            <w:r>
              <w:rPr>
                <w:rFonts w:ascii="Arial" w:cs="Arial" w:eastAsia="Arial" w:hAnsi="Arial"/>
                <w:sz w:val="12"/>
                <w:szCs w:val="12"/>
                <w:color w:val="auto"/>
              </w:rPr>
              <w:t>FAIR VALUE AT</w:t>
            </w:r>
          </w:p>
        </w:tc>
        <w:tc>
          <w:tcPr>
            <w:tcW w:w="1440" w:type="dxa"/>
            <w:vAlign w:val="bottom"/>
            <w:shd w:val="clear" w:color="auto" w:fill="F0F5F1"/>
          </w:tcPr>
          <w:p>
            <w:pPr>
              <w:ind w:left="400"/>
              <w:spacing w:after="0" w:line="126" w:lineRule="exact"/>
              <w:rPr>
                <w:sz w:val="20"/>
                <w:szCs w:val="20"/>
                <w:color w:val="auto"/>
              </w:rPr>
            </w:pPr>
            <w:r>
              <w:rPr>
                <w:rFonts w:ascii="Arial" w:cs="Arial" w:eastAsia="Arial" w:hAnsi="Arial"/>
                <w:sz w:val="12"/>
                <w:szCs w:val="12"/>
                <w:color w:val="auto"/>
              </w:rPr>
              <w:t>VALUATION</w:t>
            </w:r>
          </w:p>
        </w:tc>
        <w:tc>
          <w:tcPr>
            <w:tcW w:w="1820" w:type="dxa"/>
            <w:vAlign w:val="bottom"/>
            <w:shd w:val="clear" w:color="auto" w:fill="F0F5F1"/>
          </w:tcPr>
          <w:p>
            <w:pPr>
              <w:ind w:left="340"/>
              <w:spacing w:after="0" w:line="126" w:lineRule="exact"/>
              <w:rPr>
                <w:sz w:val="20"/>
                <w:szCs w:val="20"/>
                <w:color w:val="auto"/>
              </w:rPr>
            </w:pPr>
            <w:r>
              <w:rPr>
                <w:rFonts w:ascii="Arial" w:cs="Arial" w:eastAsia="Arial" w:hAnsi="Arial"/>
                <w:sz w:val="12"/>
                <w:szCs w:val="12"/>
                <w:color w:val="auto"/>
              </w:rPr>
              <w:t>UNOBSERVABLE</w:t>
            </w:r>
          </w:p>
        </w:tc>
        <w:tc>
          <w:tcPr>
            <w:tcW w:w="1200" w:type="dxa"/>
            <w:vAlign w:val="bottom"/>
            <w:shd w:val="clear" w:color="auto" w:fill="F0F5F1"/>
          </w:tcPr>
          <w:p>
            <w:pPr>
              <w:spacing w:after="0"/>
              <w:rPr>
                <w:sz w:val="10"/>
                <w:szCs w:val="10"/>
                <w:color w:val="auto"/>
              </w:rPr>
            </w:pPr>
          </w:p>
        </w:tc>
        <w:tc>
          <w:tcPr>
            <w:tcW w:w="2020" w:type="dxa"/>
            <w:vAlign w:val="bottom"/>
            <w:shd w:val="clear" w:color="auto" w:fill="F0F5F1"/>
          </w:tcPr>
          <w:p>
            <w:pPr>
              <w:jc w:val="center"/>
              <w:ind w:left="576"/>
              <w:spacing w:after="0" w:line="126" w:lineRule="exact"/>
              <w:rPr>
                <w:sz w:val="20"/>
                <w:szCs w:val="20"/>
                <w:color w:val="auto"/>
              </w:rPr>
            </w:pPr>
            <w:r>
              <w:rPr>
                <w:rFonts w:ascii="Arial" w:cs="Arial" w:eastAsia="Arial" w:hAnsi="Arial"/>
                <w:sz w:val="12"/>
                <w:szCs w:val="12"/>
                <w:color w:val="auto"/>
                <w:w w:val="96"/>
              </w:rPr>
              <w:t>VALUATION FROM AN</w:t>
            </w:r>
          </w:p>
        </w:tc>
        <w:tc>
          <w:tcPr>
            <w:tcW w:w="300" w:type="dxa"/>
            <w:vAlign w:val="bottom"/>
            <w:shd w:val="clear" w:color="auto" w:fill="F0F5F1"/>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820" w:type="dxa"/>
            <w:vAlign w:val="bottom"/>
            <w:tcBorders>
              <w:bottom w:val="single" w:sz="8" w:color="auto"/>
            </w:tcBorders>
            <w:shd w:val="clear" w:color="auto" w:fill="F0F5F1"/>
          </w:tcPr>
          <w:p>
            <w:pPr>
              <w:spacing w:after="0"/>
              <w:rPr>
                <w:sz w:val="12"/>
                <w:szCs w:val="12"/>
                <w:color w:val="auto"/>
              </w:rPr>
            </w:pPr>
          </w:p>
        </w:tc>
        <w:tc>
          <w:tcPr>
            <w:tcW w:w="100" w:type="dxa"/>
            <w:vAlign w:val="bottom"/>
            <w:tcBorders>
              <w:bottom w:val="single" w:sz="8" w:color="auto"/>
            </w:tcBorders>
            <w:shd w:val="clear" w:color="auto" w:fill="F0F5F1"/>
          </w:tcPr>
          <w:p>
            <w:pPr>
              <w:spacing w:after="0"/>
              <w:rPr>
                <w:sz w:val="12"/>
                <w:szCs w:val="12"/>
                <w:color w:val="auto"/>
              </w:rPr>
            </w:pPr>
          </w:p>
        </w:tc>
        <w:tc>
          <w:tcPr>
            <w:tcW w:w="1360" w:type="dxa"/>
            <w:vAlign w:val="bottom"/>
            <w:tcBorders>
              <w:bottom w:val="single" w:sz="8" w:color="auto"/>
            </w:tcBorders>
            <w:shd w:val="clear" w:color="auto" w:fill="F0F5F1"/>
          </w:tcPr>
          <w:p>
            <w:pPr>
              <w:jc w:val="right"/>
              <w:ind w:right="435"/>
              <w:spacing w:after="0"/>
              <w:rPr>
                <w:sz w:val="20"/>
                <w:szCs w:val="20"/>
                <w:color w:val="auto"/>
              </w:rPr>
            </w:pPr>
            <w:r>
              <w:rPr>
                <w:rFonts w:ascii="Arial" w:cs="Arial" w:eastAsia="Arial" w:hAnsi="Arial"/>
                <w:sz w:val="12"/>
                <w:szCs w:val="12"/>
                <w:color w:val="auto"/>
              </w:rPr>
              <w:t>12-31-25</w:t>
            </w:r>
          </w:p>
        </w:tc>
        <w:tc>
          <w:tcPr>
            <w:tcW w:w="180" w:type="dxa"/>
            <w:vAlign w:val="bottom"/>
            <w:tcBorders>
              <w:bottom w:val="single" w:sz="8" w:color="auto"/>
            </w:tcBorders>
            <w:shd w:val="clear" w:color="auto" w:fill="F0F5F1"/>
          </w:tcPr>
          <w:p>
            <w:pPr>
              <w:spacing w:after="0"/>
              <w:rPr>
                <w:sz w:val="12"/>
                <w:szCs w:val="12"/>
                <w:color w:val="auto"/>
              </w:rPr>
            </w:pPr>
          </w:p>
        </w:tc>
        <w:tc>
          <w:tcPr>
            <w:tcW w:w="1440" w:type="dxa"/>
            <w:vAlign w:val="bottom"/>
            <w:tcBorders>
              <w:bottom w:val="single" w:sz="8" w:color="auto"/>
            </w:tcBorders>
            <w:shd w:val="clear" w:color="auto" w:fill="F0F5F1"/>
          </w:tcPr>
          <w:p>
            <w:pPr>
              <w:ind w:left="340"/>
              <w:spacing w:after="0"/>
              <w:rPr>
                <w:sz w:val="20"/>
                <w:szCs w:val="20"/>
                <w:color w:val="auto"/>
              </w:rPr>
            </w:pPr>
            <w:r>
              <w:rPr>
                <w:rFonts w:ascii="Arial" w:cs="Arial" w:eastAsia="Arial" w:hAnsi="Arial"/>
                <w:sz w:val="12"/>
                <w:szCs w:val="12"/>
                <w:color w:val="auto"/>
              </w:rPr>
              <w:t>TECHNIQUES</w:t>
            </w:r>
          </w:p>
        </w:tc>
        <w:tc>
          <w:tcPr>
            <w:tcW w:w="1820" w:type="dxa"/>
            <w:vAlign w:val="bottom"/>
            <w:tcBorders>
              <w:bottom w:val="single" w:sz="8" w:color="auto"/>
            </w:tcBorders>
            <w:shd w:val="clear" w:color="auto" w:fill="F0F5F1"/>
          </w:tcPr>
          <w:p>
            <w:pPr>
              <w:ind w:left="600"/>
              <w:spacing w:after="0"/>
              <w:rPr>
                <w:sz w:val="20"/>
                <w:szCs w:val="20"/>
                <w:color w:val="auto"/>
              </w:rPr>
            </w:pPr>
            <w:r>
              <w:rPr>
                <w:rFonts w:ascii="Arial" w:cs="Arial" w:eastAsia="Arial" w:hAnsi="Arial"/>
                <w:sz w:val="12"/>
                <w:szCs w:val="12"/>
                <w:color w:val="auto"/>
              </w:rPr>
              <w:t>INPUTS</w:t>
            </w:r>
          </w:p>
        </w:tc>
        <w:tc>
          <w:tcPr>
            <w:tcW w:w="1200" w:type="dxa"/>
            <w:vAlign w:val="bottom"/>
            <w:tcBorders>
              <w:bottom w:val="single" w:sz="8" w:color="auto"/>
            </w:tcBorders>
            <w:shd w:val="clear" w:color="auto" w:fill="F0F5F1"/>
          </w:tcPr>
          <w:p>
            <w:pPr>
              <w:ind w:left="260"/>
              <w:spacing w:after="0"/>
              <w:rPr>
                <w:sz w:val="20"/>
                <w:szCs w:val="20"/>
                <w:color w:val="auto"/>
              </w:rPr>
            </w:pPr>
            <w:r>
              <w:rPr>
                <w:rFonts w:ascii="Arial" w:cs="Arial" w:eastAsia="Arial" w:hAnsi="Arial"/>
                <w:sz w:val="12"/>
                <w:szCs w:val="12"/>
                <w:color w:val="auto"/>
              </w:rPr>
              <w:t>ASSUMPTIONS</w:t>
            </w:r>
          </w:p>
        </w:tc>
        <w:tc>
          <w:tcPr>
            <w:tcW w:w="2020" w:type="dxa"/>
            <w:vAlign w:val="bottom"/>
            <w:tcBorders>
              <w:bottom w:val="single" w:sz="8" w:color="auto"/>
            </w:tcBorders>
            <w:shd w:val="clear" w:color="auto" w:fill="F0F5F1"/>
          </w:tcPr>
          <w:p>
            <w:pPr>
              <w:jc w:val="center"/>
              <w:ind w:left="576"/>
              <w:spacing w:after="0"/>
              <w:rPr>
                <w:sz w:val="20"/>
                <w:szCs w:val="20"/>
                <w:color w:val="auto"/>
              </w:rPr>
            </w:pPr>
            <w:r>
              <w:rPr>
                <w:rFonts w:ascii="Arial" w:cs="Arial" w:eastAsia="Arial" w:hAnsi="Arial"/>
                <w:sz w:val="12"/>
                <w:szCs w:val="12"/>
                <w:color w:val="auto"/>
                <w:w w:val="97"/>
              </w:rPr>
              <w:t>INCREASE TO INPUT</w:t>
            </w:r>
          </w:p>
        </w:tc>
        <w:tc>
          <w:tcPr>
            <w:tcW w:w="300" w:type="dxa"/>
            <w:vAlign w:val="bottom"/>
            <w:tcBorders>
              <w:bottom w:val="single" w:sz="8" w:color="auto"/>
            </w:tcBorders>
            <w:shd w:val="clear" w:color="auto" w:fill="F0F5F1"/>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F0F5F1"/>
          </w:tcPr>
          <w:p>
            <w:pPr>
              <w:ind w:left="100"/>
              <w:spacing w:after="0" w:line="144" w:lineRule="exact"/>
              <w:rPr>
                <w:sz w:val="20"/>
                <w:szCs w:val="20"/>
                <w:color w:val="auto"/>
              </w:rPr>
            </w:pPr>
            <w:r>
              <w:rPr>
                <w:rFonts w:ascii="Arial" w:cs="Arial" w:eastAsia="Arial" w:hAnsi="Arial"/>
                <w:sz w:val="13"/>
                <w:szCs w:val="13"/>
                <w:color w:val="auto"/>
              </w:rPr>
              <w:t>Term Loans</w:t>
            </w:r>
          </w:p>
        </w:tc>
        <w:tc>
          <w:tcPr>
            <w:tcW w:w="100" w:type="dxa"/>
            <w:vAlign w:val="bottom"/>
            <w:shd w:val="clear" w:color="auto" w:fill="F0F5F1"/>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F0F5F1"/>
          </w:tcPr>
          <w:p>
            <w:pPr>
              <w:jc w:val="right"/>
              <w:spacing w:after="0" w:line="144" w:lineRule="exact"/>
              <w:rPr>
                <w:sz w:val="20"/>
                <w:szCs w:val="20"/>
                <w:color w:val="auto"/>
              </w:rPr>
            </w:pPr>
            <w:r>
              <w:rPr>
                <w:rFonts w:ascii="Arial" w:cs="Arial" w:eastAsia="Arial" w:hAnsi="Arial"/>
                <w:sz w:val="13"/>
                <w:szCs w:val="13"/>
                <w:color w:val="auto"/>
              </w:rPr>
              <w:t>7,842,500</w:t>
            </w:r>
          </w:p>
        </w:tc>
        <w:tc>
          <w:tcPr>
            <w:tcW w:w="180" w:type="dxa"/>
            <w:vAlign w:val="bottom"/>
            <w:shd w:val="clear" w:color="auto" w:fill="F0F5F1"/>
          </w:tcPr>
          <w:p>
            <w:pPr>
              <w:spacing w:after="0"/>
              <w:rPr>
                <w:sz w:val="12"/>
                <w:szCs w:val="12"/>
                <w:color w:val="auto"/>
              </w:rPr>
            </w:pPr>
          </w:p>
        </w:tc>
        <w:tc>
          <w:tcPr>
            <w:tcW w:w="1440" w:type="dxa"/>
            <w:vAlign w:val="bottom"/>
            <w:shd w:val="clear" w:color="auto" w:fill="F0F5F1"/>
          </w:tcPr>
          <w:p>
            <w:pPr>
              <w:ind w:left="120"/>
              <w:spacing w:after="0" w:line="144" w:lineRule="exact"/>
              <w:rPr>
                <w:sz w:val="20"/>
                <w:szCs w:val="20"/>
                <w:color w:val="auto"/>
              </w:rPr>
            </w:pPr>
            <w:r>
              <w:rPr>
                <w:rFonts w:ascii="Arial" w:cs="Arial" w:eastAsia="Arial" w:hAnsi="Arial"/>
                <w:sz w:val="13"/>
                <w:szCs w:val="13"/>
                <w:color w:val="auto"/>
              </w:rPr>
              <w:t>Broker Quote</w:t>
            </w:r>
          </w:p>
        </w:tc>
        <w:tc>
          <w:tcPr>
            <w:tcW w:w="1820" w:type="dxa"/>
            <w:vAlign w:val="bottom"/>
            <w:shd w:val="clear" w:color="auto" w:fill="F0F5F1"/>
          </w:tcPr>
          <w:p>
            <w:pPr>
              <w:ind w:left="1420"/>
              <w:spacing w:after="0" w:line="144" w:lineRule="exact"/>
              <w:rPr>
                <w:sz w:val="20"/>
                <w:szCs w:val="20"/>
                <w:color w:val="auto"/>
              </w:rPr>
            </w:pPr>
            <w:r>
              <w:rPr>
                <w:rFonts w:ascii="Arial" w:cs="Arial" w:eastAsia="Arial" w:hAnsi="Arial"/>
                <w:sz w:val="13"/>
                <w:szCs w:val="13"/>
                <w:color w:val="auto"/>
              </w:rPr>
              <w:t>—</w:t>
            </w:r>
          </w:p>
        </w:tc>
        <w:tc>
          <w:tcPr>
            <w:tcW w:w="1200" w:type="dxa"/>
            <w:vAlign w:val="bottom"/>
            <w:shd w:val="clear" w:color="auto" w:fill="F0F5F1"/>
          </w:tcPr>
          <w:p>
            <w:pPr>
              <w:spacing w:after="0"/>
              <w:rPr>
                <w:sz w:val="12"/>
                <w:szCs w:val="12"/>
                <w:color w:val="auto"/>
              </w:rPr>
            </w:pPr>
          </w:p>
        </w:tc>
        <w:tc>
          <w:tcPr>
            <w:tcW w:w="2020" w:type="dxa"/>
            <w:vAlign w:val="bottom"/>
            <w:shd w:val="clear" w:color="auto" w:fill="F0F5F1"/>
          </w:tcPr>
          <w:p>
            <w:pPr>
              <w:ind w:left="100"/>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F0F5F1"/>
          </w:tcPr>
          <w:p>
            <w:pPr>
              <w:ind w:left="8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Regulatory Capital Relief Securities</w:t>
            </w:r>
          </w:p>
        </w:tc>
        <w:tc>
          <w:tcPr>
            <w:tcW w:w="100" w:type="dxa"/>
            <w:vAlign w:val="bottom"/>
            <w:shd w:val="clear" w:color="auto" w:fill="F0F5F1"/>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F0F5F1"/>
          </w:tcPr>
          <w:p>
            <w:pPr>
              <w:jc w:val="right"/>
              <w:ind w:right="180"/>
              <w:spacing w:after="0"/>
              <w:rPr>
                <w:sz w:val="20"/>
                <w:szCs w:val="20"/>
                <w:color w:val="auto"/>
              </w:rPr>
            </w:pPr>
            <w:r>
              <w:rPr>
                <w:rFonts w:ascii="Arial" w:cs="Arial" w:eastAsia="Arial" w:hAnsi="Arial"/>
                <w:sz w:val="13"/>
                <w:szCs w:val="13"/>
                <w:color w:val="auto"/>
              </w:rPr>
              <w:t>138,110,880</w:t>
            </w:r>
          </w:p>
        </w:tc>
        <w:tc>
          <w:tcPr>
            <w:tcW w:w="1440" w:type="dxa"/>
            <w:vAlign w:val="bottom"/>
            <w:shd w:val="clear" w:color="auto" w:fill="F0F5F1"/>
          </w:tcPr>
          <w:p>
            <w:pPr>
              <w:ind w:left="120"/>
              <w:spacing w:after="0"/>
              <w:rPr>
                <w:sz w:val="20"/>
                <w:szCs w:val="20"/>
                <w:color w:val="auto"/>
              </w:rPr>
            </w:pPr>
            <w:r>
              <w:rPr>
                <w:rFonts w:ascii="Arial" w:cs="Arial" w:eastAsia="Arial" w:hAnsi="Arial"/>
                <w:sz w:val="13"/>
                <w:szCs w:val="13"/>
                <w:color w:val="auto"/>
              </w:rPr>
              <w:t>Broker Quote</w:t>
            </w:r>
          </w:p>
        </w:tc>
        <w:tc>
          <w:tcPr>
            <w:tcW w:w="1820" w:type="dxa"/>
            <w:vAlign w:val="bottom"/>
            <w:shd w:val="clear" w:color="auto" w:fill="F0F5F1"/>
          </w:tcPr>
          <w:p>
            <w:pPr>
              <w:ind w:left="14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F0F5F1"/>
          </w:tcPr>
          <w:p>
            <w:pPr>
              <w:spacing w:after="0"/>
              <w:rPr>
                <w:sz w:val="13"/>
                <w:szCs w:val="13"/>
                <w:color w:val="auto"/>
              </w:rPr>
            </w:pPr>
          </w:p>
        </w:tc>
        <w:tc>
          <w:tcPr>
            <w:tcW w:w="20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F0F5F1"/>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Regulatory Capital Relief Securities</w:t>
            </w:r>
          </w:p>
        </w:tc>
        <w:tc>
          <w:tcPr>
            <w:tcW w:w="100" w:type="dxa"/>
            <w:vAlign w:val="bottom"/>
            <w:shd w:val="clear" w:color="auto" w:fill="F0F5F1"/>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F0F5F1"/>
          </w:tcPr>
          <w:p>
            <w:pPr>
              <w:jc w:val="right"/>
              <w:spacing w:after="0"/>
              <w:rPr>
                <w:sz w:val="20"/>
                <w:szCs w:val="20"/>
                <w:color w:val="auto"/>
              </w:rPr>
            </w:pPr>
            <w:r>
              <w:rPr>
                <w:rFonts w:ascii="Arial" w:cs="Arial" w:eastAsia="Arial" w:hAnsi="Arial"/>
                <w:sz w:val="13"/>
                <w:szCs w:val="13"/>
                <w:color w:val="auto"/>
              </w:rPr>
              <w:t>1,997,840</w:t>
            </w:r>
          </w:p>
        </w:tc>
        <w:tc>
          <w:tcPr>
            <w:tcW w:w="180" w:type="dxa"/>
            <w:vAlign w:val="bottom"/>
            <w:shd w:val="clear" w:color="auto" w:fill="F0F5F1"/>
          </w:tcPr>
          <w:p>
            <w:pPr>
              <w:spacing w:after="0"/>
              <w:rPr>
                <w:sz w:val="13"/>
                <w:szCs w:val="13"/>
                <w:color w:val="auto"/>
              </w:rPr>
            </w:pPr>
          </w:p>
        </w:tc>
        <w:tc>
          <w:tcPr>
            <w:tcW w:w="1440" w:type="dxa"/>
            <w:vAlign w:val="bottom"/>
            <w:shd w:val="clear" w:color="auto" w:fill="F0F5F1"/>
          </w:tcPr>
          <w:p>
            <w:pPr>
              <w:ind w:left="120"/>
              <w:spacing w:after="0"/>
              <w:rPr>
                <w:sz w:val="20"/>
                <w:szCs w:val="20"/>
                <w:color w:val="auto"/>
              </w:rPr>
            </w:pPr>
            <w:r>
              <w:rPr>
                <w:rFonts w:ascii="Arial" w:cs="Arial" w:eastAsia="Arial" w:hAnsi="Arial"/>
                <w:sz w:val="13"/>
                <w:szCs w:val="13"/>
                <w:color w:val="auto"/>
              </w:rPr>
              <w:t>Cost</w:t>
            </w:r>
          </w:p>
        </w:tc>
        <w:tc>
          <w:tcPr>
            <w:tcW w:w="1820" w:type="dxa"/>
            <w:vAlign w:val="bottom"/>
            <w:shd w:val="clear" w:color="auto" w:fill="F0F5F1"/>
          </w:tcPr>
          <w:p>
            <w:pPr>
              <w:ind w:left="14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F0F5F1"/>
          </w:tcPr>
          <w:p>
            <w:pPr>
              <w:spacing w:after="0"/>
              <w:rPr>
                <w:sz w:val="13"/>
                <w:szCs w:val="13"/>
                <w:color w:val="auto"/>
              </w:rPr>
            </w:pPr>
          </w:p>
        </w:tc>
        <w:tc>
          <w:tcPr>
            <w:tcW w:w="20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F0F5F1"/>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Regulatory Capital Relief Securities</w:t>
            </w:r>
          </w:p>
        </w:tc>
        <w:tc>
          <w:tcPr>
            <w:tcW w:w="100" w:type="dxa"/>
            <w:vAlign w:val="bottom"/>
            <w:shd w:val="clear" w:color="auto" w:fill="F0F5F1"/>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F0F5F1"/>
          </w:tcPr>
          <w:p>
            <w:pPr>
              <w:jc w:val="right"/>
              <w:spacing w:after="0"/>
              <w:rPr>
                <w:sz w:val="20"/>
                <w:szCs w:val="20"/>
                <w:color w:val="auto"/>
              </w:rPr>
            </w:pPr>
            <w:r>
              <w:rPr>
                <w:rFonts w:ascii="Arial" w:cs="Arial" w:eastAsia="Arial" w:hAnsi="Arial"/>
                <w:sz w:val="13"/>
                <w:szCs w:val="13"/>
                <w:color w:val="auto"/>
              </w:rPr>
              <w:t>872,080</w:t>
            </w:r>
          </w:p>
        </w:tc>
        <w:tc>
          <w:tcPr>
            <w:tcW w:w="180" w:type="dxa"/>
            <w:vAlign w:val="bottom"/>
            <w:shd w:val="clear" w:color="auto" w:fill="F0F5F1"/>
          </w:tcPr>
          <w:p>
            <w:pPr>
              <w:spacing w:after="0"/>
              <w:rPr>
                <w:sz w:val="13"/>
                <w:szCs w:val="13"/>
                <w:color w:val="auto"/>
              </w:rPr>
            </w:pPr>
          </w:p>
        </w:tc>
        <w:tc>
          <w:tcPr>
            <w:tcW w:w="1440" w:type="dxa"/>
            <w:vAlign w:val="bottom"/>
            <w:shd w:val="clear" w:color="auto" w:fill="F0F5F1"/>
          </w:tcPr>
          <w:p>
            <w:pPr>
              <w:ind w:left="120"/>
              <w:spacing w:after="0"/>
              <w:rPr>
                <w:sz w:val="20"/>
                <w:szCs w:val="20"/>
                <w:color w:val="auto"/>
              </w:rPr>
            </w:pPr>
            <w:r>
              <w:rPr>
                <w:rFonts w:ascii="Arial" w:cs="Arial" w:eastAsia="Arial" w:hAnsi="Arial"/>
                <w:sz w:val="13"/>
                <w:szCs w:val="13"/>
                <w:color w:val="auto"/>
              </w:rPr>
              <w:t>Residual</w:t>
            </w:r>
          </w:p>
        </w:tc>
        <w:tc>
          <w:tcPr>
            <w:tcW w:w="1820" w:type="dxa"/>
            <w:vAlign w:val="bottom"/>
            <w:shd w:val="clear" w:color="auto" w:fill="F0F5F1"/>
          </w:tcPr>
          <w:p>
            <w:pPr>
              <w:ind w:left="14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F0F5F1"/>
          </w:tcPr>
          <w:p>
            <w:pPr>
              <w:spacing w:after="0"/>
              <w:rPr>
                <w:sz w:val="13"/>
                <w:szCs w:val="13"/>
                <w:color w:val="auto"/>
              </w:rPr>
            </w:pPr>
          </w:p>
        </w:tc>
        <w:tc>
          <w:tcPr>
            <w:tcW w:w="20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F0F5F1"/>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820" w:type="dxa"/>
            <w:vAlign w:val="bottom"/>
            <w:tcBorders>
              <w:bottom w:val="single" w:sz="8" w:color="F0F5F1"/>
            </w:tcBorders>
            <w:shd w:val="clear" w:color="auto" w:fill="F0F5F1"/>
          </w:tcPr>
          <w:p>
            <w:pPr>
              <w:ind w:left="100"/>
              <w:spacing w:after="0"/>
              <w:rPr>
                <w:sz w:val="20"/>
                <w:szCs w:val="20"/>
                <w:color w:val="auto"/>
              </w:rPr>
            </w:pPr>
            <w:r>
              <w:rPr>
                <w:rFonts w:ascii="Arial" w:cs="Arial" w:eastAsia="Arial" w:hAnsi="Arial"/>
                <w:sz w:val="13"/>
                <w:szCs w:val="13"/>
                <w:color w:val="auto"/>
              </w:rPr>
              <w:t>Trust Preferred and Preferred Stock</w:t>
            </w:r>
          </w:p>
        </w:tc>
        <w:tc>
          <w:tcPr>
            <w:tcW w:w="10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1,793,400</w:t>
            </w:r>
          </w:p>
        </w:tc>
        <w:tc>
          <w:tcPr>
            <w:tcW w:w="180" w:type="dxa"/>
            <w:vAlign w:val="bottom"/>
            <w:tcBorders>
              <w:bottom w:val="single" w:sz="8" w:color="F0F5F1"/>
            </w:tcBorders>
            <w:shd w:val="clear" w:color="auto" w:fill="F0F5F1"/>
          </w:tcPr>
          <w:p>
            <w:pPr>
              <w:spacing w:after="0"/>
              <w:rPr>
                <w:sz w:val="14"/>
                <w:szCs w:val="14"/>
                <w:color w:val="auto"/>
              </w:rPr>
            </w:pPr>
          </w:p>
        </w:tc>
        <w:tc>
          <w:tcPr>
            <w:tcW w:w="1440" w:type="dxa"/>
            <w:vAlign w:val="bottom"/>
            <w:tcBorders>
              <w:bottom w:val="single" w:sz="8" w:color="F0F5F1"/>
            </w:tcBorders>
            <w:shd w:val="clear" w:color="auto" w:fill="F0F5F1"/>
          </w:tcPr>
          <w:p>
            <w:pPr>
              <w:ind w:left="120"/>
              <w:spacing w:after="0"/>
              <w:rPr>
                <w:sz w:val="20"/>
                <w:szCs w:val="20"/>
                <w:color w:val="auto"/>
              </w:rPr>
            </w:pPr>
            <w:r>
              <w:rPr>
                <w:rFonts w:ascii="Arial" w:cs="Arial" w:eastAsia="Arial" w:hAnsi="Arial"/>
                <w:sz w:val="13"/>
                <w:szCs w:val="13"/>
                <w:color w:val="auto"/>
              </w:rPr>
              <w:t>Broker Quote</w:t>
            </w:r>
          </w:p>
        </w:tc>
        <w:tc>
          <w:tcPr>
            <w:tcW w:w="1820" w:type="dxa"/>
            <w:vAlign w:val="bottom"/>
            <w:tcBorders>
              <w:bottom w:val="single" w:sz="8" w:color="F0F5F1"/>
            </w:tcBorders>
            <w:shd w:val="clear" w:color="auto" w:fill="F0F5F1"/>
          </w:tcPr>
          <w:p>
            <w:pPr>
              <w:ind w:left="14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F0F5F1"/>
            </w:tcBorders>
            <w:shd w:val="clear" w:color="auto" w:fill="F0F5F1"/>
          </w:tcPr>
          <w:p>
            <w:pPr>
              <w:spacing w:after="0"/>
              <w:rPr>
                <w:sz w:val="14"/>
                <w:szCs w:val="14"/>
                <w:color w:val="auto"/>
              </w:rPr>
            </w:pPr>
          </w:p>
        </w:tc>
        <w:tc>
          <w:tcPr>
            <w:tcW w:w="2020" w:type="dxa"/>
            <w:vAlign w:val="bottom"/>
            <w:tcBorders>
              <w:bottom w:val="single" w:sz="8" w:color="F0F5F1"/>
            </w:tcBorders>
            <w:shd w:val="clear" w:color="auto" w:fill="F0F5F1"/>
          </w:tcPr>
          <w:p>
            <w:pPr>
              <w:ind w:left="1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F0F5F1"/>
            </w:tcBorders>
            <w:shd w:val="clear" w:color="auto" w:fill="F0F5F1"/>
          </w:tcPr>
          <w:p>
            <w:pPr>
              <w:ind w:lef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820" w:type="dxa"/>
            <w:vAlign w:val="bottom"/>
            <w:tcBorders>
              <w:bottom w:val="single" w:sz="8" w:color="F0F5F1"/>
            </w:tcBorders>
            <w:shd w:val="clear" w:color="auto" w:fill="F0F5F1"/>
          </w:tcPr>
          <w:p>
            <w:pPr>
              <w:spacing w:after="0"/>
              <w:rPr>
                <w:sz w:val="13"/>
                <w:szCs w:val="13"/>
                <w:color w:val="auto"/>
              </w:rPr>
            </w:pPr>
          </w:p>
        </w:tc>
        <w:tc>
          <w:tcPr>
            <w:tcW w:w="10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150,616,700</w:t>
            </w:r>
          </w:p>
        </w:tc>
        <w:tc>
          <w:tcPr>
            <w:tcW w:w="180" w:type="dxa"/>
            <w:vAlign w:val="bottom"/>
            <w:tcBorders>
              <w:bottom w:val="single" w:sz="8" w:color="F0F5F1"/>
            </w:tcBorders>
            <w:shd w:val="clear" w:color="auto" w:fill="F0F5F1"/>
          </w:tcPr>
          <w:p>
            <w:pPr>
              <w:spacing w:after="0"/>
              <w:rPr>
                <w:sz w:val="13"/>
                <w:szCs w:val="13"/>
                <w:color w:val="auto"/>
              </w:rPr>
            </w:pPr>
          </w:p>
        </w:tc>
        <w:tc>
          <w:tcPr>
            <w:tcW w:w="1440" w:type="dxa"/>
            <w:vAlign w:val="bottom"/>
            <w:tcBorders>
              <w:bottom w:val="single" w:sz="8" w:color="F0F5F1"/>
            </w:tcBorders>
            <w:shd w:val="clear" w:color="auto" w:fill="F0F5F1"/>
          </w:tcPr>
          <w:p>
            <w:pPr>
              <w:spacing w:after="0"/>
              <w:rPr>
                <w:sz w:val="13"/>
                <w:szCs w:val="13"/>
                <w:color w:val="auto"/>
              </w:rPr>
            </w:pPr>
          </w:p>
        </w:tc>
        <w:tc>
          <w:tcPr>
            <w:tcW w:w="1820" w:type="dxa"/>
            <w:vAlign w:val="bottom"/>
            <w:tcBorders>
              <w:bottom w:val="single" w:sz="8" w:color="F0F5F1"/>
            </w:tcBorders>
            <w:shd w:val="clear" w:color="auto" w:fill="F0F5F1"/>
          </w:tcPr>
          <w:p>
            <w:pPr>
              <w:spacing w:after="0"/>
              <w:rPr>
                <w:sz w:val="13"/>
                <w:szCs w:val="13"/>
                <w:color w:val="auto"/>
              </w:rPr>
            </w:pPr>
          </w:p>
        </w:tc>
        <w:tc>
          <w:tcPr>
            <w:tcW w:w="1200" w:type="dxa"/>
            <w:vAlign w:val="bottom"/>
            <w:tcBorders>
              <w:bottom w:val="single" w:sz="8" w:color="F0F5F1"/>
            </w:tcBorders>
            <w:shd w:val="clear" w:color="auto" w:fill="F0F5F1"/>
          </w:tcPr>
          <w:p>
            <w:pPr>
              <w:spacing w:after="0"/>
              <w:rPr>
                <w:sz w:val="13"/>
                <w:szCs w:val="13"/>
                <w:color w:val="auto"/>
              </w:rPr>
            </w:pPr>
          </w:p>
        </w:tc>
        <w:tc>
          <w:tcPr>
            <w:tcW w:w="2020" w:type="dxa"/>
            <w:vAlign w:val="bottom"/>
            <w:tcBorders>
              <w:bottom w:val="single" w:sz="8" w:color="F0F5F1"/>
            </w:tcBorders>
            <w:shd w:val="clear" w:color="auto" w:fill="F0F5F1"/>
          </w:tcPr>
          <w:p>
            <w:pPr>
              <w:spacing w:after="0"/>
              <w:rPr>
                <w:sz w:val="13"/>
                <w:szCs w:val="13"/>
                <w:color w:val="auto"/>
              </w:rPr>
            </w:pPr>
          </w:p>
        </w:tc>
        <w:tc>
          <w:tcPr>
            <w:tcW w:w="300" w:type="dxa"/>
            <w:vAlign w:val="bottom"/>
            <w:tcBorders>
              <w:bottom w:val="single" w:sz="8" w:color="F0F5F1"/>
            </w:tcBorders>
            <w:shd w:val="clear" w:color="auto" w:fill="F0F5F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2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296B38"/>
              </w:rPr>
              <w:t xml:space="preserve">Annual Report </w:t>
            </w:r>
            <w:r>
              <w:rPr>
                <w:rFonts w:ascii="Arial" w:cs="Arial" w:eastAsia="Arial" w:hAnsi="Arial"/>
                <w:sz w:val="13"/>
                <w:szCs w:val="13"/>
                <w:color w:val="296B38"/>
              </w:rPr>
              <w:t>| ArrowMark Financial Corp.</w:t>
            </w:r>
          </w:p>
        </w:tc>
        <w:tc>
          <w:tcPr>
            <w:tcW w:w="300" w:type="dxa"/>
            <w:vAlign w:val="bottom"/>
            <w:vMerge w:val="restart"/>
          </w:tcPr>
          <w:p>
            <w:pPr>
              <w:ind w:left="160"/>
              <w:spacing w:after="0"/>
              <w:rPr>
                <w:sz w:val="20"/>
                <w:szCs w:val="20"/>
                <w:color w:val="auto"/>
              </w:rPr>
            </w:pPr>
            <w:r>
              <w:rPr>
                <w:rFonts w:ascii="Arial" w:cs="Arial" w:eastAsia="Arial" w:hAnsi="Arial"/>
                <w:sz w:val="13"/>
                <w:szCs w:val="13"/>
                <w:color w:val="296B38"/>
                <w:w w:val="82"/>
              </w:rPr>
              <w:t>22</w:t>
            </w:r>
          </w:p>
        </w:tc>
        <w:tc>
          <w:tcPr>
            <w:tcW w:w="0" w:type="dxa"/>
            <w:vAlign w:val="bottom"/>
          </w:tcPr>
          <w:p>
            <w:pPr>
              <w:spacing w:after="0" w:line="20" w:lineRule="exact"/>
              <w:rPr>
                <w:sz w:val="1"/>
                <w:szCs w:val="1"/>
                <w:color w:val="auto"/>
              </w:rPr>
            </w:pPr>
          </w:p>
        </w:tc>
      </w:tr>
      <w:tr>
        <w:trPr>
          <w:trHeight w:val="329"/>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0" w:right="339" w:bottom="1440" w:gutter="0" w:footer="0" w:header="0"/>
        </w:sectPr>
      </w:pPr>
    </w:p>
    <w:bookmarkStart w:id="27" w:name="page28"/>
    <w:bookmarkEnd w:id="27"/>
    <w:p>
      <w:pPr>
        <w:jc w:val="both"/>
        <w:spacing w:after="0" w:line="246" w:lineRule="auto"/>
        <w:rPr>
          <w:sz w:val="20"/>
          <w:szCs w:val="20"/>
          <w:color w:val="auto"/>
        </w:rPr>
      </w:pPr>
      <w:r>
        <w:rPr>
          <w:rFonts w:ascii="Arial" w:cs="Arial" w:eastAsia="Arial" w:hAnsi="Arial"/>
          <w:sz w:val="16"/>
          <w:szCs w:val="16"/>
          <w:color w:val="auto"/>
        </w:rPr>
        <w:t>In accordance with Regulation S-X Rules 3-09 and 4-08(g), the Company evaluates its unconsolidated subsidiary-Community Funding 2018, LLC (CF 2018) as a significant subsidiary under the respective rules. However, as of December 31, 2025, CF 2018 was not considered a significant subsidiary under Regulation S-X Rule 1-02(w).</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auto"/>
        </w:rPr>
        <w:t xml:space="preserve">Securities Transactions, Investment Income and Expenses </w:t>
      </w:r>
      <w:r>
        <w:rPr>
          <w:rFonts w:ascii="Arial" w:cs="Arial" w:eastAsia="Arial" w:hAnsi="Arial"/>
          <w:sz w:val="16"/>
          <w:szCs w:val="16"/>
          <w:color w:val="auto"/>
        </w:rPr>
        <w:t>— Securities transactions are recorded on trade date for accounting and financial statement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preparation purposes. Realized gains and losses on investments sold are recorded on the identified cost basis. Interest income is recorded on the accrual basis. Accretion of discounts and amortization of premiums are recorded on a daily basis using the effective yield method except for short term securities, which records discounts and premiums on a straight-line basis. Dividends are recorded on the ex-dividend date.</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 xml:space="preserve">Dividends and Distributions to Shareholders </w:t>
      </w:r>
      <w:r>
        <w:rPr>
          <w:rFonts w:ascii="Arial" w:cs="Arial" w:eastAsia="Arial" w:hAnsi="Arial"/>
          <w:sz w:val="16"/>
          <w:szCs w:val="16"/>
          <w:color w:val="auto"/>
        </w:rPr>
        <w:t>— Dividends from net investment income, if any, are declared and paid quarterly. Distributions, if any,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short-term capital gain and net capital gain (the excess of net long-term capital gain over the short-term capital loss) realized by AMFC, after deducting any available capital loss carryovers are declared and paid to shareholders at least annually. Income dividends and capital gain distributions are determined in accordance with U.S. federal income tax regulations, which may differ from U.S.GAAP. These differences include the treatment of non-taxable dividends, losses deferred due to wash sales and excise tax regulations. Permanent book and tax basis differences relating to shareholder distributions will result in reclassifications within the components of net assets.</w:t>
      </w:r>
    </w:p>
    <w:p>
      <w:pPr>
        <w:spacing w:after="0" w:line="146" w:lineRule="exact"/>
        <w:rPr>
          <w:sz w:val="20"/>
          <w:szCs w:val="20"/>
          <w:color w:val="auto"/>
        </w:rPr>
      </w:pPr>
    </w:p>
    <w:p>
      <w:pPr>
        <w:jc w:val="both"/>
        <w:spacing w:after="0" w:line="232" w:lineRule="auto"/>
        <w:rPr>
          <w:sz w:val="20"/>
          <w:szCs w:val="20"/>
          <w:color w:val="auto"/>
        </w:rPr>
      </w:pPr>
      <w:r>
        <w:rPr>
          <w:rFonts w:ascii="Arial" w:cs="Arial" w:eastAsia="Arial" w:hAnsi="Arial"/>
          <w:sz w:val="16"/>
          <w:szCs w:val="16"/>
          <w:b w:val="1"/>
          <w:bCs w:val="1"/>
          <w:color w:val="auto"/>
        </w:rPr>
        <w:t xml:space="preserve">Written Options </w:t>
      </w:r>
      <w:r>
        <w:rPr>
          <w:rFonts w:ascii="Arial" w:cs="Arial" w:eastAsia="Arial" w:hAnsi="Arial"/>
          <w:sz w:val="16"/>
          <w:szCs w:val="16"/>
          <w:color w:val="auto"/>
        </w:rPr>
        <w:t>— The Fund is subject to equity and other risk exposure in the normal course of pursuing its investment objectives and may enter into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to hedge against changes in interest rates, foreign exchange rates and values of equities. Such options may relate to particular securities or domestic stock indices, and may or may not be listed on a domestic securities exchange or issued by the Options Clearing Corporation. An option contract is a commitment that gives the purchaser of the contract the right, but not the obligation, to buy or sell an underlying asset at a specific price on or before a specified future date. On the other hand, the writer of an option contract is obligated, upon the exercise of the option, to buy or sell an underlying asset at a specific price on or before a specified future date. The maximum risk of loss associated with writing put options is limited to the exercised fair value of the option contract. The maximum risk of loss associated with writing call options is potentially unlimited. The Fund also has the additional risk of being unable to enter into a closing transaction at an acceptable price if a liquid secondary market does not exist. The Fund also may write over-the-counter options where completing the obligation depends upon the credit standing of the other party. Option contracts also involve the risk that they may result in loss due to unanticipated developments in market conditions or other causes. Written options are initially recorded as liabilities to the extent of premiums received and subsequently marked to market to reflect the current value of the option written. Gains or losses are realized when the option transaction expires or closes. When an option is exercised, the proceeds on sales for a written call option or the purchase cost for a written put option is adjusted by the amount of the premium received. Listed option contracts present minimal counterparty credit risk since they are exchange traded and the exchange’s clearinghouse, as counterparty to all exchange-traded options, guarantees the options against default. The Fund’s maximum risk of loss from counterparty credit risk related to OTC option contracts is limited to the premium paid.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2025 the Fund’s quarterly average volume of derivatives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120650</wp:posOffset>
            </wp:positionV>
            <wp:extent cx="2138680" cy="422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38680" cy="422910"/>
                    </a:xfrm>
                    <a:prstGeom prst="rect">
                      <a:avLst/>
                    </a:prstGeom>
                    <a:noFill/>
                  </pic:spPr>
                </pic:pic>
              </a:graphicData>
            </a:graphic>
          </wp:anchor>
        </w:drawing>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Written</w:t>
      </w:r>
    </w:p>
    <w:p>
      <w:pPr>
        <w:jc w:val="center"/>
        <w:ind w:right="-19"/>
        <w:spacing w:after="0" w:line="218" w:lineRule="auto"/>
        <w:rPr>
          <w:sz w:val="20"/>
          <w:szCs w:val="20"/>
          <w:color w:val="auto"/>
        </w:rPr>
      </w:pPr>
      <w:r>
        <w:rPr>
          <w:rFonts w:ascii="Arial" w:cs="Arial" w:eastAsia="Arial" w:hAnsi="Arial"/>
          <w:sz w:val="12"/>
          <w:szCs w:val="12"/>
          <w:b w:val="1"/>
          <w:bCs w:val="1"/>
          <w:color w:val="auto"/>
        </w:rPr>
        <w:t>Options</w:t>
      </w:r>
    </w:p>
    <w:p>
      <w:pPr>
        <w:jc w:val="center"/>
        <w:ind w:right="-19"/>
        <w:spacing w:after="0"/>
        <w:rPr>
          <w:sz w:val="20"/>
          <w:szCs w:val="20"/>
          <w:color w:val="auto"/>
        </w:rPr>
      </w:pPr>
      <w:r>
        <w:rPr>
          <w:rFonts w:ascii="Arial" w:cs="Arial" w:eastAsia="Arial" w:hAnsi="Arial"/>
          <w:sz w:val="12"/>
          <w:szCs w:val="12"/>
          <w:b w:val="1"/>
          <w:bCs w:val="1"/>
          <w:color w:val="auto"/>
        </w:rPr>
        <w:t>(Proceeds)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$(466,801)</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296B38"/>
        </w:rPr>
        <w:t>23</w:t>
      </w:r>
      <w:r>
        <w:rPr>
          <w:sz w:val="20"/>
          <w:szCs w:val="20"/>
          <w:color w:val="auto"/>
        </w:rPr>
        <w:tab/>
      </w:r>
      <w:r>
        <w:rPr>
          <w:rFonts w:ascii="Arial" w:cs="Arial" w:eastAsia="Arial" w:hAnsi="Arial"/>
          <w:sz w:val="13"/>
          <w:szCs w:val="13"/>
          <w:color w:val="296B38"/>
        </w:rPr>
        <w:t xml:space="preserve">ArrowMark Financial Corp. | </w:t>
      </w:r>
      <w:r>
        <w:rPr>
          <w:rFonts w:ascii="Arial" w:cs="Arial" w:eastAsia="Arial" w:hAnsi="Arial"/>
          <w:sz w:val="13"/>
          <w:szCs w:val="13"/>
          <w:b w:val="1"/>
          <w:bCs w:val="1"/>
          <w:color w:val="296B38"/>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spacing w:after="0" w:line="236" w:lineRule="auto"/>
        <w:rPr>
          <w:sz w:val="20"/>
          <w:szCs w:val="20"/>
          <w:color w:val="auto"/>
        </w:rPr>
      </w:pPr>
      <w:r>
        <w:rPr>
          <w:rFonts w:ascii="Arial" w:cs="Arial" w:eastAsia="Arial" w:hAnsi="Arial"/>
          <w:sz w:val="16"/>
          <w:szCs w:val="16"/>
          <w:b w:val="1"/>
          <w:bCs w:val="1"/>
          <w:color w:val="auto"/>
        </w:rPr>
        <w:t xml:space="preserve">Forward Foreign Currency Transactions/Contracts </w:t>
      </w:r>
      <w:r>
        <w:rPr>
          <w:rFonts w:ascii="Arial" w:cs="Arial" w:eastAsia="Arial" w:hAnsi="Arial"/>
          <w:sz w:val="16"/>
          <w:szCs w:val="16"/>
          <w:color w:val="auto"/>
        </w:rPr>
        <w:t>— The Fund may enter into forward foreign currency contracts to hedge against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rate risk on their non-U.S. dollar denominated securities or to facilitate settlement of foreign currency denominated portfolio transactions. A forward foreign currency contract is an agreement between two parties to buy and sell a currency at a set price on a future date. The contract is marked-to-market daily and the change in value is recorded by the Fund as an unrealized gain or loss. When a forward foreign currency contract is extinguished, through either delivery or offset by entering into another forward foreign currency contract, the Fund records a realized gain or loss equal to the difference between the value of the contract at the time it was opened and the value of the contract at the time it was extinguished.</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Forward foreign currency contracts involve elements of market risk in excess of the amounts reflected in the Statements of Assets and Liabilities. The Fund bears the risk of an unfavorable change in the foreign exchange rate underlying the forward foreign currency contract. Risks may also arise upon entering into these contracts from the potential inability of the counter parties to meet the terms of their contracts. For the year ended December 31, 2025, the Fund’s average monthly volume of forward foreign currency contracts was as follows:</w:t>
      </w:r>
    </w:p>
    <w:p>
      <w:pPr>
        <w:spacing w:after="0" w:line="136" w:lineRule="exact"/>
        <w:rPr>
          <w:sz w:val="20"/>
          <w:szCs w:val="20"/>
          <w:color w:val="auto"/>
        </w:rPr>
      </w:pPr>
    </w:p>
    <w:tbl>
      <w:tblPr>
        <w:tblLayout w:type="fixed"/>
        <w:tblInd w:w="2820" w:type="dxa"/>
        <w:tblCellMar>
          <w:top w:w="0" w:type="dxa"/>
          <w:left w:w="0" w:type="dxa"/>
          <w:bottom w:w="0" w:type="dxa"/>
          <w:right w:w="0" w:type="dxa"/>
        </w:tblCellMar>
      </w:tblPr>
      <w:tr>
        <w:trPr>
          <w:trHeight w:val="138"/>
        </w:trPr>
        <w:tc>
          <w:tcPr>
            <w:tcW w:w="2800" w:type="dxa"/>
            <w:vAlign w:val="bottom"/>
            <w:shd w:val="clear" w:color="auto" w:fill="F0F5F1"/>
          </w:tcPr>
          <w:p>
            <w:pPr>
              <w:jc w:val="center"/>
              <w:spacing w:after="0"/>
              <w:rPr>
                <w:sz w:val="20"/>
                <w:szCs w:val="20"/>
                <w:color w:val="auto"/>
              </w:rPr>
            </w:pPr>
            <w:r>
              <w:rPr>
                <w:rFonts w:ascii="Arial" w:cs="Arial" w:eastAsia="Arial" w:hAnsi="Arial"/>
                <w:sz w:val="12"/>
                <w:szCs w:val="12"/>
                <w:b w:val="1"/>
                <w:bCs w:val="1"/>
                <w:color w:val="auto"/>
                <w:w w:val="97"/>
              </w:rPr>
              <w:t>Forward Foreign</w:t>
            </w:r>
          </w:p>
        </w:tc>
        <w:tc>
          <w:tcPr>
            <w:tcW w:w="2820" w:type="dxa"/>
            <w:vAlign w:val="bottom"/>
            <w:shd w:val="clear" w:color="auto" w:fill="F0F5F1"/>
          </w:tcPr>
          <w:p>
            <w:pPr>
              <w:jc w:val="center"/>
              <w:spacing w:after="0"/>
              <w:rPr>
                <w:sz w:val="20"/>
                <w:szCs w:val="20"/>
                <w:color w:val="auto"/>
              </w:rPr>
            </w:pPr>
            <w:r>
              <w:rPr>
                <w:rFonts w:ascii="Arial" w:cs="Arial" w:eastAsia="Arial" w:hAnsi="Arial"/>
                <w:sz w:val="12"/>
                <w:szCs w:val="12"/>
                <w:b w:val="1"/>
                <w:bCs w:val="1"/>
                <w:color w:val="auto"/>
                <w:w w:val="97"/>
              </w:rPr>
              <w:t>Forward Foreign</w:t>
            </w:r>
          </w:p>
        </w:tc>
      </w:tr>
      <w:tr>
        <w:trPr>
          <w:trHeight w:val="126"/>
        </w:trPr>
        <w:tc>
          <w:tcPr>
            <w:tcW w:w="2800" w:type="dxa"/>
            <w:vAlign w:val="bottom"/>
            <w:shd w:val="clear" w:color="auto" w:fill="F0F5F1"/>
          </w:tcPr>
          <w:p>
            <w:pPr>
              <w:jc w:val="center"/>
              <w:spacing w:after="0" w:line="126" w:lineRule="exact"/>
              <w:rPr>
                <w:sz w:val="20"/>
                <w:szCs w:val="20"/>
                <w:color w:val="auto"/>
              </w:rPr>
            </w:pPr>
            <w:r>
              <w:rPr>
                <w:rFonts w:ascii="Arial" w:cs="Arial" w:eastAsia="Arial" w:hAnsi="Arial"/>
                <w:sz w:val="12"/>
                <w:szCs w:val="12"/>
                <w:b w:val="1"/>
                <w:bCs w:val="1"/>
                <w:color w:val="auto"/>
                <w:w w:val="98"/>
              </w:rPr>
              <w:t>Currency</w:t>
            </w:r>
          </w:p>
        </w:tc>
        <w:tc>
          <w:tcPr>
            <w:tcW w:w="2820" w:type="dxa"/>
            <w:vAlign w:val="bottom"/>
            <w:shd w:val="clear" w:color="auto" w:fill="F0F5F1"/>
          </w:tcPr>
          <w:p>
            <w:pPr>
              <w:jc w:val="center"/>
              <w:spacing w:after="0" w:line="126" w:lineRule="exact"/>
              <w:rPr>
                <w:sz w:val="20"/>
                <w:szCs w:val="20"/>
                <w:color w:val="auto"/>
              </w:rPr>
            </w:pPr>
            <w:r>
              <w:rPr>
                <w:rFonts w:ascii="Arial" w:cs="Arial" w:eastAsia="Arial" w:hAnsi="Arial"/>
                <w:sz w:val="12"/>
                <w:szCs w:val="12"/>
                <w:b w:val="1"/>
                <w:bCs w:val="1"/>
                <w:color w:val="auto"/>
                <w:w w:val="98"/>
              </w:rPr>
              <w:t>Currency</w:t>
            </w:r>
          </w:p>
        </w:tc>
      </w:tr>
      <w:tr>
        <w:trPr>
          <w:trHeight w:val="126"/>
        </w:trPr>
        <w:tc>
          <w:tcPr>
            <w:tcW w:w="2800" w:type="dxa"/>
            <w:vAlign w:val="bottom"/>
            <w:shd w:val="clear" w:color="auto" w:fill="F0F5F1"/>
          </w:tcPr>
          <w:p>
            <w:pPr>
              <w:jc w:val="center"/>
              <w:spacing w:after="0" w:line="126" w:lineRule="exact"/>
              <w:rPr>
                <w:sz w:val="20"/>
                <w:szCs w:val="20"/>
                <w:color w:val="auto"/>
              </w:rPr>
            </w:pPr>
            <w:r>
              <w:rPr>
                <w:rFonts w:ascii="Arial" w:cs="Arial" w:eastAsia="Arial" w:hAnsi="Arial"/>
                <w:sz w:val="12"/>
                <w:szCs w:val="12"/>
                <w:b w:val="1"/>
                <w:bCs w:val="1"/>
                <w:color w:val="auto"/>
                <w:w w:val="98"/>
              </w:rPr>
              <w:t>Contracts —</w:t>
            </w:r>
          </w:p>
        </w:tc>
        <w:tc>
          <w:tcPr>
            <w:tcW w:w="2820" w:type="dxa"/>
            <w:vAlign w:val="bottom"/>
            <w:shd w:val="clear" w:color="auto" w:fill="F0F5F1"/>
          </w:tcPr>
          <w:p>
            <w:pPr>
              <w:jc w:val="center"/>
              <w:spacing w:after="0" w:line="126" w:lineRule="exact"/>
              <w:rPr>
                <w:sz w:val="20"/>
                <w:szCs w:val="20"/>
                <w:color w:val="auto"/>
              </w:rPr>
            </w:pPr>
            <w:r>
              <w:rPr>
                <w:rFonts w:ascii="Arial" w:cs="Arial" w:eastAsia="Arial" w:hAnsi="Arial"/>
                <w:sz w:val="12"/>
                <w:szCs w:val="12"/>
                <w:b w:val="1"/>
                <w:bCs w:val="1"/>
                <w:color w:val="auto"/>
                <w:w w:val="98"/>
              </w:rPr>
              <w:t>Contracts —</w:t>
            </w:r>
          </w:p>
        </w:tc>
      </w:tr>
      <w:tr>
        <w:trPr>
          <w:trHeight w:val="143"/>
        </w:trPr>
        <w:tc>
          <w:tcPr>
            <w:tcW w:w="280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2"/>
                <w:szCs w:val="12"/>
                <w:b w:val="1"/>
                <w:bCs w:val="1"/>
                <w:color w:val="auto"/>
                <w:w w:val="97"/>
              </w:rPr>
              <w:t>Purchased</w:t>
            </w:r>
          </w:p>
        </w:tc>
        <w:tc>
          <w:tcPr>
            <w:tcW w:w="282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2"/>
                <w:szCs w:val="12"/>
                <w:b w:val="1"/>
                <w:bCs w:val="1"/>
                <w:color w:val="auto"/>
                <w:w w:val="92"/>
              </w:rPr>
              <w:t>Sold</w:t>
            </w:r>
          </w:p>
        </w:tc>
      </w:tr>
      <w:tr>
        <w:trPr>
          <w:trHeight w:val="143"/>
        </w:trPr>
        <w:tc>
          <w:tcPr>
            <w:tcW w:w="2800" w:type="dxa"/>
            <w:vAlign w:val="bottom"/>
            <w:shd w:val="clear" w:color="auto" w:fill="F0F5F1"/>
          </w:tcPr>
          <w:p>
            <w:pPr>
              <w:jc w:val="right"/>
              <w:ind w:right="960"/>
              <w:spacing w:after="0" w:line="144" w:lineRule="exact"/>
              <w:rPr>
                <w:sz w:val="20"/>
                <w:szCs w:val="20"/>
                <w:color w:val="auto"/>
              </w:rPr>
            </w:pPr>
            <w:r>
              <w:rPr>
                <w:rFonts w:ascii="Arial" w:cs="Arial" w:eastAsia="Arial" w:hAnsi="Arial"/>
                <w:sz w:val="13"/>
                <w:szCs w:val="13"/>
                <w:color w:val="auto"/>
              </w:rPr>
              <w:t>$18,710,123</w:t>
            </w:r>
          </w:p>
        </w:tc>
        <w:tc>
          <w:tcPr>
            <w:tcW w:w="2820" w:type="dxa"/>
            <w:vAlign w:val="bottom"/>
            <w:shd w:val="clear" w:color="auto" w:fill="F0F5F1"/>
          </w:tcPr>
          <w:p>
            <w:pPr>
              <w:jc w:val="right"/>
              <w:ind w:right="940"/>
              <w:spacing w:after="0" w:line="144" w:lineRule="exact"/>
              <w:rPr>
                <w:sz w:val="20"/>
                <w:szCs w:val="20"/>
                <w:color w:val="auto"/>
              </w:rPr>
            </w:pPr>
            <w:r>
              <w:rPr>
                <w:rFonts w:ascii="Arial" w:cs="Arial" w:eastAsia="Arial" w:hAnsi="Arial"/>
                <w:sz w:val="13"/>
                <w:szCs w:val="13"/>
                <w:color w:val="auto"/>
              </w:rPr>
              <w:t>$18,626,667</w:t>
            </w:r>
          </w:p>
        </w:tc>
      </w:tr>
    </w:tbl>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 The books and records of the Fund are maintained in U.S. dollars. Investment securities and other assets and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denominated in a foreign currency are translated into U.S. dollars at the prevailing exchange rates at period end. The effect of changes in foreign currency exchange rates on investments is included within net realized and unrealized gain (loss) on investments. Changes in the value of other assets and liabilities as a result of fluctuations in foreign exchange rates are included in the Statement of Operations within net change in unrealized gain (loss) on foreign currency translations. Transactions denominated in foreign currencies are translated into U.S. dollars on the date the transaction occurred, the effects of which are included within net realized gain (loss) on foreign currency.</w:t>
      </w:r>
    </w:p>
    <w:p>
      <w:pPr>
        <w:spacing w:after="0" w:line="14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i w:val="1"/>
          <w:iCs w:val="1"/>
          <w:color w:val="auto"/>
        </w:rPr>
        <w:t xml:space="preserve">Currency Risk </w:t>
      </w:r>
      <w:r>
        <w:rPr>
          <w:rFonts w:ascii="Arial" w:cs="Arial" w:eastAsia="Arial" w:hAnsi="Arial"/>
          <w:sz w:val="16"/>
          <w:szCs w:val="16"/>
          <w:color w:val="auto"/>
        </w:rPr>
        <w:t>— The Fund invests in securities of foreign issuers, including American Depositary Receipts. These markets are subject to special risks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foreign investments not typically associated with investing in U.S. markets. Because the foreign securities in which the Fund may invest generally trade in currencies other than the U.S. dollar, changes in currency exchange rates will affect the Fund’s NAV, the value of dividends and interest earned and gains and losses realized on the sale of securities. Because the NAV for the Fund is determined on the basis of U.S. dollars, the Fund may lose money by investing in a foreign security if the local currency of a foreign market depreciates against the U.S. dollar, even if the local currency value of the Fund’s holdings goes up. Generally, a strong U.S. dollar relative to these other currencies will adversely affect the value of the Fund’s holdings in foreign securities.</w:t>
      </w:r>
    </w:p>
    <w:p>
      <w:pPr>
        <w:spacing w:after="0" w:line="14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i w:val="1"/>
          <w:iCs w:val="1"/>
          <w:color w:val="auto"/>
        </w:rPr>
        <w:t xml:space="preserve">Foreign Securities Market Risk </w:t>
      </w:r>
      <w:r>
        <w:rPr>
          <w:rFonts w:ascii="Arial" w:cs="Arial" w:eastAsia="Arial" w:hAnsi="Arial"/>
          <w:sz w:val="16"/>
          <w:szCs w:val="16"/>
          <w:color w:val="auto"/>
        </w:rPr>
        <w:t>— Securities of many non-U.S. companies may be less liquid and their prices more volatile than securities of comparable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Securities of companies traded in many countries outside the U.S., particularly emerging markets countries, may be subject to further risks due to the inexperience of local investment professionals and financial institutions, the possibility of permanent or temporary termination of trading and greater spreads between bid and asked prices of securities. In addition, non-U.S. stock exchanges and investment professionals are subject to less governmental regulation, and commissions may be higher than in the United States. Also, there may be delays in the settlement of non-U.S. stock exchange transactions.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80" w:type="dxa"/>
            <w:vAlign w:val="bottom"/>
          </w:tcPr>
          <w:p>
            <w:pPr>
              <w:ind w:left="8020"/>
              <w:spacing w:after="0"/>
              <w:rPr>
                <w:sz w:val="20"/>
                <w:szCs w:val="20"/>
                <w:color w:val="auto"/>
              </w:rPr>
            </w:pPr>
            <w:r>
              <w:rPr>
                <w:rFonts w:ascii="Arial" w:cs="Arial" w:eastAsia="Arial" w:hAnsi="Arial"/>
                <w:sz w:val="13"/>
                <w:szCs w:val="13"/>
                <w:b w:val="1"/>
                <w:bCs w:val="1"/>
                <w:color w:val="296B38"/>
              </w:rPr>
              <w:t xml:space="preserve">Annual Report </w:t>
            </w:r>
            <w:r>
              <w:rPr>
                <w:rFonts w:ascii="Arial" w:cs="Arial" w:eastAsia="Arial" w:hAnsi="Arial"/>
                <w:sz w:val="13"/>
                <w:szCs w:val="13"/>
                <w:color w:val="296B38"/>
              </w:rPr>
              <w:t>| ArrowMark Financial Corp.</w:t>
            </w:r>
          </w:p>
        </w:tc>
        <w:tc>
          <w:tcPr>
            <w:tcW w:w="360" w:type="dxa"/>
            <w:vAlign w:val="bottom"/>
          </w:tcPr>
          <w:p>
            <w:pPr>
              <w:jc w:val="right"/>
              <w:spacing w:after="0"/>
              <w:rPr>
                <w:sz w:val="20"/>
                <w:szCs w:val="20"/>
                <w:color w:val="auto"/>
              </w:rPr>
            </w:pPr>
            <w:r>
              <w:rPr>
                <w:rFonts w:ascii="Arial" w:cs="Arial" w:eastAsia="Arial" w:hAnsi="Arial"/>
                <w:sz w:val="13"/>
                <w:szCs w:val="13"/>
                <w:color w:val="296B38"/>
              </w:rPr>
              <w:t>24</w:t>
            </w:r>
          </w:p>
        </w:tc>
      </w:tr>
      <w:tr>
        <w:trPr>
          <w:trHeight w:val="377"/>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6"/>
          <w:szCs w:val="16"/>
          <w:b w:val="1"/>
          <w:bCs w:val="1"/>
          <w:i w:val="1"/>
          <w:iCs w:val="1"/>
          <w:color w:val="auto"/>
        </w:rPr>
        <w:t xml:space="preserve">Disclosure About Derivative Instruments and Hedging Activities </w:t>
      </w:r>
      <w:r>
        <w:rPr>
          <w:rFonts w:ascii="Arial" w:cs="Arial" w:eastAsia="Arial" w:hAnsi="Arial"/>
          <w:sz w:val="16"/>
          <w:szCs w:val="16"/>
          <w:color w:val="auto"/>
        </w:rPr>
        <w:t>— The following tables provide quantitative disclosures about fair value amounts of, gains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losses on, the Fund’s derivative instruments as of December 31, 2025.</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fair values of the Fund’s derivative holdings as of December 31, 2025 grouped by contract type and risk exposure category.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60" w:type="dxa"/>
            <w:vAlign w:val="bottom"/>
            <w:shd w:val="clear" w:color="auto" w:fill="F0F5F1"/>
          </w:tcPr>
          <w:p>
            <w:pPr>
              <w:spacing w:after="0"/>
              <w:rPr>
                <w:sz w:val="12"/>
                <w:szCs w:val="12"/>
                <w:color w:val="auto"/>
              </w:rPr>
            </w:pPr>
          </w:p>
        </w:tc>
        <w:tc>
          <w:tcPr>
            <w:tcW w:w="3340" w:type="dxa"/>
            <w:vAlign w:val="bottom"/>
            <w:shd w:val="clear" w:color="auto" w:fill="F0F5F1"/>
          </w:tcPr>
          <w:p>
            <w:pPr>
              <w:jc w:val="center"/>
              <w:ind w:left="217"/>
              <w:spacing w:after="0"/>
              <w:rPr>
                <w:sz w:val="20"/>
                <w:szCs w:val="20"/>
                <w:color w:val="auto"/>
              </w:rPr>
            </w:pPr>
            <w:r>
              <w:rPr>
                <w:rFonts w:ascii="Arial" w:cs="Arial" w:eastAsia="Arial" w:hAnsi="Arial"/>
                <w:sz w:val="12"/>
                <w:szCs w:val="12"/>
                <w:color w:val="auto"/>
                <w:w w:val="99"/>
              </w:rPr>
              <w:t>Balance Sheet</w:t>
            </w:r>
          </w:p>
        </w:tc>
        <w:tc>
          <w:tcPr>
            <w:tcW w:w="580" w:type="dxa"/>
            <w:vAlign w:val="bottom"/>
            <w:shd w:val="clear" w:color="auto" w:fill="F0F5F1"/>
          </w:tcPr>
          <w:p>
            <w:pPr>
              <w:spacing w:after="0"/>
              <w:rPr>
                <w:sz w:val="12"/>
                <w:szCs w:val="12"/>
                <w:color w:val="auto"/>
              </w:rPr>
            </w:pPr>
          </w:p>
        </w:tc>
        <w:tc>
          <w:tcPr>
            <w:tcW w:w="1380" w:type="dxa"/>
            <w:vAlign w:val="bottom"/>
            <w:shd w:val="clear" w:color="auto" w:fill="F0F5F1"/>
          </w:tcPr>
          <w:p>
            <w:pPr>
              <w:jc w:val="right"/>
              <w:ind w:right="677"/>
              <w:spacing w:after="0"/>
              <w:rPr>
                <w:sz w:val="20"/>
                <w:szCs w:val="20"/>
                <w:color w:val="auto"/>
              </w:rPr>
            </w:pPr>
            <w:r>
              <w:rPr>
                <w:rFonts w:ascii="Arial" w:cs="Arial" w:eastAsia="Arial" w:hAnsi="Arial"/>
                <w:sz w:val="12"/>
                <w:szCs w:val="12"/>
                <w:color w:val="auto"/>
              </w:rPr>
              <w:t>Equity</w:t>
            </w:r>
          </w:p>
        </w:tc>
        <w:tc>
          <w:tcPr>
            <w:tcW w:w="180" w:type="dxa"/>
            <w:vAlign w:val="bottom"/>
            <w:shd w:val="clear" w:color="auto" w:fill="F0F5F1"/>
          </w:tcPr>
          <w:p>
            <w:pPr>
              <w:spacing w:after="0"/>
              <w:rPr>
                <w:sz w:val="12"/>
                <w:szCs w:val="12"/>
                <w:color w:val="auto"/>
              </w:rPr>
            </w:pPr>
          </w:p>
        </w:tc>
        <w:tc>
          <w:tcPr>
            <w:tcW w:w="1140" w:type="dxa"/>
            <w:vAlign w:val="bottom"/>
            <w:shd w:val="clear" w:color="auto" w:fill="F0F5F1"/>
          </w:tcPr>
          <w:p>
            <w:pPr>
              <w:jc w:val="center"/>
              <w:ind w:right="37"/>
              <w:spacing w:after="0"/>
              <w:rPr>
                <w:sz w:val="20"/>
                <w:szCs w:val="20"/>
                <w:color w:val="auto"/>
              </w:rPr>
            </w:pPr>
            <w:r>
              <w:rPr>
                <w:rFonts w:ascii="Arial" w:cs="Arial" w:eastAsia="Arial" w:hAnsi="Arial"/>
                <w:sz w:val="12"/>
                <w:szCs w:val="12"/>
                <w:color w:val="auto"/>
                <w:w w:val="99"/>
              </w:rPr>
              <w:t>Foreign Currency</w:t>
            </w:r>
          </w:p>
        </w:tc>
        <w:tc>
          <w:tcPr>
            <w:tcW w:w="320" w:type="dxa"/>
            <w:vAlign w:val="bottom"/>
            <w:shd w:val="clear" w:color="auto" w:fill="F0F5F1"/>
          </w:tcPr>
          <w:p>
            <w:pPr>
              <w:spacing w:after="0"/>
              <w:rPr>
                <w:sz w:val="12"/>
                <w:szCs w:val="12"/>
                <w:color w:val="auto"/>
              </w:rPr>
            </w:pPr>
          </w:p>
        </w:tc>
        <w:tc>
          <w:tcPr>
            <w:tcW w:w="1040" w:type="dxa"/>
            <w:vAlign w:val="bottom"/>
            <w:shd w:val="clear" w:color="auto" w:fill="F0F5F1"/>
          </w:tcPr>
          <w:p>
            <w:pPr>
              <w:spacing w:after="0"/>
              <w:rPr>
                <w:sz w:val="12"/>
                <w:szCs w:val="12"/>
                <w:color w:val="auto"/>
              </w:rPr>
            </w:pPr>
          </w:p>
        </w:tc>
      </w:tr>
      <w:tr>
        <w:trPr>
          <w:trHeight w:val="141"/>
        </w:trPr>
        <w:tc>
          <w:tcPr>
            <w:tcW w:w="3260" w:type="dxa"/>
            <w:vAlign w:val="bottom"/>
            <w:tcBorders>
              <w:bottom w:val="single" w:sz="8" w:color="auto"/>
            </w:tcBorders>
            <w:shd w:val="clear" w:color="auto" w:fill="F0F5F1"/>
          </w:tcPr>
          <w:p>
            <w:pPr>
              <w:ind w:left="1240"/>
              <w:spacing w:after="0"/>
              <w:rPr>
                <w:sz w:val="20"/>
                <w:szCs w:val="20"/>
                <w:color w:val="auto"/>
              </w:rPr>
            </w:pPr>
            <w:r>
              <w:rPr>
                <w:rFonts w:ascii="Arial" w:cs="Arial" w:eastAsia="Arial" w:hAnsi="Arial"/>
                <w:sz w:val="12"/>
                <w:szCs w:val="12"/>
                <w:color w:val="auto"/>
              </w:rPr>
              <w:t>Derivative Type</w:t>
            </w:r>
          </w:p>
        </w:tc>
        <w:tc>
          <w:tcPr>
            <w:tcW w:w="3340" w:type="dxa"/>
            <w:vAlign w:val="bottom"/>
            <w:tcBorders>
              <w:bottom w:val="single" w:sz="8" w:color="auto"/>
            </w:tcBorders>
            <w:shd w:val="clear" w:color="auto" w:fill="F0F5F1"/>
          </w:tcPr>
          <w:p>
            <w:pPr>
              <w:jc w:val="center"/>
              <w:ind w:left="217"/>
              <w:spacing w:after="0"/>
              <w:rPr>
                <w:sz w:val="20"/>
                <w:szCs w:val="20"/>
                <w:color w:val="auto"/>
              </w:rPr>
            </w:pPr>
            <w:r>
              <w:rPr>
                <w:rFonts w:ascii="Arial" w:cs="Arial" w:eastAsia="Arial" w:hAnsi="Arial"/>
                <w:sz w:val="12"/>
                <w:szCs w:val="12"/>
                <w:color w:val="auto"/>
              </w:rPr>
              <w:t>Location</w:t>
            </w:r>
          </w:p>
        </w:tc>
        <w:tc>
          <w:tcPr>
            <w:tcW w:w="580" w:type="dxa"/>
            <w:vAlign w:val="bottom"/>
            <w:tcBorders>
              <w:bottom w:val="single" w:sz="8" w:color="auto"/>
            </w:tcBorders>
            <w:shd w:val="clear" w:color="auto" w:fill="F0F5F1"/>
          </w:tcPr>
          <w:p>
            <w:pPr>
              <w:spacing w:after="0"/>
              <w:rPr>
                <w:sz w:val="12"/>
                <w:szCs w:val="12"/>
                <w:color w:val="auto"/>
              </w:rPr>
            </w:pPr>
          </w:p>
        </w:tc>
        <w:tc>
          <w:tcPr>
            <w:tcW w:w="1380" w:type="dxa"/>
            <w:vAlign w:val="bottom"/>
            <w:tcBorders>
              <w:bottom w:val="single" w:sz="8" w:color="auto"/>
            </w:tcBorders>
            <w:shd w:val="clear" w:color="auto" w:fill="F0F5F1"/>
          </w:tcPr>
          <w:p>
            <w:pPr>
              <w:jc w:val="right"/>
              <w:ind w:right="577"/>
              <w:spacing w:after="0"/>
              <w:rPr>
                <w:sz w:val="20"/>
                <w:szCs w:val="20"/>
                <w:color w:val="auto"/>
              </w:rPr>
            </w:pPr>
            <w:r>
              <w:rPr>
                <w:rFonts w:ascii="Arial" w:cs="Arial" w:eastAsia="Arial" w:hAnsi="Arial"/>
                <w:sz w:val="12"/>
                <w:szCs w:val="12"/>
                <w:color w:val="auto"/>
              </w:rPr>
              <w:t>Contracts</w:t>
            </w:r>
          </w:p>
        </w:tc>
        <w:tc>
          <w:tcPr>
            <w:tcW w:w="180" w:type="dxa"/>
            <w:vAlign w:val="bottom"/>
            <w:tcBorders>
              <w:bottom w:val="single" w:sz="8" w:color="auto"/>
            </w:tcBorders>
            <w:shd w:val="clear" w:color="auto" w:fill="F0F5F1"/>
          </w:tcPr>
          <w:p>
            <w:pPr>
              <w:spacing w:after="0"/>
              <w:rPr>
                <w:sz w:val="12"/>
                <w:szCs w:val="12"/>
                <w:color w:val="auto"/>
              </w:rPr>
            </w:pPr>
          </w:p>
        </w:tc>
        <w:tc>
          <w:tcPr>
            <w:tcW w:w="1140" w:type="dxa"/>
            <w:vAlign w:val="bottom"/>
            <w:tcBorders>
              <w:bottom w:val="single" w:sz="8" w:color="auto"/>
            </w:tcBorders>
            <w:shd w:val="clear" w:color="auto" w:fill="F0F5F1"/>
          </w:tcPr>
          <w:p>
            <w:pPr>
              <w:jc w:val="center"/>
              <w:ind w:right="17"/>
              <w:spacing w:after="0"/>
              <w:rPr>
                <w:sz w:val="20"/>
                <w:szCs w:val="20"/>
                <w:color w:val="auto"/>
              </w:rPr>
            </w:pPr>
            <w:r>
              <w:rPr>
                <w:rFonts w:ascii="Arial" w:cs="Arial" w:eastAsia="Arial" w:hAnsi="Arial"/>
                <w:sz w:val="12"/>
                <w:szCs w:val="12"/>
                <w:color w:val="auto"/>
                <w:w w:val="97"/>
              </w:rPr>
              <w:t>Contracts</w:t>
            </w:r>
          </w:p>
        </w:tc>
        <w:tc>
          <w:tcPr>
            <w:tcW w:w="320" w:type="dxa"/>
            <w:vAlign w:val="bottom"/>
            <w:tcBorders>
              <w:bottom w:val="single" w:sz="8" w:color="auto"/>
            </w:tcBorders>
            <w:shd w:val="clear" w:color="auto" w:fill="F0F5F1"/>
          </w:tcPr>
          <w:p>
            <w:pPr>
              <w:spacing w:after="0"/>
              <w:rPr>
                <w:sz w:val="12"/>
                <w:szCs w:val="12"/>
                <w:color w:val="auto"/>
              </w:rPr>
            </w:pPr>
          </w:p>
        </w:tc>
        <w:tc>
          <w:tcPr>
            <w:tcW w:w="1040" w:type="dxa"/>
            <w:vAlign w:val="bottom"/>
            <w:tcBorders>
              <w:bottom w:val="single" w:sz="8" w:color="auto"/>
            </w:tcBorders>
            <w:shd w:val="clear" w:color="auto" w:fill="F0F5F1"/>
          </w:tcPr>
          <w:p>
            <w:pPr>
              <w:jc w:val="right"/>
              <w:ind w:right="516"/>
              <w:spacing w:after="0"/>
              <w:rPr>
                <w:sz w:val="20"/>
                <w:szCs w:val="20"/>
                <w:color w:val="auto"/>
              </w:rPr>
            </w:pPr>
            <w:r>
              <w:rPr>
                <w:rFonts w:ascii="Arial" w:cs="Arial" w:eastAsia="Arial" w:hAnsi="Arial"/>
                <w:sz w:val="12"/>
                <w:szCs w:val="12"/>
                <w:color w:val="auto"/>
              </w:rPr>
              <w:t>Total</w:t>
            </w:r>
          </w:p>
        </w:tc>
      </w:tr>
      <w:tr>
        <w:trPr>
          <w:trHeight w:val="143"/>
        </w:trPr>
        <w:tc>
          <w:tcPr>
            <w:tcW w:w="3260" w:type="dxa"/>
            <w:vAlign w:val="bottom"/>
            <w:tcBorders>
              <w:bottom w:val="single" w:sz="8" w:color="auto"/>
            </w:tcBorders>
            <w:shd w:val="clear" w:color="auto" w:fill="F0F5F1"/>
          </w:tcPr>
          <w:p>
            <w:pPr>
              <w:spacing w:after="0"/>
              <w:rPr>
                <w:sz w:val="12"/>
                <w:szCs w:val="12"/>
                <w:color w:val="auto"/>
              </w:rPr>
            </w:pPr>
          </w:p>
        </w:tc>
        <w:tc>
          <w:tcPr>
            <w:tcW w:w="3340" w:type="dxa"/>
            <w:vAlign w:val="bottom"/>
            <w:tcBorders>
              <w:bottom w:val="single" w:sz="8" w:color="auto"/>
            </w:tcBorders>
            <w:shd w:val="clear" w:color="auto" w:fill="F0F5F1"/>
          </w:tcPr>
          <w:p>
            <w:pPr>
              <w:ind w:left="1680"/>
              <w:spacing w:after="0" w:line="144" w:lineRule="exact"/>
              <w:rPr>
                <w:sz w:val="20"/>
                <w:szCs w:val="20"/>
                <w:color w:val="auto"/>
              </w:rPr>
            </w:pPr>
            <w:r>
              <w:rPr>
                <w:rFonts w:ascii="Arial" w:cs="Arial" w:eastAsia="Arial" w:hAnsi="Arial"/>
                <w:sz w:val="13"/>
                <w:szCs w:val="13"/>
                <w:b w:val="1"/>
                <w:bCs w:val="1"/>
                <w:color w:val="auto"/>
              </w:rPr>
              <w:t>Liabilities Derivatives</w:t>
            </w:r>
          </w:p>
        </w:tc>
        <w:tc>
          <w:tcPr>
            <w:tcW w:w="580" w:type="dxa"/>
            <w:vAlign w:val="bottom"/>
            <w:tcBorders>
              <w:bottom w:val="single" w:sz="8" w:color="auto"/>
            </w:tcBorders>
            <w:shd w:val="clear" w:color="auto" w:fill="F0F5F1"/>
          </w:tcPr>
          <w:p>
            <w:pPr>
              <w:spacing w:after="0"/>
              <w:rPr>
                <w:sz w:val="12"/>
                <w:szCs w:val="12"/>
                <w:color w:val="auto"/>
              </w:rPr>
            </w:pPr>
          </w:p>
        </w:tc>
        <w:tc>
          <w:tcPr>
            <w:tcW w:w="1380" w:type="dxa"/>
            <w:vAlign w:val="bottom"/>
            <w:tcBorders>
              <w:bottom w:val="single" w:sz="8" w:color="auto"/>
            </w:tcBorders>
            <w:shd w:val="clear" w:color="auto" w:fill="F0F5F1"/>
          </w:tcPr>
          <w:p>
            <w:pPr>
              <w:spacing w:after="0"/>
              <w:rPr>
                <w:sz w:val="12"/>
                <w:szCs w:val="12"/>
                <w:color w:val="auto"/>
              </w:rPr>
            </w:pPr>
          </w:p>
        </w:tc>
        <w:tc>
          <w:tcPr>
            <w:tcW w:w="180" w:type="dxa"/>
            <w:vAlign w:val="bottom"/>
            <w:tcBorders>
              <w:bottom w:val="single" w:sz="8" w:color="auto"/>
            </w:tcBorders>
            <w:shd w:val="clear" w:color="auto" w:fill="F0F5F1"/>
          </w:tcPr>
          <w:p>
            <w:pPr>
              <w:spacing w:after="0"/>
              <w:rPr>
                <w:sz w:val="12"/>
                <w:szCs w:val="12"/>
                <w:color w:val="auto"/>
              </w:rPr>
            </w:pPr>
          </w:p>
        </w:tc>
        <w:tc>
          <w:tcPr>
            <w:tcW w:w="1140" w:type="dxa"/>
            <w:vAlign w:val="bottom"/>
            <w:tcBorders>
              <w:bottom w:val="single" w:sz="8" w:color="auto"/>
            </w:tcBorders>
            <w:shd w:val="clear" w:color="auto" w:fill="F0F5F1"/>
          </w:tcPr>
          <w:p>
            <w:pPr>
              <w:spacing w:after="0"/>
              <w:rPr>
                <w:sz w:val="12"/>
                <w:szCs w:val="12"/>
                <w:color w:val="auto"/>
              </w:rPr>
            </w:pPr>
          </w:p>
        </w:tc>
        <w:tc>
          <w:tcPr>
            <w:tcW w:w="320" w:type="dxa"/>
            <w:vAlign w:val="bottom"/>
            <w:tcBorders>
              <w:bottom w:val="single" w:sz="8" w:color="auto"/>
            </w:tcBorders>
            <w:shd w:val="clear" w:color="auto" w:fill="F0F5F1"/>
          </w:tcPr>
          <w:p>
            <w:pPr>
              <w:spacing w:after="0"/>
              <w:rPr>
                <w:sz w:val="12"/>
                <w:szCs w:val="12"/>
                <w:color w:val="auto"/>
              </w:rPr>
            </w:pPr>
          </w:p>
        </w:tc>
        <w:tc>
          <w:tcPr>
            <w:tcW w:w="1040" w:type="dxa"/>
            <w:vAlign w:val="bottom"/>
            <w:tcBorders>
              <w:bottom w:val="single" w:sz="8" w:color="auto"/>
            </w:tcBorders>
            <w:shd w:val="clear" w:color="auto" w:fill="F0F5F1"/>
          </w:tcPr>
          <w:p>
            <w:pPr>
              <w:spacing w:after="0"/>
              <w:rPr>
                <w:sz w:val="12"/>
                <w:szCs w:val="12"/>
                <w:color w:val="auto"/>
              </w:rPr>
            </w:pPr>
          </w:p>
        </w:tc>
      </w:tr>
      <w:tr>
        <w:trPr>
          <w:trHeight w:val="156"/>
        </w:trPr>
        <w:tc>
          <w:tcPr>
            <w:tcW w:w="3260" w:type="dxa"/>
            <w:vAlign w:val="bottom"/>
            <w:tcBorders>
              <w:bottom w:val="single" w:sz="8" w:color="auto"/>
            </w:tcBorders>
            <w:shd w:val="clear" w:color="auto" w:fill="F0F5F1"/>
          </w:tcPr>
          <w:p>
            <w:pPr>
              <w:ind w:left="100"/>
              <w:spacing w:after="0"/>
              <w:rPr>
                <w:sz w:val="20"/>
                <w:szCs w:val="20"/>
                <w:color w:val="auto"/>
              </w:rPr>
            </w:pPr>
            <w:r>
              <w:rPr>
                <w:rFonts w:ascii="Arial" w:cs="Arial" w:eastAsia="Arial" w:hAnsi="Arial"/>
                <w:sz w:val="13"/>
                <w:szCs w:val="13"/>
                <w:color w:val="auto"/>
              </w:rPr>
              <w:t>Written options</w:t>
            </w:r>
          </w:p>
        </w:tc>
        <w:tc>
          <w:tcPr>
            <w:tcW w:w="3340" w:type="dxa"/>
            <w:vAlign w:val="bottom"/>
            <w:tcBorders>
              <w:bottom w:val="single" w:sz="8" w:color="auto"/>
            </w:tcBorders>
            <w:shd w:val="clear" w:color="auto" w:fill="F0F5F1"/>
          </w:tcPr>
          <w:p>
            <w:pPr>
              <w:ind w:left="160"/>
              <w:spacing w:after="0"/>
              <w:rPr>
                <w:sz w:val="20"/>
                <w:szCs w:val="20"/>
                <w:color w:val="auto"/>
              </w:rPr>
            </w:pPr>
            <w:r>
              <w:rPr>
                <w:rFonts w:ascii="Arial" w:cs="Arial" w:eastAsia="Arial" w:hAnsi="Arial"/>
                <w:sz w:val="13"/>
                <w:szCs w:val="13"/>
                <w:color w:val="auto"/>
              </w:rPr>
              <w:t>Options written, at value</w:t>
            </w:r>
          </w:p>
        </w:tc>
        <w:tc>
          <w:tcPr>
            <w:tcW w:w="580" w:type="dxa"/>
            <w:vAlign w:val="bottom"/>
            <w:tcBorders>
              <w:bottom w:val="single" w:sz="8" w:color="auto"/>
            </w:tcBorders>
            <w:shd w:val="clear" w:color="auto" w:fill="F0F5F1"/>
          </w:tcPr>
          <w:p>
            <w:pPr>
              <w:jc w:val="right"/>
              <w:ind w:right="17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(1,767,105)</w:t>
            </w:r>
          </w:p>
        </w:tc>
        <w:tc>
          <w:tcPr>
            <w:tcW w:w="18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F0F5F1"/>
          </w:tcPr>
          <w:p>
            <w:pPr>
              <w:ind w:left="96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F0F5F1"/>
          </w:tcPr>
          <w:p>
            <w:pPr>
              <w:jc w:val="right"/>
              <w:ind w:right="13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(1,767,105)</w:t>
            </w:r>
          </w:p>
        </w:tc>
      </w:tr>
      <w:tr>
        <w:trPr>
          <w:trHeight w:val="156"/>
        </w:trPr>
        <w:tc>
          <w:tcPr>
            <w:tcW w:w="3260" w:type="dxa"/>
            <w:vAlign w:val="bottom"/>
            <w:tcBorders>
              <w:bottom w:val="single" w:sz="8" w:color="auto"/>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Total Value - Liabilities</w:t>
            </w:r>
          </w:p>
        </w:tc>
        <w:tc>
          <w:tcPr>
            <w:tcW w:w="3340" w:type="dxa"/>
            <w:vAlign w:val="bottom"/>
            <w:tcBorders>
              <w:bottom w:val="single" w:sz="8" w:color="auto"/>
            </w:tcBorders>
            <w:shd w:val="clear" w:color="auto" w:fill="F0F5F1"/>
          </w:tcPr>
          <w:p>
            <w:pPr>
              <w:spacing w:after="0"/>
              <w:rPr>
                <w:sz w:val="13"/>
                <w:szCs w:val="13"/>
                <w:color w:val="auto"/>
              </w:rPr>
            </w:pPr>
          </w:p>
        </w:tc>
        <w:tc>
          <w:tcPr>
            <w:tcW w:w="580" w:type="dxa"/>
            <w:vAlign w:val="bottom"/>
            <w:tcBorders>
              <w:bottom w:val="single" w:sz="8" w:color="auto"/>
            </w:tcBorders>
            <w:shd w:val="clear" w:color="auto" w:fill="F0F5F1"/>
          </w:tcPr>
          <w:p>
            <w:pPr>
              <w:jc w:val="right"/>
              <w:ind w:right="173"/>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(1,767,105)</w:t>
            </w:r>
          </w:p>
        </w:tc>
        <w:tc>
          <w:tcPr>
            <w:tcW w:w="18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F0F5F1"/>
          </w:tcPr>
          <w:p>
            <w:pPr>
              <w:ind w:left="960"/>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shd w:val="clear" w:color="auto" w:fill="F0F5F1"/>
          </w:tcPr>
          <w:p>
            <w:pPr>
              <w:jc w:val="right"/>
              <w:ind w:right="133"/>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(1,767,105)</w:t>
            </w:r>
          </w:p>
        </w:tc>
      </w:tr>
    </w:tbl>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following table lists the amounts of realized gains or losses included in net increase in net assets resulting from operations for the year ended December 31, 2025, grouped by contract type and risk exposure.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10" w:type="dxa"/>
            <w:vAlign w:val="bottom"/>
            <w:shd w:val="clear" w:color="auto" w:fill="F0F5F1"/>
          </w:tcPr>
          <w:p>
            <w:pPr>
              <w:spacing w:after="0"/>
              <w:rPr>
                <w:sz w:val="19"/>
                <w:szCs w:val="19"/>
                <w:color w:val="auto"/>
              </w:rPr>
            </w:pPr>
          </w:p>
        </w:tc>
        <w:tc>
          <w:tcPr>
            <w:tcW w:w="3500" w:type="dxa"/>
            <w:vAlign w:val="bottom"/>
            <w:shd w:val="clear" w:color="auto" w:fill="F0F5F1"/>
          </w:tcPr>
          <w:p>
            <w:pPr>
              <w:jc w:val="center"/>
              <w:spacing w:after="0"/>
              <w:rPr>
                <w:sz w:val="20"/>
                <w:szCs w:val="20"/>
                <w:color w:val="auto"/>
              </w:rPr>
            </w:pPr>
            <w:r>
              <w:rPr>
                <w:rFonts w:ascii="Arial" w:cs="Arial" w:eastAsia="Arial" w:hAnsi="Arial"/>
                <w:sz w:val="12"/>
                <w:szCs w:val="12"/>
                <w:color w:val="auto"/>
                <w:w w:val="98"/>
              </w:rPr>
              <w:t>Income Statement</w:t>
            </w:r>
          </w:p>
        </w:tc>
        <w:tc>
          <w:tcPr>
            <w:tcW w:w="190" w:type="dxa"/>
            <w:vAlign w:val="bottom"/>
            <w:shd w:val="clear" w:color="auto" w:fill="F0F5F1"/>
          </w:tcPr>
          <w:p>
            <w:pPr>
              <w:spacing w:after="0"/>
              <w:rPr>
                <w:sz w:val="19"/>
                <w:szCs w:val="19"/>
                <w:color w:val="auto"/>
              </w:rPr>
            </w:pPr>
          </w:p>
        </w:tc>
        <w:tc>
          <w:tcPr>
            <w:tcW w:w="1160" w:type="dxa"/>
            <w:vAlign w:val="bottom"/>
            <w:shd w:val="clear" w:color="auto" w:fill="F0F5F1"/>
          </w:tcPr>
          <w:p>
            <w:pPr>
              <w:jc w:val="center"/>
              <w:ind w:left="261"/>
              <w:spacing w:after="0"/>
              <w:rPr>
                <w:sz w:val="20"/>
                <w:szCs w:val="20"/>
                <w:color w:val="auto"/>
              </w:rPr>
            </w:pPr>
            <w:r>
              <w:rPr>
                <w:rFonts w:ascii="Arial" w:cs="Arial" w:eastAsia="Arial" w:hAnsi="Arial"/>
                <w:sz w:val="12"/>
                <w:szCs w:val="12"/>
                <w:color w:val="auto"/>
                <w:w w:val="95"/>
              </w:rPr>
              <w:t>Equity</w:t>
            </w:r>
          </w:p>
        </w:tc>
        <w:tc>
          <w:tcPr>
            <w:tcW w:w="360" w:type="dxa"/>
            <w:vAlign w:val="bottom"/>
            <w:shd w:val="clear" w:color="auto" w:fill="F0F5F1"/>
          </w:tcPr>
          <w:p>
            <w:pPr>
              <w:spacing w:after="0"/>
              <w:rPr>
                <w:sz w:val="19"/>
                <w:szCs w:val="19"/>
                <w:color w:val="auto"/>
              </w:rPr>
            </w:pPr>
          </w:p>
        </w:tc>
        <w:tc>
          <w:tcPr>
            <w:tcW w:w="180" w:type="dxa"/>
            <w:vAlign w:val="bottom"/>
            <w:shd w:val="clear" w:color="auto" w:fill="F0F5F1"/>
          </w:tcPr>
          <w:p>
            <w:pPr>
              <w:spacing w:after="0"/>
              <w:rPr>
                <w:sz w:val="19"/>
                <w:szCs w:val="19"/>
                <w:color w:val="auto"/>
              </w:rPr>
            </w:pPr>
          </w:p>
        </w:tc>
        <w:tc>
          <w:tcPr>
            <w:tcW w:w="1240" w:type="dxa"/>
            <w:vAlign w:val="bottom"/>
            <w:shd w:val="clear" w:color="auto" w:fill="F0F5F1"/>
          </w:tcPr>
          <w:p>
            <w:pPr>
              <w:jc w:val="right"/>
              <w:ind w:right="217"/>
              <w:spacing w:after="0"/>
              <w:rPr>
                <w:sz w:val="20"/>
                <w:szCs w:val="20"/>
                <w:color w:val="auto"/>
              </w:rPr>
            </w:pPr>
            <w:r>
              <w:rPr>
                <w:rFonts w:ascii="Arial" w:cs="Arial" w:eastAsia="Arial" w:hAnsi="Arial"/>
                <w:sz w:val="12"/>
                <w:szCs w:val="12"/>
                <w:color w:val="auto"/>
              </w:rPr>
              <w:t>Foreign Currency</w:t>
            </w:r>
          </w:p>
        </w:tc>
        <w:tc>
          <w:tcPr>
            <w:tcW w:w="360" w:type="dxa"/>
            <w:vAlign w:val="bottom"/>
            <w:shd w:val="clear" w:color="auto" w:fill="F0F5F1"/>
          </w:tcPr>
          <w:p>
            <w:pPr>
              <w:spacing w:after="0"/>
              <w:rPr>
                <w:sz w:val="19"/>
                <w:szCs w:val="19"/>
                <w:color w:val="auto"/>
              </w:rPr>
            </w:pPr>
          </w:p>
        </w:tc>
        <w:tc>
          <w:tcPr>
            <w:tcW w:w="1040" w:type="dxa"/>
            <w:vAlign w:val="bottom"/>
            <w:shd w:val="clear" w:color="auto" w:fill="F0F5F1"/>
          </w:tcPr>
          <w:p>
            <w:pPr>
              <w:spacing w:after="0"/>
              <w:rPr>
                <w:sz w:val="19"/>
                <w:szCs w:val="19"/>
                <w:color w:val="auto"/>
              </w:rPr>
            </w:pPr>
          </w:p>
        </w:tc>
      </w:tr>
      <w:tr>
        <w:trPr>
          <w:trHeight w:val="151"/>
        </w:trPr>
        <w:tc>
          <w:tcPr>
            <w:tcW w:w="3210" w:type="dxa"/>
            <w:vAlign w:val="bottom"/>
            <w:tcBorders>
              <w:bottom w:val="single" w:sz="8" w:color="auto"/>
            </w:tcBorders>
            <w:shd w:val="clear" w:color="auto" w:fill="F0F5F1"/>
          </w:tcPr>
          <w:p>
            <w:pPr>
              <w:ind w:left="1180"/>
              <w:spacing w:after="0"/>
              <w:rPr>
                <w:sz w:val="20"/>
                <w:szCs w:val="20"/>
                <w:color w:val="auto"/>
              </w:rPr>
            </w:pPr>
            <w:r>
              <w:rPr>
                <w:rFonts w:ascii="Arial" w:cs="Arial" w:eastAsia="Arial" w:hAnsi="Arial"/>
                <w:sz w:val="12"/>
                <w:szCs w:val="12"/>
                <w:color w:val="auto"/>
              </w:rPr>
              <w:t>Derivative Type</w:t>
            </w:r>
          </w:p>
        </w:tc>
        <w:tc>
          <w:tcPr>
            <w:tcW w:w="350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2"/>
                <w:szCs w:val="12"/>
                <w:color w:val="auto"/>
                <w:w w:val="96"/>
              </w:rPr>
              <w:t>Location</w:t>
            </w:r>
          </w:p>
        </w:tc>
        <w:tc>
          <w:tcPr>
            <w:tcW w:w="190" w:type="dxa"/>
            <w:vAlign w:val="bottom"/>
            <w:tcBorders>
              <w:bottom w:val="single" w:sz="8" w:color="auto"/>
            </w:tcBorders>
            <w:shd w:val="clear" w:color="auto" w:fill="F0F5F1"/>
          </w:tcPr>
          <w:p>
            <w:pPr>
              <w:spacing w:after="0"/>
              <w:rPr>
                <w:sz w:val="13"/>
                <w:szCs w:val="13"/>
                <w:color w:val="auto"/>
              </w:rPr>
            </w:pPr>
          </w:p>
        </w:tc>
        <w:tc>
          <w:tcPr>
            <w:tcW w:w="1160" w:type="dxa"/>
            <w:vAlign w:val="bottom"/>
            <w:tcBorders>
              <w:bottom w:val="single" w:sz="8" w:color="auto"/>
            </w:tcBorders>
            <w:shd w:val="clear" w:color="auto" w:fill="F0F5F1"/>
          </w:tcPr>
          <w:p>
            <w:pPr>
              <w:jc w:val="center"/>
              <w:ind w:left="241"/>
              <w:spacing w:after="0"/>
              <w:rPr>
                <w:sz w:val="20"/>
                <w:szCs w:val="20"/>
                <w:color w:val="auto"/>
              </w:rPr>
            </w:pPr>
            <w:r>
              <w:rPr>
                <w:rFonts w:ascii="Arial" w:cs="Arial" w:eastAsia="Arial" w:hAnsi="Arial"/>
                <w:sz w:val="12"/>
                <w:szCs w:val="12"/>
                <w:color w:val="auto"/>
                <w:w w:val="97"/>
              </w:rPr>
              <w:t>Contracts</w:t>
            </w:r>
          </w:p>
        </w:tc>
        <w:tc>
          <w:tcPr>
            <w:tcW w:w="360" w:type="dxa"/>
            <w:vAlign w:val="bottom"/>
            <w:tcBorders>
              <w:bottom w:val="single" w:sz="8" w:color="auto"/>
            </w:tcBorders>
            <w:shd w:val="clear" w:color="auto" w:fill="F0F5F1"/>
          </w:tcPr>
          <w:p>
            <w:pPr>
              <w:spacing w:after="0"/>
              <w:rPr>
                <w:sz w:val="13"/>
                <w:szCs w:val="13"/>
                <w:color w:val="auto"/>
              </w:rPr>
            </w:pPr>
          </w:p>
        </w:tc>
        <w:tc>
          <w:tcPr>
            <w:tcW w:w="180" w:type="dxa"/>
            <w:vAlign w:val="bottom"/>
            <w:tcBorders>
              <w:bottom w:val="single" w:sz="8" w:color="auto"/>
            </w:tcBorders>
            <w:shd w:val="clear" w:color="auto" w:fill="F0F5F1"/>
          </w:tcPr>
          <w:p>
            <w:pPr>
              <w:spacing w:after="0"/>
              <w:rPr>
                <w:sz w:val="13"/>
                <w:szCs w:val="13"/>
                <w:color w:val="auto"/>
              </w:rPr>
            </w:pPr>
          </w:p>
        </w:tc>
        <w:tc>
          <w:tcPr>
            <w:tcW w:w="1240" w:type="dxa"/>
            <w:vAlign w:val="bottom"/>
            <w:tcBorders>
              <w:bottom w:val="single" w:sz="8" w:color="auto"/>
            </w:tcBorders>
            <w:shd w:val="clear" w:color="auto" w:fill="F0F5F1"/>
          </w:tcPr>
          <w:p>
            <w:pPr>
              <w:jc w:val="right"/>
              <w:ind w:right="417"/>
              <w:spacing w:after="0"/>
              <w:rPr>
                <w:sz w:val="20"/>
                <w:szCs w:val="20"/>
                <w:color w:val="auto"/>
              </w:rPr>
            </w:pPr>
            <w:r>
              <w:rPr>
                <w:rFonts w:ascii="Arial" w:cs="Arial" w:eastAsia="Arial" w:hAnsi="Arial"/>
                <w:sz w:val="12"/>
                <w:szCs w:val="12"/>
                <w:color w:val="auto"/>
              </w:rPr>
              <w:t>Contracts</w:t>
            </w:r>
          </w:p>
        </w:tc>
        <w:tc>
          <w:tcPr>
            <w:tcW w:w="360" w:type="dxa"/>
            <w:vAlign w:val="bottom"/>
            <w:tcBorders>
              <w:bottom w:val="single" w:sz="8" w:color="auto"/>
            </w:tcBorders>
            <w:shd w:val="clear" w:color="auto" w:fill="F0F5F1"/>
          </w:tcPr>
          <w:p>
            <w:pPr>
              <w:spacing w:after="0"/>
              <w:rPr>
                <w:sz w:val="13"/>
                <w:szCs w:val="13"/>
                <w:color w:val="auto"/>
              </w:rPr>
            </w:pPr>
          </w:p>
        </w:tc>
        <w:tc>
          <w:tcPr>
            <w:tcW w:w="1040" w:type="dxa"/>
            <w:vAlign w:val="bottom"/>
            <w:tcBorders>
              <w:bottom w:val="single" w:sz="8" w:color="auto"/>
            </w:tcBorders>
            <w:shd w:val="clear" w:color="auto" w:fill="F0F5F1"/>
          </w:tcPr>
          <w:p>
            <w:pPr>
              <w:jc w:val="right"/>
              <w:ind w:right="516"/>
              <w:spacing w:after="0"/>
              <w:rPr>
                <w:sz w:val="20"/>
                <w:szCs w:val="20"/>
                <w:color w:val="auto"/>
              </w:rPr>
            </w:pPr>
            <w:r>
              <w:rPr>
                <w:rFonts w:ascii="Arial" w:cs="Arial" w:eastAsia="Arial" w:hAnsi="Arial"/>
                <w:sz w:val="12"/>
                <w:szCs w:val="12"/>
                <w:color w:val="auto"/>
              </w:rPr>
              <w:t>Total</w:t>
            </w:r>
          </w:p>
        </w:tc>
      </w:tr>
      <w:tr>
        <w:trPr>
          <w:trHeight w:val="156"/>
        </w:trPr>
        <w:tc>
          <w:tcPr>
            <w:tcW w:w="3210" w:type="dxa"/>
            <w:vAlign w:val="bottom"/>
            <w:tcBorders>
              <w:bottom w:val="single" w:sz="8" w:color="auto"/>
            </w:tcBorders>
            <w:shd w:val="clear" w:color="auto" w:fill="F0F5F1"/>
          </w:tcPr>
          <w:p>
            <w:pPr>
              <w:spacing w:after="0"/>
              <w:rPr>
                <w:sz w:val="13"/>
                <w:szCs w:val="13"/>
                <w:color w:val="auto"/>
              </w:rPr>
            </w:pPr>
          </w:p>
        </w:tc>
        <w:tc>
          <w:tcPr>
            <w:tcW w:w="350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3"/>
                <w:szCs w:val="13"/>
                <w:b w:val="1"/>
                <w:bCs w:val="1"/>
                <w:color w:val="auto"/>
              </w:rPr>
              <w:t>Realized Gain (Loss)</w:t>
            </w:r>
          </w:p>
        </w:tc>
        <w:tc>
          <w:tcPr>
            <w:tcW w:w="190" w:type="dxa"/>
            <w:vAlign w:val="bottom"/>
            <w:tcBorders>
              <w:bottom w:val="single" w:sz="8" w:color="auto"/>
            </w:tcBorders>
            <w:shd w:val="clear" w:color="auto" w:fill="F0F5F1"/>
          </w:tcPr>
          <w:p>
            <w:pPr>
              <w:spacing w:after="0"/>
              <w:rPr>
                <w:sz w:val="13"/>
                <w:szCs w:val="13"/>
                <w:color w:val="auto"/>
              </w:rPr>
            </w:pPr>
          </w:p>
        </w:tc>
        <w:tc>
          <w:tcPr>
            <w:tcW w:w="1160" w:type="dxa"/>
            <w:vAlign w:val="bottom"/>
            <w:tcBorders>
              <w:bottom w:val="single" w:sz="8" w:color="auto"/>
            </w:tcBorders>
            <w:shd w:val="clear" w:color="auto" w:fill="F0F5F1"/>
          </w:tcPr>
          <w:p>
            <w:pPr>
              <w:spacing w:after="0"/>
              <w:rPr>
                <w:sz w:val="13"/>
                <w:szCs w:val="13"/>
                <w:color w:val="auto"/>
              </w:rPr>
            </w:pPr>
          </w:p>
        </w:tc>
        <w:tc>
          <w:tcPr>
            <w:tcW w:w="360" w:type="dxa"/>
            <w:vAlign w:val="bottom"/>
            <w:tcBorders>
              <w:bottom w:val="single" w:sz="8" w:color="auto"/>
            </w:tcBorders>
            <w:shd w:val="clear" w:color="auto" w:fill="F0F5F1"/>
          </w:tcPr>
          <w:p>
            <w:pPr>
              <w:spacing w:after="0"/>
              <w:rPr>
                <w:sz w:val="13"/>
                <w:szCs w:val="13"/>
                <w:color w:val="auto"/>
              </w:rPr>
            </w:pPr>
          </w:p>
        </w:tc>
        <w:tc>
          <w:tcPr>
            <w:tcW w:w="180" w:type="dxa"/>
            <w:vAlign w:val="bottom"/>
            <w:tcBorders>
              <w:bottom w:val="single" w:sz="8" w:color="auto"/>
            </w:tcBorders>
            <w:shd w:val="clear" w:color="auto" w:fill="F0F5F1"/>
          </w:tcPr>
          <w:p>
            <w:pPr>
              <w:spacing w:after="0"/>
              <w:rPr>
                <w:sz w:val="13"/>
                <w:szCs w:val="13"/>
                <w:color w:val="auto"/>
              </w:rPr>
            </w:pPr>
          </w:p>
        </w:tc>
        <w:tc>
          <w:tcPr>
            <w:tcW w:w="1240" w:type="dxa"/>
            <w:vAlign w:val="bottom"/>
            <w:tcBorders>
              <w:bottom w:val="single" w:sz="8" w:color="auto"/>
            </w:tcBorders>
            <w:shd w:val="clear" w:color="auto" w:fill="F0F5F1"/>
          </w:tcPr>
          <w:p>
            <w:pPr>
              <w:spacing w:after="0"/>
              <w:rPr>
                <w:sz w:val="13"/>
                <w:szCs w:val="13"/>
                <w:color w:val="auto"/>
              </w:rPr>
            </w:pPr>
          </w:p>
        </w:tc>
        <w:tc>
          <w:tcPr>
            <w:tcW w:w="360" w:type="dxa"/>
            <w:vAlign w:val="bottom"/>
            <w:tcBorders>
              <w:bottom w:val="single" w:sz="8" w:color="auto"/>
            </w:tcBorders>
            <w:shd w:val="clear" w:color="auto" w:fill="F0F5F1"/>
          </w:tcPr>
          <w:p>
            <w:pPr>
              <w:spacing w:after="0"/>
              <w:rPr>
                <w:sz w:val="13"/>
                <w:szCs w:val="13"/>
                <w:color w:val="auto"/>
              </w:rPr>
            </w:pPr>
          </w:p>
        </w:tc>
        <w:tc>
          <w:tcPr>
            <w:tcW w:w="1040" w:type="dxa"/>
            <w:vAlign w:val="bottom"/>
            <w:tcBorders>
              <w:bottom w:val="single" w:sz="8" w:color="auto"/>
            </w:tcBorders>
            <w:shd w:val="clear" w:color="auto" w:fill="F0F5F1"/>
          </w:tcPr>
          <w:p>
            <w:pPr>
              <w:spacing w:after="0"/>
              <w:rPr>
                <w:sz w:val="13"/>
                <w:szCs w:val="13"/>
                <w:color w:val="auto"/>
              </w:rPr>
            </w:pPr>
          </w:p>
        </w:tc>
      </w:tr>
      <w:tr>
        <w:trPr>
          <w:trHeight w:val="136"/>
        </w:trPr>
        <w:tc>
          <w:tcPr>
            <w:tcW w:w="3210" w:type="dxa"/>
            <w:vAlign w:val="bottom"/>
            <w:shd w:val="clear" w:color="auto" w:fill="F0F5F1"/>
          </w:tcPr>
          <w:p>
            <w:pPr>
              <w:ind w:left="100"/>
              <w:spacing w:after="0" w:line="136" w:lineRule="exact"/>
              <w:rPr>
                <w:sz w:val="20"/>
                <w:szCs w:val="20"/>
                <w:color w:val="auto"/>
              </w:rPr>
            </w:pPr>
            <w:r>
              <w:rPr>
                <w:rFonts w:ascii="Arial" w:cs="Arial" w:eastAsia="Arial" w:hAnsi="Arial"/>
                <w:sz w:val="13"/>
                <w:szCs w:val="13"/>
                <w:color w:val="auto"/>
              </w:rPr>
              <w:t>Forward Foreign Currency Contracts</w:t>
            </w:r>
          </w:p>
        </w:tc>
        <w:tc>
          <w:tcPr>
            <w:tcW w:w="3500" w:type="dxa"/>
            <w:vAlign w:val="bottom"/>
            <w:shd w:val="clear" w:color="auto" w:fill="F0F5F1"/>
          </w:tcPr>
          <w:p>
            <w:pPr>
              <w:ind w:left="130"/>
              <w:spacing w:after="0" w:line="136" w:lineRule="exact"/>
              <w:rPr>
                <w:sz w:val="20"/>
                <w:szCs w:val="20"/>
                <w:color w:val="auto"/>
              </w:rPr>
            </w:pPr>
            <w:r>
              <w:rPr>
                <w:rFonts w:ascii="Arial" w:cs="Arial" w:eastAsia="Arial" w:hAnsi="Arial"/>
                <w:sz w:val="13"/>
                <w:szCs w:val="13"/>
                <w:color w:val="auto"/>
              </w:rPr>
              <w:t>Net realized loss from forward foreign currency</w:t>
            </w:r>
          </w:p>
        </w:tc>
        <w:tc>
          <w:tcPr>
            <w:tcW w:w="190" w:type="dxa"/>
            <w:vAlign w:val="bottom"/>
            <w:shd w:val="clear" w:color="auto" w:fill="F0F5F1"/>
          </w:tcPr>
          <w:p>
            <w:pPr>
              <w:spacing w:after="0"/>
              <w:rPr>
                <w:sz w:val="11"/>
                <w:szCs w:val="11"/>
                <w:color w:val="auto"/>
              </w:rPr>
            </w:pPr>
          </w:p>
        </w:tc>
        <w:tc>
          <w:tcPr>
            <w:tcW w:w="1160" w:type="dxa"/>
            <w:vAlign w:val="bottom"/>
            <w:shd w:val="clear" w:color="auto" w:fill="F0F5F1"/>
          </w:tcPr>
          <w:p>
            <w:pPr>
              <w:spacing w:after="0"/>
              <w:rPr>
                <w:sz w:val="11"/>
                <w:szCs w:val="11"/>
                <w:color w:val="auto"/>
              </w:rPr>
            </w:pPr>
          </w:p>
        </w:tc>
        <w:tc>
          <w:tcPr>
            <w:tcW w:w="360" w:type="dxa"/>
            <w:vAlign w:val="bottom"/>
            <w:shd w:val="clear" w:color="auto" w:fill="F0F5F1"/>
          </w:tcPr>
          <w:p>
            <w:pPr>
              <w:spacing w:after="0"/>
              <w:rPr>
                <w:sz w:val="11"/>
                <w:szCs w:val="11"/>
                <w:color w:val="auto"/>
              </w:rPr>
            </w:pPr>
          </w:p>
        </w:tc>
        <w:tc>
          <w:tcPr>
            <w:tcW w:w="180" w:type="dxa"/>
            <w:vAlign w:val="bottom"/>
            <w:shd w:val="clear" w:color="auto" w:fill="F0F5F1"/>
          </w:tcPr>
          <w:p>
            <w:pPr>
              <w:spacing w:after="0"/>
              <w:rPr>
                <w:sz w:val="11"/>
                <w:szCs w:val="11"/>
                <w:color w:val="auto"/>
              </w:rPr>
            </w:pPr>
          </w:p>
        </w:tc>
        <w:tc>
          <w:tcPr>
            <w:tcW w:w="1240" w:type="dxa"/>
            <w:vAlign w:val="bottom"/>
            <w:shd w:val="clear" w:color="auto" w:fill="F0F5F1"/>
          </w:tcPr>
          <w:p>
            <w:pPr>
              <w:spacing w:after="0"/>
              <w:rPr>
                <w:sz w:val="11"/>
                <w:szCs w:val="11"/>
                <w:color w:val="auto"/>
              </w:rPr>
            </w:pPr>
          </w:p>
        </w:tc>
        <w:tc>
          <w:tcPr>
            <w:tcW w:w="360" w:type="dxa"/>
            <w:vAlign w:val="bottom"/>
            <w:shd w:val="clear" w:color="auto" w:fill="F0F5F1"/>
          </w:tcPr>
          <w:p>
            <w:pPr>
              <w:spacing w:after="0"/>
              <w:rPr>
                <w:sz w:val="11"/>
                <w:szCs w:val="11"/>
                <w:color w:val="auto"/>
              </w:rPr>
            </w:pPr>
          </w:p>
        </w:tc>
        <w:tc>
          <w:tcPr>
            <w:tcW w:w="1040" w:type="dxa"/>
            <w:vAlign w:val="bottom"/>
            <w:shd w:val="clear" w:color="auto" w:fill="F0F5F1"/>
          </w:tcPr>
          <w:p>
            <w:pPr>
              <w:spacing w:after="0"/>
              <w:rPr>
                <w:sz w:val="11"/>
                <w:szCs w:val="11"/>
                <w:color w:val="auto"/>
              </w:rPr>
            </w:pPr>
          </w:p>
        </w:tc>
      </w:tr>
      <w:tr>
        <w:trPr>
          <w:trHeight w:val="171"/>
        </w:trPr>
        <w:tc>
          <w:tcPr>
            <w:tcW w:w="3210" w:type="dxa"/>
            <w:vAlign w:val="bottom"/>
            <w:tcBorders>
              <w:bottom w:val="single" w:sz="8" w:color="auto"/>
            </w:tcBorders>
            <w:shd w:val="clear" w:color="auto" w:fill="F0F5F1"/>
          </w:tcPr>
          <w:p>
            <w:pPr>
              <w:spacing w:after="0"/>
              <w:rPr>
                <w:sz w:val="14"/>
                <w:szCs w:val="14"/>
                <w:color w:val="auto"/>
              </w:rPr>
            </w:pPr>
          </w:p>
        </w:tc>
        <w:tc>
          <w:tcPr>
            <w:tcW w:w="3500" w:type="dxa"/>
            <w:vAlign w:val="bottom"/>
            <w:tcBorders>
              <w:bottom w:val="single" w:sz="8" w:color="auto"/>
            </w:tcBorders>
            <w:shd w:val="clear" w:color="auto" w:fill="F0F5F1"/>
          </w:tcPr>
          <w:p>
            <w:pPr>
              <w:ind w:left="130"/>
              <w:spacing w:after="0"/>
              <w:rPr>
                <w:sz w:val="20"/>
                <w:szCs w:val="20"/>
                <w:color w:val="auto"/>
              </w:rPr>
            </w:pPr>
            <w:r>
              <w:rPr>
                <w:rFonts w:ascii="Arial" w:cs="Arial" w:eastAsia="Arial" w:hAnsi="Arial"/>
                <w:sz w:val="13"/>
                <w:szCs w:val="13"/>
                <w:color w:val="auto"/>
              </w:rPr>
              <w:t>contracts</w:t>
            </w:r>
          </w:p>
        </w:tc>
        <w:tc>
          <w:tcPr>
            <w:tcW w:w="19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F0F5F1"/>
          </w:tcPr>
          <w:p>
            <w:pPr>
              <w:spacing w:after="0"/>
              <w:rPr>
                <w:sz w:val="14"/>
                <w:szCs w:val="14"/>
                <w:color w:val="auto"/>
              </w:rPr>
            </w:pPr>
          </w:p>
        </w:tc>
        <w:tc>
          <w:tcPr>
            <w:tcW w:w="360" w:type="dxa"/>
            <w:vAlign w:val="bottom"/>
            <w:tcBorders>
              <w:bottom w:val="single" w:sz="8" w:color="auto"/>
            </w:tcBorders>
            <w:shd w:val="clear" w:color="auto" w:fill="F0F5F1"/>
          </w:tcPr>
          <w:p>
            <w:pPr>
              <w:ind w:left="18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(5,109,920)</w:t>
            </w:r>
          </w:p>
        </w:tc>
        <w:tc>
          <w:tcPr>
            <w:tcW w:w="360" w:type="dxa"/>
            <w:vAlign w:val="bottom"/>
            <w:tcBorders>
              <w:bottom w:val="single" w:sz="8" w:color="auto"/>
            </w:tcBorders>
            <w:shd w:val="clear" w:color="auto" w:fill="F0F5F1"/>
          </w:tcPr>
          <w:p>
            <w:pPr>
              <w:jc w:val="right"/>
              <w:ind w:right="13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(5,109,920)</w:t>
            </w:r>
          </w:p>
        </w:tc>
      </w:tr>
      <w:tr>
        <w:trPr>
          <w:trHeight w:val="156"/>
        </w:trPr>
        <w:tc>
          <w:tcPr>
            <w:tcW w:w="3210" w:type="dxa"/>
            <w:vAlign w:val="bottom"/>
            <w:tcBorders>
              <w:bottom w:val="single" w:sz="8" w:color="auto"/>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Total Realized Gain (Loss)</w:t>
            </w:r>
          </w:p>
        </w:tc>
        <w:tc>
          <w:tcPr>
            <w:tcW w:w="3500" w:type="dxa"/>
            <w:vAlign w:val="bottom"/>
            <w:tcBorders>
              <w:bottom w:val="single" w:sz="8" w:color="auto"/>
            </w:tcBorders>
            <w:shd w:val="clear" w:color="auto" w:fill="F0F5F1"/>
          </w:tcPr>
          <w:p>
            <w:pPr>
              <w:spacing w:after="0"/>
              <w:rPr>
                <w:sz w:val="13"/>
                <w:szCs w:val="13"/>
                <w:color w:val="auto"/>
              </w:rPr>
            </w:pPr>
          </w:p>
        </w:tc>
        <w:tc>
          <w:tcPr>
            <w:tcW w:w="19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shd w:val="clear" w:color="auto" w:fill="F0F5F1"/>
          </w:tcPr>
          <w:p>
            <w:pPr>
              <w:spacing w:after="0"/>
              <w:rPr>
                <w:sz w:val="13"/>
                <w:szCs w:val="13"/>
                <w:color w:val="auto"/>
              </w:rPr>
            </w:pPr>
          </w:p>
        </w:tc>
        <w:tc>
          <w:tcPr>
            <w:tcW w:w="360" w:type="dxa"/>
            <w:vAlign w:val="bottom"/>
            <w:tcBorders>
              <w:bottom w:val="single" w:sz="8" w:color="auto"/>
            </w:tcBorders>
            <w:shd w:val="clear" w:color="auto" w:fill="F0F5F1"/>
          </w:tcPr>
          <w:p>
            <w:pPr>
              <w:ind w:left="180"/>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(5,109,920)</w:t>
            </w:r>
          </w:p>
        </w:tc>
        <w:tc>
          <w:tcPr>
            <w:tcW w:w="360" w:type="dxa"/>
            <w:vAlign w:val="bottom"/>
            <w:tcBorders>
              <w:bottom w:val="single" w:sz="8" w:color="auto"/>
            </w:tcBorders>
            <w:shd w:val="clear" w:color="auto" w:fill="F0F5F1"/>
          </w:tcPr>
          <w:p>
            <w:pPr>
              <w:jc w:val="right"/>
              <w:ind w:right="133"/>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(5,109,920)</w:t>
            </w:r>
          </w:p>
        </w:tc>
      </w:tr>
      <w:tr>
        <w:trPr>
          <w:trHeight w:val="43"/>
        </w:trPr>
        <w:tc>
          <w:tcPr>
            <w:tcW w:w="3210" w:type="dxa"/>
            <w:vAlign w:val="bottom"/>
            <w:shd w:val="clear" w:color="auto" w:fill="F0F5F1"/>
          </w:tcPr>
          <w:p>
            <w:pPr>
              <w:spacing w:after="0"/>
              <w:rPr>
                <w:sz w:val="3"/>
                <w:szCs w:val="3"/>
                <w:color w:val="auto"/>
              </w:rPr>
            </w:pPr>
          </w:p>
        </w:tc>
        <w:tc>
          <w:tcPr>
            <w:tcW w:w="3500" w:type="dxa"/>
            <w:vAlign w:val="bottom"/>
            <w:shd w:val="clear" w:color="auto" w:fill="F0F5F1"/>
          </w:tcPr>
          <w:p>
            <w:pPr>
              <w:spacing w:after="0"/>
              <w:rPr>
                <w:sz w:val="3"/>
                <w:szCs w:val="3"/>
                <w:color w:val="auto"/>
              </w:rPr>
            </w:pPr>
          </w:p>
        </w:tc>
        <w:tc>
          <w:tcPr>
            <w:tcW w:w="190" w:type="dxa"/>
            <w:vAlign w:val="bottom"/>
            <w:shd w:val="clear" w:color="auto" w:fill="F0F5F1"/>
          </w:tcPr>
          <w:p>
            <w:pPr>
              <w:spacing w:after="0"/>
              <w:rPr>
                <w:sz w:val="3"/>
                <w:szCs w:val="3"/>
                <w:color w:val="auto"/>
              </w:rPr>
            </w:pPr>
          </w:p>
        </w:tc>
        <w:tc>
          <w:tcPr>
            <w:tcW w:w="1160" w:type="dxa"/>
            <w:vAlign w:val="bottom"/>
            <w:shd w:val="clear" w:color="auto" w:fill="F0F5F1"/>
          </w:tcPr>
          <w:p>
            <w:pPr>
              <w:spacing w:after="0"/>
              <w:rPr>
                <w:sz w:val="3"/>
                <w:szCs w:val="3"/>
                <w:color w:val="auto"/>
              </w:rPr>
            </w:pPr>
          </w:p>
        </w:tc>
        <w:tc>
          <w:tcPr>
            <w:tcW w:w="360" w:type="dxa"/>
            <w:vAlign w:val="bottom"/>
            <w:shd w:val="clear" w:color="auto" w:fill="F0F5F1"/>
          </w:tcPr>
          <w:p>
            <w:pPr>
              <w:spacing w:after="0"/>
              <w:rPr>
                <w:sz w:val="3"/>
                <w:szCs w:val="3"/>
                <w:color w:val="auto"/>
              </w:rPr>
            </w:pPr>
          </w:p>
        </w:tc>
        <w:tc>
          <w:tcPr>
            <w:tcW w:w="180" w:type="dxa"/>
            <w:vAlign w:val="bottom"/>
            <w:shd w:val="clear" w:color="auto" w:fill="F0F5F1"/>
          </w:tcPr>
          <w:p>
            <w:pPr>
              <w:spacing w:after="0"/>
              <w:rPr>
                <w:sz w:val="3"/>
                <w:szCs w:val="3"/>
                <w:color w:val="auto"/>
              </w:rPr>
            </w:pPr>
          </w:p>
        </w:tc>
        <w:tc>
          <w:tcPr>
            <w:tcW w:w="1240" w:type="dxa"/>
            <w:vAlign w:val="bottom"/>
            <w:shd w:val="clear" w:color="auto" w:fill="F0F5F1"/>
          </w:tcPr>
          <w:p>
            <w:pPr>
              <w:spacing w:after="0"/>
              <w:rPr>
                <w:sz w:val="3"/>
                <w:szCs w:val="3"/>
                <w:color w:val="auto"/>
              </w:rPr>
            </w:pPr>
          </w:p>
        </w:tc>
        <w:tc>
          <w:tcPr>
            <w:tcW w:w="360" w:type="dxa"/>
            <w:vAlign w:val="bottom"/>
            <w:shd w:val="clear" w:color="auto" w:fill="F0F5F1"/>
          </w:tcPr>
          <w:p>
            <w:pPr>
              <w:spacing w:after="0"/>
              <w:rPr>
                <w:sz w:val="3"/>
                <w:szCs w:val="3"/>
                <w:color w:val="auto"/>
              </w:rPr>
            </w:pPr>
          </w:p>
        </w:tc>
        <w:tc>
          <w:tcPr>
            <w:tcW w:w="1040" w:type="dxa"/>
            <w:vAlign w:val="bottom"/>
            <w:shd w:val="clear" w:color="auto" w:fill="F0F5F1"/>
          </w:tcPr>
          <w:p>
            <w:pPr>
              <w:spacing w:after="0"/>
              <w:rPr>
                <w:sz w:val="3"/>
                <w:szCs w:val="3"/>
                <w:color w:val="auto"/>
              </w:rPr>
            </w:pPr>
          </w:p>
        </w:tc>
      </w:tr>
    </w:tbl>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following table lists the amounts of change in unrealized appreciation (depreciation) included in net increase in net assets resulting from operations for the year ended December 31, 2025, grouped by contract type and risk exposure.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10" w:type="dxa"/>
            <w:vAlign w:val="bottom"/>
            <w:shd w:val="clear" w:color="auto" w:fill="F0F5F1"/>
          </w:tcPr>
          <w:p>
            <w:pPr>
              <w:spacing w:after="0"/>
              <w:rPr>
                <w:sz w:val="19"/>
                <w:szCs w:val="19"/>
                <w:color w:val="auto"/>
              </w:rPr>
            </w:pPr>
          </w:p>
        </w:tc>
        <w:tc>
          <w:tcPr>
            <w:tcW w:w="3500" w:type="dxa"/>
            <w:vAlign w:val="bottom"/>
            <w:shd w:val="clear" w:color="auto" w:fill="F0F5F1"/>
          </w:tcPr>
          <w:p>
            <w:pPr>
              <w:jc w:val="center"/>
              <w:spacing w:after="0"/>
              <w:rPr>
                <w:sz w:val="20"/>
                <w:szCs w:val="20"/>
                <w:color w:val="auto"/>
              </w:rPr>
            </w:pPr>
            <w:r>
              <w:rPr>
                <w:rFonts w:ascii="Arial" w:cs="Arial" w:eastAsia="Arial" w:hAnsi="Arial"/>
                <w:sz w:val="12"/>
                <w:szCs w:val="12"/>
                <w:color w:val="auto"/>
                <w:w w:val="98"/>
              </w:rPr>
              <w:t>Income Statement</w:t>
            </w:r>
          </w:p>
        </w:tc>
        <w:tc>
          <w:tcPr>
            <w:tcW w:w="190" w:type="dxa"/>
            <w:vAlign w:val="bottom"/>
            <w:shd w:val="clear" w:color="auto" w:fill="F0F5F1"/>
          </w:tcPr>
          <w:p>
            <w:pPr>
              <w:spacing w:after="0"/>
              <w:rPr>
                <w:sz w:val="19"/>
                <w:szCs w:val="19"/>
                <w:color w:val="auto"/>
              </w:rPr>
            </w:pPr>
          </w:p>
        </w:tc>
        <w:tc>
          <w:tcPr>
            <w:tcW w:w="1540" w:type="dxa"/>
            <w:vAlign w:val="bottom"/>
            <w:shd w:val="clear" w:color="auto" w:fill="F0F5F1"/>
          </w:tcPr>
          <w:p>
            <w:pPr>
              <w:jc w:val="right"/>
              <w:ind w:right="596"/>
              <w:spacing w:after="0"/>
              <w:rPr>
                <w:sz w:val="20"/>
                <w:szCs w:val="20"/>
                <w:color w:val="auto"/>
              </w:rPr>
            </w:pPr>
            <w:r>
              <w:rPr>
                <w:rFonts w:ascii="Arial" w:cs="Arial" w:eastAsia="Arial" w:hAnsi="Arial"/>
                <w:sz w:val="12"/>
                <w:szCs w:val="12"/>
                <w:color w:val="auto"/>
              </w:rPr>
              <w:t>Equity</w:t>
            </w:r>
          </w:p>
        </w:tc>
        <w:tc>
          <w:tcPr>
            <w:tcW w:w="200" w:type="dxa"/>
            <w:vAlign w:val="bottom"/>
            <w:shd w:val="clear" w:color="auto" w:fill="F0F5F1"/>
          </w:tcPr>
          <w:p>
            <w:pPr>
              <w:spacing w:after="0"/>
              <w:rPr>
                <w:sz w:val="19"/>
                <w:szCs w:val="19"/>
                <w:color w:val="auto"/>
              </w:rPr>
            </w:pPr>
          </w:p>
        </w:tc>
        <w:tc>
          <w:tcPr>
            <w:tcW w:w="1200" w:type="dxa"/>
            <w:vAlign w:val="bottom"/>
            <w:shd w:val="clear" w:color="auto" w:fill="F0F5F1"/>
          </w:tcPr>
          <w:p>
            <w:pPr>
              <w:jc w:val="right"/>
              <w:ind w:right="156"/>
              <w:spacing w:after="0"/>
              <w:rPr>
                <w:sz w:val="20"/>
                <w:szCs w:val="20"/>
                <w:color w:val="auto"/>
              </w:rPr>
            </w:pPr>
            <w:r>
              <w:rPr>
                <w:rFonts w:ascii="Arial" w:cs="Arial" w:eastAsia="Arial" w:hAnsi="Arial"/>
                <w:sz w:val="12"/>
                <w:szCs w:val="12"/>
                <w:color w:val="auto"/>
              </w:rPr>
              <w:t>Foreign Currency</w:t>
            </w:r>
          </w:p>
        </w:tc>
        <w:tc>
          <w:tcPr>
            <w:tcW w:w="400" w:type="dxa"/>
            <w:vAlign w:val="bottom"/>
            <w:shd w:val="clear" w:color="auto" w:fill="F0F5F1"/>
          </w:tcPr>
          <w:p>
            <w:pPr>
              <w:spacing w:after="0"/>
              <w:rPr>
                <w:sz w:val="19"/>
                <w:szCs w:val="19"/>
                <w:color w:val="auto"/>
              </w:rPr>
            </w:pPr>
          </w:p>
        </w:tc>
        <w:tc>
          <w:tcPr>
            <w:tcW w:w="900" w:type="dxa"/>
            <w:vAlign w:val="bottom"/>
            <w:shd w:val="clear" w:color="auto" w:fill="F0F5F1"/>
          </w:tcPr>
          <w:p>
            <w:pPr>
              <w:spacing w:after="0"/>
              <w:rPr>
                <w:sz w:val="19"/>
                <w:szCs w:val="19"/>
                <w:color w:val="auto"/>
              </w:rPr>
            </w:pPr>
          </w:p>
        </w:tc>
        <w:tc>
          <w:tcPr>
            <w:tcW w:w="100" w:type="dxa"/>
            <w:vAlign w:val="bottom"/>
          </w:tcPr>
          <w:p>
            <w:pPr>
              <w:spacing w:after="0"/>
              <w:rPr>
                <w:sz w:val="19"/>
                <w:szCs w:val="19"/>
                <w:color w:val="auto"/>
              </w:rPr>
            </w:pPr>
          </w:p>
        </w:tc>
      </w:tr>
      <w:tr>
        <w:trPr>
          <w:trHeight w:val="151"/>
        </w:trPr>
        <w:tc>
          <w:tcPr>
            <w:tcW w:w="3210" w:type="dxa"/>
            <w:vAlign w:val="bottom"/>
            <w:tcBorders>
              <w:bottom w:val="single" w:sz="8" w:color="auto"/>
            </w:tcBorders>
            <w:shd w:val="clear" w:color="auto" w:fill="F0F5F1"/>
          </w:tcPr>
          <w:p>
            <w:pPr>
              <w:ind w:left="1180"/>
              <w:spacing w:after="0"/>
              <w:rPr>
                <w:sz w:val="20"/>
                <w:szCs w:val="20"/>
                <w:color w:val="auto"/>
              </w:rPr>
            </w:pPr>
            <w:r>
              <w:rPr>
                <w:rFonts w:ascii="Arial" w:cs="Arial" w:eastAsia="Arial" w:hAnsi="Arial"/>
                <w:sz w:val="12"/>
                <w:szCs w:val="12"/>
                <w:color w:val="auto"/>
              </w:rPr>
              <w:t>Derivative Type</w:t>
            </w:r>
          </w:p>
        </w:tc>
        <w:tc>
          <w:tcPr>
            <w:tcW w:w="350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2"/>
                <w:szCs w:val="12"/>
                <w:color w:val="auto"/>
                <w:w w:val="96"/>
              </w:rPr>
              <w:t>Location</w:t>
            </w:r>
          </w:p>
        </w:tc>
        <w:tc>
          <w:tcPr>
            <w:tcW w:w="190" w:type="dxa"/>
            <w:vAlign w:val="bottom"/>
            <w:tcBorders>
              <w:bottom w:val="single" w:sz="8" w:color="auto"/>
            </w:tcBorders>
            <w:shd w:val="clear" w:color="auto" w:fill="F0F5F1"/>
          </w:tcPr>
          <w:p>
            <w:pPr>
              <w:spacing w:after="0"/>
              <w:rPr>
                <w:sz w:val="13"/>
                <w:szCs w:val="13"/>
                <w:color w:val="auto"/>
              </w:rPr>
            </w:pPr>
          </w:p>
        </w:tc>
        <w:tc>
          <w:tcPr>
            <w:tcW w:w="1540" w:type="dxa"/>
            <w:vAlign w:val="bottom"/>
            <w:tcBorders>
              <w:bottom w:val="single" w:sz="8" w:color="auto"/>
            </w:tcBorders>
            <w:shd w:val="clear" w:color="auto" w:fill="F0F5F1"/>
          </w:tcPr>
          <w:p>
            <w:pPr>
              <w:jc w:val="right"/>
              <w:ind w:right="496"/>
              <w:spacing w:after="0"/>
              <w:rPr>
                <w:sz w:val="20"/>
                <w:szCs w:val="20"/>
                <w:color w:val="auto"/>
              </w:rPr>
            </w:pPr>
            <w:r>
              <w:rPr>
                <w:rFonts w:ascii="Arial" w:cs="Arial" w:eastAsia="Arial" w:hAnsi="Arial"/>
                <w:sz w:val="12"/>
                <w:szCs w:val="12"/>
                <w:color w:val="auto"/>
              </w:rPr>
              <w:t>Contracts</w:t>
            </w:r>
          </w:p>
        </w:tc>
        <w:tc>
          <w:tcPr>
            <w:tcW w:w="200" w:type="dxa"/>
            <w:vAlign w:val="bottom"/>
            <w:tcBorders>
              <w:bottom w:val="single" w:sz="8" w:color="auto"/>
            </w:tcBorders>
            <w:shd w:val="clear" w:color="auto" w:fill="F0F5F1"/>
          </w:tcPr>
          <w:p>
            <w:pPr>
              <w:spacing w:after="0"/>
              <w:rPr>
                <w:sz w:val="13"/>
                <w:szCs w:val="13"/>
                <w:color w:val="auto"/>
              </w:rPr>
            </w:pPr>
          </w:p>
        </w:tc>
        <w:tc>
          <w:tcPr>
            <w:tcW w:w="1200" w:type="dxa"/>
            <w:vAlign w:val="bottom"/>
            <w:tcBorders>
              <w:bottom w:val="single" w:sz="8" w:color="auto"/>
            </w:tcBorders>
            <w:shd w:val="clear" w:color="auto" w:fill="F0F5F1"/>
          </w:tcPr>
          <w:p>
            <w:pPr>
              <w:jc w:val="right"/>
              <w:ind w:right="356"/>
              <w:spacing w:after="0"/>
              <w:rPr>
                <w:sz w:val="20"/>
                <w:szCs w:val="20"/>
                <w:color w:val="auto"/>
              </w:rPr>
            </w:pPr>
            <w:r>
              <w:rPr>
                <w:rFonts w:ascii="Arial" w:cs="Arial" w:eastAsia="Arial" w:hAnsi="Arial"/>
                <w:sz w:val="12"/>
                <w:szCs w:val="12"/>
                <w:color w:val="auto"/>
              </w:rPr>
              <w:t>Contracts</w:t>
            </w:r>
          </w:p>
        </w:tc>
        <w:tc>
          <w:tcPr>
            <w:tcW w:w="400" w:type="dxa"/>
            <w:vAlign w:val="bottom"/>
            <w:tcBorders>
              <w:bottom w:val="single" w:sz="8" w:color="auto"/>
            </w:tcBorders>
            <w:shd w:val="clear" w:color="auto" w:fill="F0F5F1"/>
          </w:tcPr>
          <w:p>
            <w:pPr>
              <w:spacing w:after="0"/>
              <w:rPr>
                <w:sz w:val="13"/>
                <w:szCs w:val="13"/>
                <w:color w:val="auto"/>
              </w:rPr>
            </w:pPr>
          </w:p>
        </w:tc>
        <w:tc>
          <w:tcPr>
            <w:tcW w:w="900" w:type="dxa"/>
            <w:vAlign w:val="bottom"/>
            <w:tcBorders>
              <w:bottom w:val="single" w:sz="8" w:color="auto"/>
            </w:tcBorders>
            <w:shd w:val="clear" w:color="auto" w:fill="F0F5F1"/>
          </w:tcPr>
          <w:p>
            <w:pPr>
              <w:ind w:left="22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F0F5F1"/>
            </w:tcBorders>
          </w:tcPr>
          <w:p>
            <w:pPr>
              <w:spacing w:after="0"/>
              <w:rPr>
                <w:sz w:val="13"/>
                <w:szCs w:val="13"/>
                <w:color w:val="auto"/>
              </w:rPr>
            </w:pPr>
          </w:p>
        </w:tc>
      </w:tr>
      <w:tr>
        <w:trPr>
          <w:trHeight w:val="156"/>
        </w:trPr>
        <w:tc>
          <w:tcPr>
            <w:tcW w:w="3210" w:type="dxa"/>
            <w:vAlign w:val="bottom"/>
            <w:tcBorders>
              <w:bottom w:val="single" w:sz="8" w:color="auto"/>
            </w:tcBorders>
            <w:shd w:val="clear" w:color="auto" w:fill="F0F5F1"/>
          </w:tcPr>
          <w:p>
            <w:pPr>
              <w:spacing w:after="0"/>
              <w:rPr>
                <w:sz w:val="13"/>
                <w:szCs w:val="13"/>
                <w:color w:val="auto"/>
              </w:rPr>
            </w:pPr>
          </w:p>
        </w:tc>
        <w:tc>
          <w:tcPr>
            <w:tcW w:w="350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3"/>
                <w:szCs w:val="13"/>
                <w:b w:val="1"/>
                <w:bCs w:val="1"/>
                <w:color w:val="auto"/>
              </w:rPr>
              <w:t>Change in appreciation (depreciation)</w:t>
            </w:r>
          </w:p>
        </w:tc>
        <w:tc>
          <w:tcPr>
            <w:tcW w:w="190" w:type="dxa"/>
            <w:vAlign w:val="bottom"/>
            <w:tcBorders>
              <w:bottom w:val="single" w:sz="8" w:color="auto"/>
            </w:tcBorders>
            <w:shd w:val="clear" w:color="auto" w:fill="F0F5F1"/>
          </w:tcPr>
          <w:p>
            <w:pPr>
              <w:spacing w:after="0"/>
              <w:rPr>
                <w:sz w:val="13"/>
                <w:szCs w:val="13"/>
                <w:color w:val="auto"/>
              </w:rPr>
            </w:pPr>
          </w:p>
        </w:tc>
        <w:tc>
          <w:tcPr>
            <w:tcW w:w="1540" w:type="dxa"/>
            <w:vAlign w:val="bottom"/>
            <w:tcBorders>
              <w:bottom w:val="single" w:sz="8" w:color="auto"/>
            </w:tcBorders>
            <w:shd w:val="clear" w:color="auto" w:fill="F0F5F1"/>
          </w:tcPr>
          <w:p>
            <w:pPr>
              <w:spacing w:after="0"/>
              <w:rPr>
                <w:sz w:val="13"/>
                <w:szCs w:val="13"/>
                <w:color w:val="auto"/>
              </w:rPr>
            </w:pPr>
          </w:p>
        </w:tc>
        <w:tc>
          <w:tcPr>
            <w:tcW w:w="200" w:type="dxa"/>
            <w:vAlign w:val="bottom"/>
            <w:tcBorders>
              <w:bottom w:val="single" w:sz="8" w:color="auto"/>
            </w:tcBorders>
            <w:shd w:val="clear" w:color="auto" w:fill="F0F5F1"/>
          </w:tcPr>
          <w:p>
            <w:pPr>
              <w:spacing w:after="0"/>
              <w:rPr>
                <w:sz w:val="13"/>
                <w:szCs w:val="13"/>
                <w:color w:val="auto"/>
              </w:rPr>
            </w:pPr>
          </w:p>
        </w:tc>
        <w:tc>
          <w:tcPr>
            <w:tcW w:w="1200" w:type="dxa"/>
            <w:vAlign w:val="bottom"/>
            <w:tcBorders>
              <w:bottom w:val="single" w:sz="8" w:color="auto"/>
            </w:tcBorders>
            <w:shd w:val="clear" w:color="auto" w:fill="F0F5F1"/>
          </w:tcPr>
          <w:p>
            <w:pPr>
              <w:spacing w:after="0"/>
              <w:rPr>
                <w:sz w:val="13"/>
                <w:szCs w:val="13"/>
                <w:color w:val="auto"/>
              </w:rPr>
            </w:pPr>
          </w:p>
        </w:tc>
        <w:tc>
          <w:tcPr>
            <w:tcW w:w="400" w:type="dxa"/>
            <w:vAlign w:val="bottom"/>
            <w:tcBorders>
              <w:bottom w:val="single" w:sz="8" w:color="auto"/>
            </w:tcBorders>
            <w:shd w:val="clear" w:color="auto" w:fill="F0F5F1"/>
          </w:tcPr>
          <w:p>
            <w:pPr>
              <w:spacing w:after="0"/>
              <w:rPr>
                <w:sz w:val="13"/>
                <w:szCs w:val="13"/>
                <w:color w:val="auto"/>
              </w:rPr>
            </w:pPr>
          </w:p>
        </w:tc>
        <w:tc>
          <w:tcPr>
            <w:tcW w:w="900" w:type="dxa"/>
            <w:vAlign w:val="bottom"/>
            <w:tcBorders>
              <w:bottom w:val="single" w:sz="8" w:color="auto"/>
            </w:tcBorders>
            <w:shd w:val="clear" w:color="auto" w:fill="F0F5F1"/>
          </w:tcPr>
          <w:p>
            <w:pPr>
              <w:spacing w:after="0"/>
              <w:rPr>
                <w:sz w:val="13"/>
                <w:szCs w:val="13"/>
                <w:color w:val="auto"/>
              </w:rPr>
            </w:pPr>
          </w:p>
        </w:tc>
        <w:tc>
          <w:tcPr>
            <w:tcW w:w="100" w:type="dxa"/>
            <w:vAlign w:val="bottom"/>
            <w:tcBorders>
              <w:bottom w:val="single" w:sz="8" w:color="auto"/>
            </w:tcBorders>
            <w:shd w:val="clear" w:color="auto" w:fill="F0F5F1"/>
          </w:tcPr>
          <w:p>
            <w:pPr>
              <w:spacing w:after="0"/>
              <w:rPr>
                <w:sz w:val="13"/>
                <w:szCs w:val="13"/>
                <w:color w:val="auto"/>
              </w:rPr>
            </w:pPr>
          </w:p>
        </w:tc>
      </w:tr>
      <w:tr>
        <w:trPr>
          <w:trHeight w:val="136"/>
        </w:trPr>
        <w:tc>
          <w:tcPr>
            <w:tcW w:w="3210" w:type="dxa"/>
            <w:vAlign w:val="bottom"/>
            <w:shd w:val="clear" w:color="auto" w:fill="F0F5F1"/>
          </w:tcPr>
          <w:p>
            <w:pPr>
              <w:ind w:left="100"/>
              <w:spacing w:after="0" w:line="136" w:lineRule="exact"/>
              <w:rPr>
                <w:sz w:val="20"/>
                <w:szCs w:val="20"/>
                <w:color w:val="auto"/>
              </w:rPr>
            </w:pPr>
            <w:r>
              <w:rPr>
                <w:rFonts w:ascii="Arial" w:cs="Arial" w:eastAsia="Arial" w:hAnsi="Arial"/>
                <w:sz w:val="13"/>
                <w:szCs w:val="13"/>
                <w:color w:val="auto"/>
              </w:rPr>
              <w:t>Forward Foreign Currency Contracts</w:t>
            </w:r>
          </w:p>
        </w:tc>
        <w:tc>
          <w:tcPr>
            <w:tcW w:w="3500" w:type="dxa"/>
            <w:vAlign w:val="bottom"/>
            <w:shd w:val="clear" w:color="auto" w:fill="F0F5F1"/>
          </w:tcPr>
          <w:p>
            <w:pPr>
              <w:ind w:left="130"/>
              <w:spacing w:after="0" w:line="136" w:lineRule="exact"/>
              <w:rPr>
                <w:sz w:val="20"/>
                <w:szCs w:val="20"/>
                <w:color w:val="auto"/>
              </w:rPr>
            </w:pPr>
            <w:r>
              <w:rPr>
                <w:rFonts w:ascii="Arial" w:cs="Arial" w:eastAsia="Arial" w:hAnsi="Arial"/>
                <w:sz w:val="13"/>
                <w:szCs w:val="13"/>
                <w:color w:val="auto"/>
              </w:rPr>
              <w:t>Net change in unrealized depreciation on forward</w:t>
            </w:r>
          </w:p>
        </w:tc>
        <w:tc>
          <w:tcPr>
            <w:tcW w:w="190" w:type="dxa"/>
            <w:vAlign w:val="bottom"/>
            <w:shd w:val="clear" w:color="auto" w:fill="F0F5F1"/>
          </w:tcPr>
          <w:p>
            <w:pPr>
              <w:spacing w:after="0"/>
              <w:rPr>
                <w:sz w:val="11"/>
                <w:szCs w:val="11"/>
                <w:color w:val="auto"/>
              </w:rPr>
            </w:pPr>
          </w:p>
        </w:tc>
        <w:tc>
          <w:tcPr>
            <w:tcW w:w="1540" w:type="dxa"/>
            <w:vAlign w:val="bottom"/>
            <w:shd w:val="clear" w:color="auto" w:fill="F0F5F1"/>
          </w:tcPr>
          <w:p>
            <w:pPr>
              <w:spacing w:after="0"/>
              <w:rPr>
                <w:sz w:val="11"/>
                <w:szCs w:val="11"/>
                <w:color w:val="auto"/>
              </w:rPr>
            </w:pPr>
          </w:p>
        </w:tc>
        <w:tc>
          <w:tcPr>
            <w:tcW w:w="200" w:type="dxa"/>
            <w:vAlign w:val="bottom"/>
            <w:shd w:val="clear" w:color="auto" w:fill="F0F5F1"/>
          </w:tcPr>
          <w:p>
            <w:pPr>
              <w:spacing w:after="0"/>
              <w:rPr>
                <w:sz w:val="11"/>
                <w:szCs w:val="11"/>
                <w:color w:val="auto"/>
              </w:rPr>
            </w:pPr>
          </w:p>
        </w:tc>
        <w:tc>
          <w:tcPr>
            <w:tcW w:w="1200" w:type="dxa"/>
            <w:vAlign w:val="bottom"/>
            <w:shd w:val="clear" w:color="auto" w:fill="F0F5F1"/>
          </w:tcPr>
          <w:p>
            <w:pPr>
              <w:spacing w:after="0"/>
              <w:rPr>
                <w:sz w:val="11"/>
                <w:szCs w:val="11"/>
                <w:color w:val="auto"/>
              </w:rPr>
            </w:pPr>
          </w:p>
        </w:tc>
        <w:tc>
          <w:tcPr>
            <w:tcW w:w="400" w:type="dxa"/>
            <w:vAlign w:val="bottom"/>
            <w:shd w:val="clear" w:color="auto" w:fill="F0F5F1"/>
          </w:tcPr>
          <w:p>
            <w:pPr>
              <w:spacing w:after="0"/>
              <w:rPr>
                <w:sz w:val="11"/>
                <w:szCs w:val="11"/>
                <w:color w:val="auto"/>
              </w:rPr>
            </w:pPr>
          </w:p>
        </w:tc>
        <w:tc>
          <w:tcPr>
            <w:tcW w:w="900" w:type="dxa"/>
            <w:vAlign w:val="bottom"/>
            <w:shd w:val="clear" w:color="auto" w:fill="F0F5F1"/>
          </w:tcPr>
          <w:p>
            <w:pPr>
              <w:spacing w:after="0"/>
              <w:rPr>
                <w:sz w:val="11"/>
                <w:szCs w:val="11"/>
                <w:color w:val="auto"/>
              </w:rPr>
            </w:pPr>
          </w:p>
        </w:tc>
        <w:tc>
          <w:tcPr>
            <w:tcW w:w="100" w:type="dxa"/>
            <w:vAlign w:val="bottom"/>
            <w:shd w:val="clear" w:color="auto" w:fill="F0F5F1"/>
          </w:tcPr>
          <w:p>
            <w:pPr>
              <w:spacing w:after="0"/>
              <w:rPr>
                <w:sz w:val="11"/>
                <w:szCs w:val="11"/>
                <w:color w:val="auto"/>
              </w:rPr>
            </w:pPr>
          </w:p>
        </w:tc>
      </w:tr>
      <w:tr>
        <w:trPr>
          <w:trHeight w:val="171"/>
        </w:trPr>
        <w:tc>
          <w:tcPr>
            <w:tcW w:w="3210" w:type="dxa"/>
            <w:vAlign w:val="bottom"/>
            <w:tcBorders>
              <w:bottom w:val="single" w:sz="8" w:color="auto"/>
            </w:tcBorders>
            <w:shd w:val="clear" w:color="auto" w:fill="F0F5F1"/>
          </w:tcPr>
          <w:p>
            <w:pPr>
              <w:spacing w:after="0"/>
              <w:rPr>
                <w:sz w:val="14"/>
                <w:szCs w:val="14"/>
                <w:color w:val="auto"/>
              </w:rPr>
            </w:pPr>
          </w:p>
        </w:tc>
        <w:tc>
          <w:tcPr>
            <w:tcW w:w="3500" w:type="dxa"/>
            <w:vAlign w:val="bottom"/>
            <w:tcBorders>
              <w:bottom w:val="single" w:sz="8" w:color="auto"/>
            </w:tcBorders>
            <w:shd w:val="clear" w:color="auto" w:fill="F0F5F1"/>
          </w:tcPr>
          <w:p>
            <w:pPr>
              <w:ind w:left="130"/>
              <w:spacing w:after="0"/>
              <w:rPr>
                <w:sz w:val="20"/>
                <w:szCs w:val="20"/>
                <w:color w:val="auto"/>
              </w:rPr>
            </w:pPr>
            <w:r>
              <w:rPr>
                <w:rFonts w:ascii="Arial" w:cs="Arial" w:eastAsia="Arial" w:hAnsi="Arial"/>
                <w:sz w:val="13"/>
                <w:szCs w:val="13"/>
                <w:color w:val="auto"/>
              </w:rPr>
              <w:t>foreign currency contracts</w:t>
            </w:r>
          </w:p>
        </w:tc>
        <w:tc>
          <w:tcPr>
            <w:tcW w:w="19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F0F5F1"/>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F0F5F1"/>
          </w:tcPr>
          <w:p>
            <w:pPr>
              <w:jc w:val="right"/>
              <w:ind w:right="1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(261,397)</w:t>
            </w:r>
          </w:p>
        </w:tc>
        <w:tc>
          <w:tcPr>
            <w:tcW w:w="400" w:type="dxa"/>
            <w:vAlign w:val="bottom"/>
            <w:tcBorders>
              <w:bottom w:val="single" w:sz="8" w:color="auto"/>
            </w:tcBorders>
            <w:shd w:val="clear" w:color="auto" w:fill="F0F5F1"/>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gridSpan w:val="2"/>
            <w:shd w:val="clear" w:color="auto" w:fill="F0F5F1"/>
          </w:tcPr>
          <w:p>
            <w:pPr>
              <w:jc w:val="right"/>
              <w:ind w:right="40"/>
              <w:spacing w:after="0"/>
              <w:rPr>
                <w:sz w:val="20"/>
                <w:szCs w:val="20"/>
                <w:color w:val="auto"/>
              </w:rPr>
            </w:pPr>
            <w:r>
              <w:rPr>
                <w:rFonts w:ascii="Arial" w:cs="Arial" w:eastAsia="Arial" w:hAnsi="Arial"/>
                <w:sz w:val="13"/>
                <w:szCs w:val="13"/>
                <w:color w:val="auto"/>
              </w:rPr>
              <w:t>(261,397)</w:t>
            </w:r>
          </w:p>
        </w:tc>
      </w:tr>
      <w:tr>
        <w:trPr>
          <w:trHeight w:val="156"/>
        </w:trPr>
        <w:tc>
          <w:tcPr>
            <w:tcW w:w="3210" w:type="dxa"/>
            <w:vAlign w:val="bottom"/>
            <w:tcBorders>
              <w:bottom w:val="single" w:sz="8" w:color="auto"/>
            </w:tcBorders>
            <w:shd w:val="clear" w:color="auto" w:fill="F0F5F1"/>
          </w:tcPr>
          <w:p>
            <w:pPr>
              <w:ind w:left="100"/>
              <w:spacing w:after="0"/>
              <w:rPr>
                <w:sz w:val="20"/>
                <w:szCs w:val="20"/>
                <w:color w:val="auto"/>
              </w:rPr>
            </w:pPr>
            <w:r>
              <w:rPr>
                <w:rFonts w:ascii="Arial" w:cs="Arial" w:eastAsia="Arial" w:hAnsi="Arial"/>
                <w:sz w:val="13"/>
                <w:szCs w:val="13"/>
                <w:color w:val="auto"/>
              </w:rPr>
              <w:t>Written Options</w:t>
            </w:r>
          </w:p>
        </w:tc>
        <w:tc>
          <w:tcPr>
            <w:tcW w:w="3500" w:type="dxa"/>
            <w:vAlign w:val="bottom"/>
            <w:tcBorders>
              <w:bottom w:val="single" w:sz="8" w:color="auto"/>
            </w:tcBorders>
            <w:shd w:val="clear" w:color="auto" w:fill="F0F5F1"/>
          </w:tcPr>
          <w:p>
            <w:pPr>
              <w:ind w:left="130"/>
              <w:spacing w:after="0"/>
              <w:rPr>
                <w:sz w:val="20"/>
                <w:szCs w:val="20"/>
                <w:color w:val="auto"/>
              </w:rPr>
            </w:pPr>
            <w:r>
              <w:rPr>
                <w:rFonts w:ascii="Arial" w:cs="Arial" w:eastAsia="Arial" w:hAnsi="Arial"/>
                <w:sz w:val="13"/>
                <w:szCs w:val="13"/>
                <w:color w:val="auto"/>
              </w:rPr>
              <w:t>Net change in unrealized depreciation of written options</w:t>
            </w:r>
          </w:p>
        </w:tc>
        <w:tc>
          <w:tcPr>
            <w:tcW w:w="190" w:type="dxa"/>
            <w:vAlign w:val="bottom"/>
            <w:tcBorders>
              <w:bottom w:val="single" w:sz="8" w:color="auto"/>
            </w:tcBorders>
            <w:shd w:val="clear" w:color="auto" w:fill="F0F5F1"/>
          </w:tcPr>
          <w:p>
            <w:pPr>
              <w:spacing w:after="0"/>
              <w:rPr>
                <w:sz w:val="13"/>
                <w:szCs w:val="13"/>
                <w:color w:val="auto"/>
              </w:rPr>
            </w:pPr>
          </w:p>
        </w:tc>
        <w:tc>
          <w:tcPr>
            <w:tcW w:w="15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(612,115)</w:t>
            </w:r>
          </w:p>
        </w:tc>
        <w:tc>
          <w:tcPr>
            <w:tcW w:w="200" w:type="dxa"/>
            <w:vAlign w:val="bottom"/>
            <w:tcBorders>
              <w:bottom w:val="single" w:sz="8" w:color="auto"/>
            </w:tcBorders>
            <w:shd w:val="clear" w:color="auto" w:fill="F0F5F1"/>
          </w:tcPr>
          <w:p>
            <w:pPr>
              <w:spacing w:after="0"/>
              <w:rPr>
                <w:sz w:val="13"/>
                <w:szCs w:val="13"/>
                <w:color w:val="auto"/>
              </w:rPr>
            </w:pPr>
          </w:p>
        </w:tc>
        <w:tc>
          <w:tcPr>
            <w:tcW w:w="1200" w:type="dxa"/>
            <w:vAlign w:val="bottom"/>
            <w:tcBorders>
              <w:bottom w:val="single" w:sz="8" w:color="auto"/>
            </w:tcBorders>
            <w:shd w:val="clear" w:color="auto" w:fill="F0F5F1"/>
          </w:tcPr>
          <w:p>
            <w:pPr>
              <w:jc w:val="right"/>
              <w:ind w:right="96"/>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F0F5F1"/>
          </w:tcPr>
          <w:p>
            <w:pPr>
              <w:spacing w:after="0"/>
              <w:rPr>
                <w:sz w:val="13"/>
                <w:szCs w:val="13"/>
                <w:color w:val="auto"/>
              </w:rPr>
            </w:pPr>
          </w:p>
        </w:tc>
        <w:tc>
          <w:tcPr>
            <w:tcW w:w="1000" w:type="dxa"/>
            <w:vAlign w:val="bottom"/>
            <w:tcBorders>
              <w:bottom w:val="single" w:sz="8" w:color="auto"/>
            </w:tcBorders>
            <w:gridSpan w:val="2"/>
            <w:shd w:val="clear" w:color="auto" w:fill="F0F5F1"/>
          </w:tcPr>
          <w:p>
            <w:pPr>
              <w:jc w:val="right"/>
              <w:ind w:right="40"/>
              <w:spacing w:after="0"/>
              <w:rPr>
                <w:sz w:val="20"/>
                <w:szCs w:val="20"/>
                <w:color w:val="auto"/>
              </w:rPr>
            </w:pPr>
            <w:r>
              <w:rPr>
                <w:rFonts w:ascii="Arial" w:cs="Arial" w:eastAsia="Arial" w:hAnsi="Arial"/>
                <w:sz w:val="13"/>
                <w:szCs w:val="13"/>
                <w:color w:val="auto"/>
              </w:rPr>
              <w:t>(612,115)</w:t>
            </w:r>
          </w:p>
        </w:tc>
      </w:tr>
      <w:tr>
        <w:trPr>
          <w:trHeight w:val="156"/>
        </w:trPr>
        <w:tc>
          <w:tcPr>
            <w:tcW w:w="3210" w:type="dxa"/>
            <w:vAlign w:val="bottom"/>
            <w:tcBorders>
              <w:bottom w:val="single" w:sz="8" w:color="auto"/>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Total change in depreciation</w:t>
            </w:r>
          </w:p>
        </w:tc>
        <w:tc>
          <w:tcPr>
            <w:tcW w:w="3500" w:type="dxa"/>
            <w:vAlign w:val="bottom"/>
            <w:tcBorders>
              <w:bottom w:val="single" w:sz="8" w:color="auto"/>
            </w:tcBorders>
            <w:shd w:val="clear" w:color="auto" w:fill="F0F5F1"/>
          </w:tcPr>
          <w:p>
            <w:pPr>
              <w:spacing w:after="0"/>
              <w:rPr>
                <w:sz w:val="13"/>
                <w:szCs w:val="13"/>
                <w:color w:val="auto"/>
              </w:rPr>
            </w:pPr>
          </w:p>
        </w:tc>
        <w:tc>
          <w:tcPr>
            <w:tcW w:w="19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w:t>
            </w:r>
          </w:p>
        </w:tc>
        <w:tc>
          <w:tcPr>
            <w:tcW w:w="15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(612,115)</w:t>
            </w:r>
          </w:p>
        </w:tc>
        <w:tc>
          <w:tcPr>
            <w:tcW w:w="200" w:type="dxa"/>
            <w:vAlign w:val="bottom"/>
            <w:tcBorders>
              <w:bottom w:val="single" w:sz="8" w:color="auto"/>
            </w:tcBorders>
            <w:shd w:val="clear" w:color="auto" w:fill="F0F5F1"/>
          </w:tcPr>
          <w:p>
            <w:pPr>
              <w:jc w:val="right"/>
              <w:ind w:right="13"/>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(261,397)</w:t>
            </w:r>
          </w:p>
        </w:tc>
        <w:tc>
          <w:tcPr>
            <w:tcW w:w="400" w:type="dxa"/>
            <w:vAlign w:val="bottom"/>
            <w:tcBorders>
              <w:bottom w:val="single" w:sz="8" w:color="auto"/>
            </w:tcBorders>
            <w:shd w:val="clear" w:color="auto" w:fill="F0F5F1"/>
          </w:tcPr>
          <w:p>
            <w:pPr>
              <w:jc w:val="right"/>
              <w:ind w:right="173"/>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gridSpan w:val="2"/>
            <w:shd w:val="clear" w:color="auto" w:fill="F0F5F1"/>
          </w:tcPr>
          <w:p>
            <w:pPr>
              <w:jc w:val="right"/>
              <w:ind w:right="40"/>
              <w:spacing w:after="0"/>
              <w:rPr>
                <w:sz w:val="20"/>
                <w:szCs w:val="20"/>
                <w:color w:val="auto"/>
              </w:rPr>
            </w:pPr>
            <w:r>
              <w:rPr>
                <w:rFonts w:ascii="Arial" w:cs="Arial" w:eastAsia="Arial" w:hAnsi="Arial"/>
                <w:sz w:val="13"/>
                <w:szCs w:val="13"/>
                <w:b w:val="1"/>
                <w:bCs w:val="1"/>
                <w:color w:val="auto"/>
              </w:rPr>
              <w:t>(873,512)</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Investment Advisory Fee and Other Fee Arrangements</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ArrowMark Asset Management, LLC, serves as investment advisor to AMFC pursuant to a management agreement with AMFC (the “Management Agreement”). For its services as the investment advisor, AMFC pays the Advisor a fee at the annual rate of 1.75% of managed assets. AMFC will pay the management fee quarterly in arrears, and it will be equal to 0.4375% (1.75% annualized) of our managed assets at the end of such quarter, including cash and cash equivalents and assets purchased with borrowings.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addition, for the year ended December 31, 2025, the Advisor reimbursed the Fund $149,992 for expenses related to Investor Relations Fees, representing approximately 0.09% of net assets.</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AMFC currently pays each Director who is not an officer or employee of the Advisor a fee of $55,000 per annum, plus $1,500 for each in-person meeting of the Board of Directors or committee meeting. The chairman of AMFC’s audit committee, nominating committee and the Lead Independent Director are each paid an additional $10,000 per year. Directors do not receive any pension or retirement plan</w:t>
      </w:r>
    </w:p>
    <w:p>
      <w:pPr>
        <w:spacing w:after="0" w:line="150" w:lineRule="exact"/>
        <w:rPr>
          <w:sz w:val="20"/>
          <w:szCs w:val="20"/>
          <w:color w:val="auto"/>
        </w:rPr>
      </w:pPr>
    </w:p>
    <w:p>
      <w:pPr>
        <w:ind w:left="580" w:hanging="579"/>
        <w:spacing w:after="0"/>
        <w:tabs>
          <w:tab w:leader="none" w:pos="580" w:val="left"/>
        </w:tabs>
        <w:numPr>
          <w:ilvl w:val="0"/>
          <w:numId w:val="19"/>
        </w:numPr>
        <w:rPr>
          <w:rFonts w:ascii="Arial" w:cs="Arial" w:eastAsia="Arial" w:hAnsi="Arial"/>
          <w:sz w:val="13"/>
          <w:szCs w:val="13"/>
          <w:color w:val="286B38"/>
        </w:rPr>
      </w:pPr>
      <w:r>
        <w:rPr>
          <w:rFonts w:ascii="Arial" w:cs="Arial" w:eastAsia="Arial" w:hAnsi="Arial"/>
          <w:sz w:val="13"/>
          <w:szCs w:val="13"/>
          <w:color w:val="296B38"/>
        </w:rPr>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6"/>
          <w:szCs w:val="16"/>
          <w:color w:val="auto"/>
        </w:rPr>
        <w:t>benefits and are not part of any profit sharing plan. Interested Directors do not receive any compensation from AMFC. AMFC has incurred $205,179 of Directors fees for the year ended December 31, 2025.</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Purchases and Sales and Redemptions of Securities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2025, (i) the cost of purchases was $47,743,416 (ii) the sales and redemptions of securities was $55,375,377.</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Federal Tax Information</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Company intends to operate so as to qualify to be taxed as a RIC under Subchapter M of the Internal Revenue Code and, as such, to not be subject to federal income tax on the portion of its taxable income and gains distributed to stockholders. To qualify for RIC tax treatment, AMFC is required to distribute at least 90% of its investment company taxable income, as defined by the Code.</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However, due to the timing of when distributions are made by the Fund, the Fund may be subject to an excise tax of 4% of the amount by which 98% of the Fund’s annual taxable income and 98.2% of net realized gains exceed the distributions from such taxable income and realized gains for the calendar year. The Fund has accrued an excise tax of $234,481 for the calendar year 2025.</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Because federal income tax regulations differ from accounting principles generally accepted in the United States,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AMFC has followed the authoritative guidance on accounting for and disclosure of uncertainty in tax positions, which requires AMFC to determine whether a tax position is more likely than not to be sustained upon examination, including resolution of any related appeals or litigation processes, based on the technical merits of the position. AMFC has determined that there was no effect on the financial statements from following this authoritative guidance. In the normal course of business, AMFC is subject to examination by federal, state and local jurisdictions, where applicable, for tax years for which applicable statutes of limitations have not expired.</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order to present net asset components on the Statement of Assets and Liabilities that more closely represent their tax character, certain reclassifications are made to the net asset components. Net assets, net investment income and net realized gains were not affected by these adjustments. For the year ended December 31, 2025, these adjustments increased distributable earnings by $234,481 and decreased paid-in capital by $234,481. The primary reasons for this reclassification relates to a reclass of capital gain to ordinary income, disallowed expenses, redesignation of dividends paid and fund level return of capital.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components of distributable earnings on a tax basis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340" w:type="dxa"/>
            <w:vAlign w:val="bottom"/>
            <w:shd w:val="clear" w:color="auto" w:fill="F0F5F1"/>
          </w:tcPr>
          <w:p>
            <w:pPr>
              <w:ind w:left="100"/>
              <w:spacing w:after="0"/>
              <w:rPr>
                <w:sz w:val="20"/>
                <w:szCs w:val="20"/>
                <w:color w:val="auto"/>
              </w:rPr>
            </w:pPr>
            <w:r>
              <w:rPr>
                <w:rFonts w:ascii="Arial" w:cs="Arial" w:eastAsia="Arial" w:hAnsi="Arial"/>
                <w:sz w:val="13"/>
                <w:szCs w:val="13"/>
                <w:b w:val="1"/>
                <w:bCs w:val="1"/>
                <w:color w:val="auto"/>
              </w:rPr>
              <w:t>Capital Loss Carryforwards</w:t>
            </w:r>
          </w:p>
        </w:tc>
        <w:tc>
          <w:tcPr>
            <w:tcW w:w="1240" w:type="dxa"/>
            <w:vAlign w:val="bottom"/>
            <w:shd w:val="clear" w:color="auto" w:fill="F0F5F1"/>
          </w:tcPr>
          <w:p>
            <w:pPr>
              <w:spacing w:after="0"/>
              <w:rPr>
                <w:sz w:val="13"/>
                <w:szCs w:val="13"/>
                <w:color w:val="auto"/>
              </w:rPr>
            </w:pPr>
          </w:p>
        </w:tc>
        <w:tc>
          <w:tcPr>
            <w:tcW w:w="14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F0F5F1"/>
          </w:tcPr>
          <w:p>
            <w:pPr>
              <w:jc w:val="right"/>
              <w:ind w:right="53"/>
              <w:spacing w:after="0"/>
              <w:rPr>
                <w:sz w:val="20"/>
                <w:szCs w:val="20"/>
                <w:color w:val="auto"/>
              </w:rPr>
            </w:pPr>
            <w:r>
              <w:rPr>
                <w:rFonts w:ascii="Arial" w:cs="Arial" w:eastAsia="Arial" w:hAnsi="Arial"/>
                <w:sz w:val="13"/>
                <w:szCs w:val="13"/>
                <w:color w:val="auto"/>
              </w:rPr>
              <w:t>(13,433,446)</w:t>
            </w:r>
          </w:p>
        </w:tc>
      </w:tr>
      <w:tr>
        <w:trPr>
          <w:trHeight w:val="151"/>
        </w:trPr>
        <w:tc>
          <w:tcPr>
            <w:tcW w:w="3340" w:type="dxa"/>
            <w:vAlign w:val="bottom"/>
            <w:shd w:val="clear" w:color="auto" w:fill="F0F5F1"/>
          </w:tcPr>
          <w:p>
            <w:pPr>
              <w:ind w:left="100"/>
              <w:spacing w:after="0"/>
              <w:rPr>
                <w:sz w:val="20"/>
                <w:szCs w:val="20"/>
                <w:color w:val="auto"/>
              </w:rPr>
            </w:pPr>
            <w:r>
              <w:rPr>
                <w:rFonts w:ascii="Arial" w:cs="Arial" w:eastAsia="Arial" w:hAnsi="Arial"/>
                <w:sz w:val="13"/>
                <w:szCs w:val="13"/>
                <w:b w:val="1"/>
                <w:bCs w:val="1"/>
                <w:color w:val="auto"/>
              </w:rPr>
              <w:t>Unrealized Appreciation*</w:t>
            </w:r>
          </w:p>
        </w:tc>
        <w:tc>
          <w:tcPr>
            <w:tcW w:w="1240" w:type="dxa"/>
            <w:vAlign w:val="bottom"/>
            <w:shd w:val="clear" w:color="auto" w:fill="F0F5F1"/>
          </w:tcPr>
          <w:p>
            <w:pPr>
              <w:spacing w:after="0"/>
              <w:rPr>
                <w:sz w:val="13"/>
                <w:szCs w:val="13"/>
                <w:color w:val="auto"/>
              </w:rPr>
            </w:pPr>
          </w:p>
        </w:tc>
        <w:tc>
          <w:tcPr>
            <w:tcW w:w="140" w:type="dxa"/>
            <w:vAlign w:val="bottom"/>
            <w:shd w:val="clear" w:color="auto" w:fill="F0F5F1"/>
          </w:tcPr>
          <w:p>
            <w:pPr>
              <w:spacing w:after="0"/>
              <w:rPr>
                <w:sz w:val="13"/>
                <w:szCs w:val="13"/>
                <w:color w:val="auto"/>
              </w:rPr>
            </w:pPr>
          </w:p>
        </w:tc>
        <w:tc>
          <w:tcPr>
            <w:tcW w:w="8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1,247,536</w:t>
            </w:r>
          </w:p>
        </w:tc>
        <w:tc>
          <w:tcPr>
            <w:tcW w:w="180" w:type="dxa"/>
            <w:vAlign w:val="bottom"/>
            <w:shd w:val="clear" w:color="auto" w:fill="F0F5F1"/>
          </w:tcPr>
          <w:p>
            <w:pPr>
              <w:spacing w:after="0"/>
              <w:rPr>
                <w:sz w:val="13"/>
                <w:szCs w:val="13"/>
                <w:color w:val="auto"/>
              </w:rPr>
            </w:pPr>
          </w:p>
        </w:tc>
      </w:tr>
      <w:tr>
        <w:trPr>
          <w:trHeight w:val="151"/>
        </w:trPr>
        <w:tc>
          <w:tcPr>
            <w:tcW w:w="3340" w:type="dxa"/>
            <w:vAlign w:val="bottom"/>
            <w:shd w:val="clear" w:color="auto" w:fill="F0F5F1"/>
          </w:tcPr>
          <w:p>
            <w:pPr>
              <w:ind w:left="100"/>
              <w:spacing w:after="0"/>
              <w:rPr>
                <w:sz w:val="20"/>
                <w:szCs w:val="20"/>
                <w:color w:val="auto"/>
              </w:rPr>
            </w:pPr>
            <w:r>
              <w:rPr>
                <w:rFonts w:ascii="Arial" w:cs="Arial" w:eastAsia="Arial" w:hAnsi="Arial"/>
                <w:sz w:val="13"/>
                <w:szCs w:val="13"/>
                <w:b w:val="1"/>
                <w:bCs w:val="1"/>
                <w:color w:val="auto"/>
              </w:rPr>
              <w:t>Undistributed Ordinary Income</w:t>
            </w:r>
          </w:p>
        </w:tc>
        <w:tc>
          <w:tcPr>
            <w:tcW w:w="1240" w:type="dxa"/>
            <w:vAlign w:val="bottom"/>
            <w:shd w:val="clear" w:color="auto" w:fill="F0F5F1"/>
          </w:tcPr>
          <w:p>
            <w:pPr>
              <w:spacing w:after="0"/>
              <w:rPr>
                <w:sz w:val="13"/>
                <w:szCs w:val="13"/>
                <w:color w:val="auto"/>
              </w:rPr>
            </w:pPr>
          </w:p>
        </w:tc>
        <w:tc>
          <w:tcPr>
            <w:tcW w:w="140" w:type="dxa"/>
            <w:vAlign w:val="bottom"/>
            <w:shd w:val="clear" w:color="auto" w:fill="F0F5F1"/>
          </w:tcPr>
          <w:p>
            <w:pPr>
              <w:spacing w:after="0"/>
              <w:rPr>
                <w:sz w:val="13"/>
                <w:szCs w:val="13"/>
                <w:color w:val="auto"/>
              </w:rPr>
            </w:pPr>
          </w:p>
        </w:tc>
        <w:tc>
          <w:tcPr>
            <w:tcW w:w="8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13,311,491</w:t>
            </w:r>
          </w:p>
        </w:tc>
        <w:tc>
          <w:tcPr>
            <w:tcW w:w="180" w:type="dxa"/>
            <w:vAlign w:val="bottom"/>
            <w:shd w:val="clear" w:color="auto" w:fill="F0F5F1"/>
          </w:tcPr>
          <w:p>
            <w:pPr>
              <w:spacing w:after="0"/>
              <w:rPr>
                <w:sz w:val="13"/>
                <w:szCs w:val="13"/>
                <w:color w:val="auto"/>
              </w:rPr>
            </w:pPr>
          </w:p>
        </w:tc>
      </w:tr>
      <w:tr>
        <w:trPr>
          <w:trHeight w:val="163"/>
        </w:trPr>
        <w:tc>
          <w:tcPr>
            <w:tcW w:w="3340" w:type="dxa"/>
            <w:vAlign w:val="bottom"/>
            <w:tcBorders>
              <w:bottom w:val="single" w:sz="8" w:color="F0F5F1"/>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Other</w:t>
            </w:r>
          </w:p>
        </w:tc>
        <w:tc>
          <w:tcPr>
            <w:tcW w:w="1240" w:type="dxa"/>
            <w:vAlign w:val="bottom"/>
            <w:tcBorders>
              <w:bottom w:val="single" w:sz="8" w:color="F0F5F1"/>
            </w:tcBorders>
            <w:shd w:val="clear" w:color="auto" w:fill="F0F5F1"/>
          </w:tcPr>
          <w:p>
            <w:pPr>
              <w:spacing w:after="0"/>
              <w:rPr>
                <w:sz w:val="14"/>
                <w:szCs w:val="14"/>
                <w:color w:val="auto"/>
              </w:rPr>
            </w:pPr>
          </w:p>
        </w:tc>
        <w:tc>
          <w:tcPr>
            <w:tcW w:w="140" w:type="dxa"/>
            <w:vAlign w:val="bottom"/>
            <w:tcBorders>
              <w:bottom w:val="single" w:sz="8" w:color="auto"/>
            </w:tcBorders>
            <w:shd w:val="clear" w:color="auto" w:fill="F0F5F1"/>
          </w:tcPr>
          <w:p>
            <w:pPr>
              <w:spacing w:after="0"/>
              <w:rPr>
                <w:sz w:val="14"/>
                <w:szCs w:val="14"/>
                <w:color w:val="auto"/>
              </w:rPr>
            </w:pPr>
          </w:p>
        </w:tc>
        <w:tc>
          <w:tcPr>
            <w:tcW w:w="8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(550,492</w:t>
            </w:r>
          </w:p>
        </w:tc>
        <w:tc>
          <w:tcPr>
            <w:tcW w:w="180" w:type="dxa"/>
            <w:vAlign w:val="bottom"/>
            <w:tcBorders>
              <w:bottom w:val="single" w:sz="8" w:color="F0F5F1"/>
            </w:tcBorders>
            <w:shd w:val="clear" w:color="auto" w:fill="F0F5F1"/>
          </w:tcPr>
          <w:p>
            <w:pPr>
              <w:jc w:val="right"/>
              <w:ind w:right="53"/>
              <w:spacing w:after="0"/>
              <w:rPr>
                <w:sz w:val="20"/>
                <w:szCs w:val="20"/>
                <w:color w:val="auto"/>
              </w:rPr>
            </w:pPr>
            <w:r>
              <w:rPr>
                <w:rFonts w:ascii="Arial" w:cs="Arial" w:eastAsia="Arial" w:hAnsi="Arial"/>
                <w:sz w:val="13"/>
                <w:szCs w:val="13"/>
                <w:color w:val="auto"/>
                <w:w w:val="91"/>
              </w:rPr>
              <w:t>)</w:t>
            </w:r>
          </w:p>
        </w:tc>
      </w:tr>
      <w:tr>
        <w:trPr>
          <w:trHeight w:val="196"/>
        </w:trPr>
        <w:tc>
          <w:tcPr>
            <w:tcW w:w="3340" w:type="dxa"/>
            <w:vAlign w:val="bottom"/>
            <w:tcBorders>
              <w:bottom w:val="single" w:sz="8" w:color="F0F5F1"/>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F0F5F1"/>
            </w:tcBorders>
            <w:shd w:val="clear" w:color="auto" w:fill="F0F5F1"/>
          </w:tcPr>
          <w:p>
            <w:pPr>
              <w:spacing w:after="0"/>
              <w:rPr>
                <w:sz w:val="17"/>
                <w:szCs w:val="17"/>
                <w:color w:val="auto"/>
              </w:rPr>
            </w:pPr>
          </w:p>
        </w:tc>
        <w:tc>
          <w:tcPr>
            <w:tcW w:w="1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575,089</w:t>
            </w:r>
          </w:p>
        </w:tc>
        <w:tc>
          <w:tcPr>
            <w:tcW w:w="180" w:type="dxa"/>
            <w:vAlign w:val="bottom"/>
            <w:tcBorders>
              <w:bottom w:val="single" w:sz="8" w:color="F0F5F1"/>
            </w:tcBorders>
            <w:shd w:val="clear" w:color="auto" w:fill="F0F5F1"/>
          </w:tcPr>
          <w:p>
            <w:pPr>
              <w:spacing w:after="0"/>
              <w:rPr>
                <w:sz w:val="17"/>
                <w:szCs w:val="17"/>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 Includes unrealized appreciation on foreign currency translations.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00" w:type="dxa"/>
            <w:vAlign w:val="bottom"/>
          </w:tcPr>
          <w:p>
            <w:pPr>
              <w:ind w:left="808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340" w:type="dxa"/>
            <w:vAlign w:val="bottom"/>
          </w:tcPr>
          <w:p>
            <w:pPr>
              <w:jc w:val="right"/>
              <w:spacing w:after="0"/>
              <w:rPr>
                <w:sz w:val="20"/>
                <w:szCs w:val="20"/>
                <w:color w:val="auto"/>
              </w:rPr>
            </w:pPr>
            <w:r>
              <w:rPr>
                <w:rFonts w:ascii="Arial" w:cs="Arial" w:eastAsia="Arial" w:hAnsi="Arial"/>
                <w:sz w:val="13"/>
                <w:szCs w:val="13"/>
                <w:color w:val="296B38"/>
              </w:rPr>
              <w:t>26</w:t>
            </w:r>
          </w:p>
        </w:tc>
      </w:tr>
      <w:tr>
        <w:trPr>
          <w:trHeight w:val="377"/>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9" w:right="339" w:bottom="1440" w:gutter="0" w:footer="0" w:header="0"/>
        </w:sectPr>
      </w:pPr>
    </w:p>
    <w:bookmarkStart w:id="31" w:name="page32"/>
    <w:bookmarkEnd w:id="31"/>
    <w:p>
      <w:pPr>
        <w:jc w:val="both"/>
        <w:spacing w:after="0" w:line="246" w:lineRule="auto"/>
        <w:rPr>
          <w:sz w:val="20"/>
          <w:szCs w:val="20"/>
          <w:color w:val="auto"/>
        </w:rPr>
      </w:pPr>
      <w:r>
        <w:rPr>
          <w:rFonts w:ascii="Arial" w:cs="Arial" w:eastAsia="Arial" w:hAnsi="Arial"/>
          <w:sz w:val="16"/>
          <w:szCs w:val="16"/>
          <w:color w:val="auto"/>
        </w:rPr>
        <w:t>For the year ended December 31, 2025, the tax character of distributions paid by the Company was $16,700,279 of ordinary income dividends and $0 of long-term capital gains. For the year ended December 31, 2024, the tax character of distributions paid by the Company was $14,236,215 of ordinary income dividends. Distributions from net investment income and short-term capital gains are treated as ordinary income for federal tax purposes.</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Company declared a $0.55 per share dividend on March 5, 2025, a $0.45 per share dividend on June 17, 2025, September 12, 2025, and December 15, 2025 and a $0.40 per share dividend on September 12, 2025, which were paid on March 27, 2025, June 27, 2025, September 29, 2025, January 5, 2026, and December 10, 2025,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2025, the federal tax cost, aggregate gross unrealized appreciation and depreciation of securities held by AMFC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00" w:type="dxa"/>
            <w:vAlign w:val="bottom"/>
            <w:shd w:val="clear" w:color="auto" w:fill="F0F5F1"/>
          </w:tcPr>
          <w:p>
            <w:pPr>
              <w:ind w:left="100"/>
              <w:spacing w:after="0"/>
              <w:rPr>
                <w:sz w:val="20"/>
                <w:szCs w:val="20"/>
                <w:color w:val="auto"/>
              </w:rPr>
            </w:pPr>
            <w:r>
              <w:rPr>
                <w:rFonts w:ascii="Arial" w:cs="Arial" w:eastAsia="Arial" w:hAnsi="Arial"/>
                <w:sz w:val="13"/>
                <w:szCs w:val="13"/>
                <w:b w:val="1"/>
                <w:bCs w:val="1"/>
                <w:color w:val="auto"/>
              </w:rPr>
              <w:t>Federal tax cost</w:t>
            </w:r>
          </w:p>
        </w:tc>
        <w:tc>
          <w:tcPr>
            <w:tcW w:w="1280" w:type="dxa"/>
            <w:vAlign w:val="bottom"/>
            <w:shd w:val="clear" w:color="auto" w:fill="F0F5F1"/>
          </w:tcPr>
          <w:p>
            <w:pPr>
              <w:spacing w:after="0"/>
              <w:rPr>
                <w:sz w:val="16"/>
                <w:szCs w:val="16"/>
                <w:color w:val="auto"/>
              </w:rPr>
            </w:pPr>
          </w:p>
        </w:tc>
        <w:tc>
          <w:tcPr>
            <w:tcW w:w="14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F0F5F1"/>
          </w:tcPr>
          <w:p>
            <w:pPr>
              <w:jc w:val="right"/>
              <w:ind w:right="180"/>
              <w:spacing w:after="0"/>
              <w:rPr>
                <w:sz w:val="20"/>
                <w:szCs w:val="20"/>
                <w:color w:val="auto"/>
              </w:rPr>
            </w:pPr>
            <w:r>
              <w:rPr>
                <w:rFonts w:ascii="Arial" w:cs="Arial" w:eastAsia="Arial" w:hAnsi="Arial"/>
                <w:sz w:val="13"/>
                <w:szCs w:val="13"/>
                <w:color w:val="auto"/>
              </w:rPr>
              <w:t>194,507,833</w:t>
            </w:r>
          </w:p>
        </w:tc>
      </w:tr>
      <w:tr>
        <w:trPr>
          <w:trHeight w:val="128"/>
        </w:trPr>
        <w:tc>
          <w:tcPr>
            <w:tcW w:w="3300" w:type="dxa"/>
            <w:vAlign w:val="bottom"/>
            <w:tcBorders>
              <w:top w:val="single" w:sz="8" w:color="F0F5F1"/>
            </w:tcBorders>
            <w:shd w:val="clear" w:color="auto" w:fill="F0F5F1"/>
          </w:tcPr>
          <w:p>
            <w:pPr>
              <w:ind w:left="100"/>
              <w:spacing w:after="0" w:line="129" w:lineRule="exact"/>
              <w:rPr>
                <w:sz w:val="20"/>
                <w:szCs w:val="20"/>
                <w:color w:val="auto"/>
              </w:rPr>
            </w:pPr>
            <w:r>
              <w:rPr>
                <w:rFonts w:ascii="Arial" w:cs="Arial" w:eastAsia="Arial" w:hAnsi="Arial"/>
                <w:sz w:val="13"/>
                <w:szCs w:val="13"/>
                <w:b w:val="1"/>
                <w:bCs w:val="1"/>
                <w:color w:val="auto"/>
              </w:rPr>
              <w:t>Gross unrealized appreciation</w:t>
            </w:r>
          </w:p>
        </w:tc>
        <w:tc>
          <w:tcPr>
            <w:tcW w:w="1280" w:type="dxa"/>
            <w:vAlign w:val="bottom"/>
            <w:tcBorders>
              <w:top w:val="single" w:sz="8" w:color="F0F5F1"/>
            </w:tcBorders>
            <w:shd w:val="clear" w:color="auto" w:fill="F0F5F1"/>
          </w:tcPr>
          <w:p>
            <w:pPr>
              <w:spacing w:after="0"/>
              <w:rPr>
                <w:sz w:val="11"/>
                <w:szCs w:val="11"/>
                <w:color w:val="auto"/>
              </w:rPr>
            </w:pPr>
          </w:p>
        </w:tc>
        <w:tc>
          <w:tcPr>
            <w:tcW w:w="140" w:type="dxa"/>
            <w:vAlign w:val="bottom"/>
            <w:tcBorders>
              <w:top w:val="single" w:sz="8" w:color="auto"/>
            </w:tcBorders>
            <w:shd w:val="clear" w:color="auto" w:fill="F0F5F1"/>
          </w:tcPr>
          <w:p>
            <w:pPr>
              <w:spacing w:after="0"/>
              <w:rPr>
                <w:sz w:val="11"/>
                <w:szCs w:val="11"/>
                <w:color w:val="auto"/>
              </w:rPr>
            </w:pPr>
          </w:p>
        </w:tc>
        <w:tc>
          <w:tcPr>
            <w:tcW w:w="840" w:type="dxa"/>
            <w:vAlign w:val="bottom"/>
            <w:tcBorders>
              <w:top w:val="single" w:sz="8" w:color="auto"/>
            </w:tcBorders>
            <w:shd w:val="clear" w:color="auto" w:fill="F0F5F1"/>
          </w:tcPr>
          <w:p>
            <w:pPr>
              <w:jc w:val="right"/>
              <w:spacing w:after="0" w:line="129" w:lineRule="exact"/>
              <w:rPr>
                <w:sz w:val="20"/>
                <w:szCs w:val="20"/>
                <w:color w:val="auto"/>
              </w:rPr>
            </w:pPr>
            <w:r>
              <w:rPr>
                <w:rFonts w:ascii="Arial" w:cs="Arial" w:eastAsia="Arial" w:hAnsi="Arial"/>
                <w:sz w:val="13"/>
                <w:szCs w:val="13"/>
                <w:color w:val="auto"/>
              </w:rPr>
              <w:t>8,701,852</w:t>
            </w:r>
          </w:p>
        </w:tc>
        <w:tc>
          <w:tcPr>
            <w:tcW w:w="180" w:type="dxa"/>
            <w:vAlign w:val="bottom"/>
            <w:tcBorders>
              <w:top w:val="single" w:sz="8" w:color="F0F5F1"/>
            </w:tcBorders>
            <w:shd w:val="clear" w:color="auto" w:fill="F0F5F1"/>
          </w:tcPr>
          <w:p>
            <w:pPr>
              <w:spacing w:after="0"/>
              <w:rPr>
                <w:sz w:val="11"/>
                <w:szCs w:val="11"/>
                <w:color w:val="auto"/>
              </w:rPr>
            </w:pPr>
          </w:p>
        </w:tc>
      </w:tr>
      <w:tr>
        <w:trPr>
          <w:trHeight w:val="151"/>
        </w:trPr>
        <w:tc>
          <w:tcPr>
            <w:tcW w:w="3300" w:type="dxa"/>
            <w:vAlign w:val="bottom"/>
            <w:tcBorders>
              <w:bottom w:val="single" w:sz="8" w:color="F0F5F1"/>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Gross unrealized depreciation</w:t>
            </w:r>
          </w:p>
        </w:tc>
        <w:tc>
          <w:tcPr>
            <w:tcW w:w="1280" w:type="dxa"/>
            <w:vAlign w:val="bottom"/>
            <w:tcBorders>
              <w:bottom w:val="single" w:sz="8" w:color="F0F5F1"/>
            </w:tcBorders>
            <w:shd w:val="clear" w:color="auto" w:fill="F0F5F1"/>
          </w:tcPr>
          <w:p>
            <w:pPr>
              <w:spacing w:after="0"/>
              <w:rPr>
                <w:sz w:val="13"/>
                <w:szCs w:val="13"/>
                <w:color w:val="auto"/>
              </w:rPr>
            </w:pPr>
          </w:p>
        </w:tc>
        <w:tc>
          <w:tcPr>
            <w:tcW w:w="140" w:type="dxa"/>
            <w:vAlign w:val="bottom"/>
            <w:tcBorders>
              <w:bottom w:val="single" w:sz="8" w:color="auto"/>
            </w:tcBorders>
            <w:shd w:val="clear" w:color="auto" w:fill="F0F5F1"/>
          </w:tcPr>
          <w:p>
            <w:pPr>
              <w:spacing w:after="0"/>
              <w:rPr>
                <w:sz w:val="13"/>
                <w:szCs w:val="13"/>
                <w:color w:val="auto"/>
              </w:rPr>
            </w:pPr>
          </w:p>
        </w:tc>
        <w:tc>
          <w:tcPr>
            <w:tcW w:w="84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color w:val="auto"/>
              </w:rPr>
              <w:t>(6,854,240)</w:t>
            </w:r>
          </w:p>
        </w:tc>
        <w:tc>
          <w:tcPr>
            <w:tcW w:w="180" w:type="dxa"/>
            <w:vAlign w:val="bottom"/>
            <w:tcBorders>
              <w:bottom w:val="single" w:sz="8" w:color="F0F5F1"/>
            </w:tcBorders>
            <w:shd w:val="clear" w:color="auto" w:fill="F0F5F1"/>
          </w:tcPr>
          <w:p>
            <w:pPr>
              <w:spacing w:after="0"/>
              <w:rPr>
                <w:sz w:val="13"/>
                <w:szCs w:val="13"/>
                <w:color w:val="auto"/>
              </w:rPr>
            </w:pPr>
          </w:p>
        </w:tc>
      </w:tr>
      <w:tr>
        <w:trPr>
          <w:trHeight w:val="183"/>
        </w:trPr>
        <w:tc>
          <w:tcPr>
            <w:tcW w:w="3300" w:type="dxa"/>
            <w:vAlign w:val="bottom"/>
            <w:tcBorders>
              <w:bottom w:val="single" w:sz="8" w:color="F0F5F1"/>
            </w:tcBorders>
            <w:shd w:val="clear" w:color="auto" w:fill="F0F5F1"/>
          </w:tcPr>
          <w:p>
            <w:pPr>
              <w:ind w:left="100"/>
              <w:spacing w:after="0" w:line="144" w:lineRule="exact"/>
              <w:rPr>
                <w:sz w:val="20"/>
                <w:szCs w:val="20"/>
                <w:color w:val="auto"/>
              </w:rPr>
            </w:pPr>
            <w:r>
              <w:rPr>
                <w:rFonts w:ascii="Arial" w:cs="Arial" w:eastAsia="Arial" w:hAnsi="Arial"/>
                <w:sz w:val="13"/>
                <w:szCs w:val="13"/>
                <w:b w:val="1"/>
                <w:bCs w:val="1"/>
                <w:color w:val="auto"/>
              </w:rPr>
              <w:t>Net unrealized appreciation</w:t>
            </w:r>
          </w:p>
        </w:tc>
        <w:tc>
          <w:tcPr>
            <w:tcW w:w="1280" w:type="dxa"/>
            <w:vAlign w:val="bottom"/>
            <w:tcBorders>
              <w:bottom w:val="single" w:sz="8" w:color="F0F5F1"/>
            </w:tcBorders>
            <w:shd w:val="clear" w:color="auto" w:fill="F0F5F1"/>
          </w:tcPr>
          <w:p>
            <w:pPr>
              <w:spacing w:after="0"/>
              <w:rPr>
                <w:sz w:val="15"/>
                <w:szCs w:val="15"/>
                <w:color w:val="auto"/>
              </w:rPr>
            </w:pPr>
          </w:p>
        </w:tc>
        <w:tc>
          <w:tcPr>
            <w:tcW w:w="14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F0F5F1"/>
          </w:tcPr>
          <w:p>
            <w:pPr>
              <w:jc w:val="right"/>
              <w:spacing w:after="0" w:line="144" w:lineRule="exact"/>
              <w:rPr>
                <w:sz w:val="20"/>
                <w:szCs w:val="20"/>
                <w:color w:val="auto"/>
              </w:rPr>
            </w:pPr>
            <w:r>
              <w:rPr>
                <w:rFonts w:ascii="Arial" w:cs="Arial" w:eastAsia="Arial" w:hAnsi="Arial"/>
                <w:sz w:val="13"/>
                <w:szCs w:val="13"/>
                <w:color w:val="auto"/>
              </w:rPr>
              <w:t>1,847,612</w:t>
            </w:r>
          </w:p>
        </w:tc>
        <w:tc>
          <w:tcPr>
            <w:tcW w:w="180" w:type="dxa"/>
            <w:vAlign w:val="bottom"/>
            <w:tcBorders>
              <w:bottom w:val="single" w:sz="8" w:color="F0F5F1"/>
            </w:tcBorders>
            <w:shd w:val="clear" w:color="auto" w:fill="F0F5F1"/>
          </w:tcPr>
          <w:p>
            <w:pPr>
              <w:spacing w:after="0"/>
              <w:rPr>
                <w:sz w:val="15"/>
                <w:szCs w:val="15"/>
                <w:color w:val="auto"/>
              </w:rPr>
            </w:pPr>
          </w:p>
        </w:tc>
      </w:tr>
    </w:tbl>
    <w:p>
      <w:pPr>
        <w:spacing w:after="0" w:line="167" w:lineRule="exact"/>
        <w:rPr>
          <w:sz w:val="20"/>
          <w:szCs w:val="20"/>
          <w:color w:val="auto"/>
        </w:rPr>
      </w:pPr>
    </w:p>
    <w:p>
      <w:pPr>
        <w:jc w:val="both"/>
        <w:spacing w:after="0"/>
        <w:rPr>
          <w:sz w:val="20"/>
          <w:szCs w:val="20"/>
          <w:color w:val="auto"/>
        </w:rPr>
      </w:pPr>
      <w:r>
        <w:rPr>
          <w:rFonts w:ascii="Arial" w:cs="Arial" w:eastAsia="Arial" w:hAnsi="Arial"/>
          <w:sz w:val="16"/>
          <w:szCs w:val="16"/>
          <w:color w:val="auto"/>
        </w:rPr>
        <w:t>Pursuant to federal income tax rules applicable to regulated investment companies, AMFC may elect to treat certain capital losses up to and including December 31 as occurring on the first day of the following tax year. For the period after October 31, 2025 and ending December 31, 2025, any amount of losses elected within the tax year will not be recognized for federal income tax purposes until 2026. For the year ended December 31, 2025, AMFC had no ordinary income or long-term capital loss deferrals.</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6"/>
          <w:szCs w:val="16"/>
          <w:color w:val="auto"/>
        </w:rPr>
        <w:t>Accumulated capital losses represent net capital loss carry forwards as of December 31, 2025 that may be available to offset future realized capital gains and thereby reduce future capital gains distributions. AMFC is permitted to carry forward capital losses incurred for an unlimited period. Additionally, capital losses that are carried forward will retain their character as either short-term or long-term capital losses. For the year ended December 31, 2025, AMFC had capital loss carryforwards of $13,433,446, of which $2,763,820 are short-term losses and $10,669,626 are long-term losses.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Risk Considerations</w:t>
      </w:r>
    </w:p>
    <w:p>
      <w:pPr>
        <w:spacing w:after="0" w:line="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Risks are inherent in all investing. The following summarizes some, but not all, of the risks that should be considered for the Company. For additional information about the risks associated with investing in the Company, please see the Company’s prospectus as well as other Company regulatory filings.</w:t>
      </w:r>
    </w:p>
    <w:p>
      <w:pPr>
        <w:spacing w:after="0" w:line="14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auto"/>
        </w:rPr>
        <w:t xml:space="preserve">Investment and Market Risk </w:t>
      </w:r>
      <w:r>
        <w:rPr>
          <w:rFonts w:ascii="Arial" w:cs="Arial" w:eastAsia="Arial" w:hAnsi="Arial"/>
          <w:sz w:val="16"/>
          <w:szCs w:val="16"/>
          <w:color w:val="auto"/>
        </w:rPr>
        <w:t>— An investment in the Company’s common shares (“Common Shares”) is subject to investment risk, including the possible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entire principal invested. Common Shares at any point in time may be worth less than the original investment, even after taking into account the reinvestment of Company dividends and distributions. The Company expects to utilize leverage, which will magnify investment risk.</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auto"/>
        </w:rPr>
        <w:t xml:space="preserve">Preferred and Debt Securities Risk </w:t>
      </w:r>
      <w:r>
        <w:rPr>
          <w:rFonts w:ascii="Arial" w:cs="Arial" w:eastAsia="Arial" w:hAnsi="Arial"/>
          <w:sz w:val="16"/>
          <w:szCs w:val="16"/>
          <w:color w:val="auto"/>
        </w:rPr>
        <w:t>— Preferred and debt securities in which the Company invests are subject to various risks, including credit risk,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risk, call/prepayment risk and reinvestment risk. In addition, preferred securities are subject to certain other risks, including deferral and omission risk, subordination risk, limited voting rights risk and special redemption rights risk.</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auto"/>
        </w:rPr>
        <w:t xml:space="preserve">Credit Risk </w:t>
      </w:r>
      <w:r>
        <w:rPr>
          <w:rFonts w:ascii="Arial" w:cs="Arial" w:eastAsia="Arial" w:hAnsi="Arial"/>
          <w:sz w:val="16"/>
          <w:szCs w:val="16"/>
          <w:color w:val="auto"/>
        </w:rPr>
        <w:t>— The Company is subject to credit risk, which is the risk that an issuer of a security may be unable or unwilling to make dividend, interest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 payments when due and the related risk that the value of a security may decline because of concerns about the issuer’s ability or willingness to make such payments.</w:t>
      </w:r>
    </w:p>
    <w:p>
      <w:pPr>
        <w:spacing w:after="0" w:line="163" w:lineRule="exact"/>
        <w:rPr>
          <w:sz w:val="20"/>
          <w:szCs w:val="20"/>
          <w:color w:val="auto"/>
        </w:rPr>
      </w:pPr>
    </w:p>
    <w:p>
      <w:pPr>
        <w:ind w:left="580" w:hanging="579"/>
        <w:spacing w:after="0"/>
        <w:tabs>
          <w:tab w:leader="none" w:pos="580" w:val="left"/>
        </w:tabs>
        <w:numPr>
          <w:ilvl w:val="0"/>
          <w:numId w:val="20"/>
        </w:numPr>
        <w:rPr>
          <w:rFonts w:ascii="Arial" w:cs="Arial" w:eastAsia="Arial" w:hAnsi="Arial"/>
          <w:sz w:val="13"/>
          <w:szCs w:val="13"/>
          <w:color w:val="286B38"/>
        </w:rPr>
      </w:pPr>
      <w:r>
        <w:rPr>
          <w:rFonts w:ascii="Arial" w:cs="Arial" w:eastAsia="Arial" w:hAnsi="Arial"/>
          <w:sz w:val="13"/>
          <w:szCs w:val="13"/>
          <w:color w:val="296B38"/>
        </w:rPr>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32" w:name="page33"/>
    <w:bookmarkEnd w:id="32"/>
    <w:p>
      <w:pPr>
        <w:jc w:val="both"/>
        <w:spacing w:after="0" w:line="235" w:lineRule="auto"/>
        <w:rPr>
          <w:sz w:val="20"/>
          <w:szCs w:val="20"/>
          <w:color w:val="auto"/>
        </w:rPr>
      </w:pPr>
      <w:r>
        <w:rPr>
          <w:rFonts w:ascii="Arial" w:cs="Arial" w:eastAsia="Arial" w:hAnsi="Arial"/>
          <w:sz w:val="16"/>
          <w:szCs w:val="16"/>
          <w:b w:val="1"/>
          <w:bCs w:val="1"/>
          <w:i w:val="1"/>
          <w:iCs w:val="1"/>
          <w:color w:val="auto"/>
        </w:rPr>
        <w:t xml:space="preserve">Leverage Risk </w:t>
      </w:r>
      <w:r>
        <w:rPr>
          <w:rFonts w:ascii="Arial" w:cs="Arial" w:eastAsia="Arial" w:hAnsi="Arial"/>
          <w:sz w:val="16"/>
          <w:szCs w:val="16"/>
          <w:color w:val="auto"/>
        </w:rPr>
        <w:t>— The use of leverage by the Company can magnify the effect of any losses. If the income and gains from the securities and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with leverage proceeds do not cover the cost of leverage, the return on the Common Shares will be less than if leverage had not been used. Moreover, leverage involves risks and special considerations for holders of Common Shares including the likelihood of greater volatility of net asset value and market price of the Common Shares than a comparable portfolio without leverage, and the risk that fluctuations in interest rates on reverse repurchase agreements, borrowings and short-term debt or in the dividend rates on any preferred shares issued by the Company will reduce the return to the holders of Common Shares or will result in fluctuations in the dividends paid on the Common Shares. There is no assurance that a leveraging strategy will be successful. See Note 7 for additional information on leverage.</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auto"/>
        </w:rPr>
        <w:t xml:space="preserve">Call/Prepayment and Reinvestment Risk </w:t>
      </w:r>
      <w:r>
        <w:rPr>
          <w:rFonts w:ascii="Arial" w:cs="Arial" w:eastAsia="Arial" w:hAnsi="Arial"/>
          <w:sz w:val="16"/>
          <w:szCs w:val="16"/>
          <w:color w:val="auto"/>
        </w:rPr>
        <w:t>— If an issuer of a security exercises an option to redeem its issue at par or prepay principal earlier than scheduled,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may be forced to reinvest in lower yielding securities. A decline in income could affect the Common Shares’ market price or the overall return of the Company.</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auto"/>
        </w:rPr>
        <w:t xml:space="preserve">Risks of Concentration in the Banking industry/Financial Sector </w:t>
      </w:r>
      <w:r>
        <w:rPr>
          <w:rFonts w:ascii="Arial" w:cs="Arial" w:eastAsia="Arial" w:hAnsi="Arial"/>
          <w:sz w:val="16"/>
          <w:szCs w:val="16"/>
          <w:color w:val="auto"/>
        </w:rPr>
        <w:t>— Because the Company concentrates in the banking industry and may invest up to 100%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its managed assets in the banking industry and financials sector, it will be more susceptible to adverse economic or regulatory occurrences affecting the banking industry and financials sector, such as changes in interest rates, loan concentration and competition.</w:t>
      </w:r>
    </w:p>
    <w:p>
      <w:pPr>
        <w:spacing w:after="0" w:line="13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b w:val="1"/>
          <w:bCs w:val="1"/>
          <w:i w:val="1"/>
          <w:iCs w:val="1"/>
          <w:color w:val="auto"/>
        </w:rPr>
        <w:t xml:space="preserve">Regulatory Risk </w:t>
      </w:r>
      <w:r>
        <w:rPr>
          <w:rFonts w:ascii="Arial" w:cs="Arial" w:eastAsia="Arial" w:hAnsi="Arial"/>
          <w:sz w:val="16"/>
          <w:szCs w:val="16"/>
          <w:color w:val="auto"/>
        </w:rPr>
        <w:t>— Financial institutions, including community banks, are subject to various state and federal banking regulations that impact how they conduct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including but not limited to how they obtain funding. Changes to these regulations could have an adverse effect on their operations and operating results and our investments. We expect to make long-term investments in financial institutions that are subject to various state and federal regulations and oversight. Congress, state legislatures and the various bank regulatory agencies frequently introduce proposals to change the laws and regulations governing the banking industry in response to the Dodd-Frank Act, Consumer Financial Protection Bureau (the “CFPB”) rulemaking or otherwise. The likelihood and timing of any proposals or legislation and the impact they might have on our investments in financial institutions affected by such changes cannot be determined and any such changes may be adverse to our investments. Federal banking regulators recently proposed amended regulatory capital regulations in response to The Dodd-Frank Wall Street Reform and Consumer Protection Act (the “Dodd-Frank Act”) and Basel III protocols which would impose even more stringent capital requirements. In the event that a regulated bank falls below certain capital adequacy standards, it may become subject to regulatory intervention including, but not limited to, being placed into a Federal Deposit Insurance Corporation ("FDIC")-administered receivership or conservatorship. The effect of inadequate capital can have a potentially adverse consequence on the institution’s financial condition, its ability to operate as a going concern and its ability to operate as a regulated financial institution and may have a material adverse impact on our investments.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 The Company is subject to interest rate risk, which is the risk that the preferred and debt securities in which the Company invests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decline in value because of rising market interest rates.</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i w:val="1"/>
          <w:iCs w:val="1"/>
          <w:color w:val="auto"/>
        </w:rPr>
        <w:t xml:space="preserve">Convertible Securities/Contingent Convertible Securities Risk </w:t>
      </w:r>
      <w:r>
        <w:rPr>
          <w:rFonts w:ascii="Arial" w:cs="Arial" w:eastAsia="Arial" w:hAnsi="Arial"/>
          <w:sz w:val="16"/>
          <w:szCs w:val="16"/>
          <w:color w:val="auto"/>
        </w:rPr>
        <w:t>— The market value of convertible securities tends to decline as interest rates increase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conversely, tends to increase as interest rates decline. In addition, because of the conversion feature, the market value of convertible securities tends to vary with fluctuations in the market value of the underlying common stock. Contingent convertible securities provide for mandatory conversion into common stock of the issuer under certain circumstances. Since the common stock of the issuer may not pay a dividend, investors in these instruments could experience a reduced income rate, potentially to zero; and conversion would deepen the subordination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00" w:type="dxa"/>
            <w:vAlign w:val="bottom"/>
          </w:tcPr>
          <w:p>
            <w:pPr>
              <w:ind w:left="808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340" w:type="dxa"/>
            <w:vAlign w:val="bottom"/>
          </w:tcPr>
          <w:p>
            <w:pPr>
              <w:jc w:val="right"/>
              <w:spacing w:after="0"/>
              <w:rPr>
                <w:sz w:val="20"/>
                <w:szCs w:val="20"/>
                <w:color w:val="auto"/>
              </w:rPr>
            </w:pPr>
            <w:r>
              <w:rPr>
                <w:rFonts w:ascii="Arial" w:cs="Arial" w:eastAsia="Arial" w:hAnsi="Arial"/>
                <w:sz w:val="13"/>
                <w:szCs w:val="13"/>
                <w:color w:val="296B38"/>
              </w:rPr>
              <w:t>28</w:t>
            </w:r>
          </w:p>
        </w:tc>
      </w:tr>
      <w:tr>
        <w:trPr>
          <w:trHeight w:val="377"/>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9"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6"/>
          <w:szCs w:val="16"/>
          <w:color w:val="auto"/>
        </w:rPr>
        <w:t>of the investor, hence worsening standing in a bankruptcy. In addition, some such instruments have a set stock conversion rate that would cause a reduction in value of the security if the price of the stock is below the conversion price on the conversion date.</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 xml:space="preserve">Illiquid and Restricted Securities Risk </w:t>
      </w:r>
      <w:r>
        <w:rPr>
          <w:rFonts w:ascii="Arial" w:cs="Arial" w:eastAsia="Arial" w:hAnsi="Arial"/>
          <w:sz w:val="16"/>
          <w:szCs w:val="16"/>
          <w:color w:val="auto"/>
        </w:rPr>
        <w:t>— Investment of the Company’s assets in illiquid and restricted securities may restrict the Company’s ability to take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advantage of market opportunities. Illiquid and restricted securities may be difficult to dispose of at a fair price at the times when the Company believes it is desirable to do so. The market price of illiquid and restricted securities generally is more volatile than that of more liquid securities, which may adversely affect the price that the Company pays for or recovers upon the sale of such securities. Illiquid and restricted securities are also more difficult to value, especially in challenging markets. The risks associated with illiquid and restricted securities may be particularly acute in situations in which the Company’s operations require cash and could result in the Company borrowing to meet its short-term needs or incurring losses on the sale of illiquid or restricted securities.</w:t>
      </w:r>
    </w:p>
    <w:p>
      <w:pPr>
        <w:spacing w:after="0" w:line="14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i w:val="1"/>
          <w:iCs w:val="1"/>
          <w:color w:val="auto"/>
        </w:rPr>
        <w:t xml:space="preserve">Regulatory Capital Relief Securities Risk — </w:t>
      </w:r>
      <w:r>
        <w:rPr>
          <w:rFonts w:ascii="Arial" w:cs="Arial" w:eastAsia="Arial" w:hAnsi="Arial"/>
          <w:sz w:val="16"/>
          <w:szCs w:val="16"/>
          <w:color w:val="auto"/>
        </w:rPr>
        <w:t>Regulatory capital relief securities are subject to several risks. In particular, to all capital securities, banking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regulators could change or amend existing banking regulations which could affect the regulatory treatment of regulatory capital relief securities, where stricter regulation could make regulatory capital relief securities less desirable, or undesirable, for banks to issue, reducing the supply of new investments. Should an adverse regulatory development occur in the future, it would likely result in the bank issuer of such securities being able to redeem an investment early, which subjects the Company to reinvestment risk. Regulatory capital relief securities remain subject to the same sector specific and other risks as any banking-related investment that the Company may acquire, including, but not limited to, credit risk, interest rate risk, prepayments, adverse changes in market value or liquidity and the quality of the loans extended by each bank to its clients.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Revolving Credit Agreement</w:t>
      </w:r>
    </w:p>
    <w:p>
      <w:pPr>
        <w:spacing w:after="0" w:line="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Company has utilized a revolving credit agreement with Texas Capital Bank, located in Dallas, Texas. (the “Credit Agreement” or “Credit Facility”) since June 9, 2014. The Credit Agreement has been modified since then to reflect changes in borrowing amounts and lending terms.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most recent modifications are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On May 25, 2017, the Company amended its Credit Agreement to the following terms: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cost of the Facility has decreased to a significantly lower credit spread of LIBOR +2.35%, down from LIBOR +2.85%.</w:t>
      </w:r>
    </w:p>
    <w:p>
      <w:pPr>
        <w:spacing w:after="0"/>
        <w:rPr>
          <w:sz w:val="20"/>
          <w:szCs w:val="20"/>
          <w:color w:val="auto"/>
        </w:rPr>
      </w:pPr>
      <w:r>
        <w:rPr>
          <w:rFonts w:ascii="Arial" w:cs="Arial" w:eastAsia="Arial" w:hAnsi="Arial"/>
          <w:sz w:val="16"/>
          <w:szCs w:val="16"/>
          <w:color w:val="auto"/>
        </w:rPr>
        <w:t>●The maturity date of the Credit Facility has been extended for five years to May 16, 2022.</w:t>
      </w:r>
    </w:p>
    <w:p>
      <w:pPr>
        <w:spacing w:after="0" w:line="229" w:lineRule="auto"/>
        <w:rPr>
          <w:sz w:val="20"/>
          <w:szCs w:val="20"/>
          <w:color w:val="auto"/>
        </w:rPr>
      </w:pPr>
      <w:r>
        <w:rPr>
          <w:rFonts w:ascii="Arial" w:cs="Arial" w:eastAsia="Arial" w:hAnsi="Arial"/>
          <w:sz w:val="16"/>
          <w:szCs w:val="16"/>
          <w:color w:val="auto"/>
        </w:rPr>
        <w:t>●The size of the Credit Facility has been adjusted from $70 million to $62 million.</w:t>
      </w:r>
    </w:p>
    <w:p>
      <w:pPr>
        <w:spacing w:after="0" w:line="229" w:lineRule="auto"/>
        <w:rPr>
          <w:sz w:val="20"/>
          <w:szCs w:val="20"/>
          <w:color w:val="auto"/>
        </w:rPr>
      </w:pPr>
      <w:r>
        <w:rPr>
          <w:rFonts w:ascii="Arial" w:cs="Arial" w:eastAsia="Arial" w:hAnsi="Arial"/>
          <w:sz w:val="16"/>
          <w:szCs w:val="16"/>
          <w:color w:val="auto"/>
        </w:rPr>
        <w:t>●The Company is charged a fee of 0.50% on any undrawn commitment balance.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no longer required to maintain a deposit account of $3.5 million.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On May 25, 2022, the Company amended the following terms of its Credit Agreement: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maturity date of the Facility was extended to May 27, 2025 (which may be extended until May 27, 2026 at the option of the Company).</w:t>
      </w:r>
    </w:p>
    <w:p>
      <w:pPr>
        <w:spacing w:after="0" w:line="8" w:lineRule="exact"/>
        <w:rPr>
          <w:sz w:val="20"/>
          <w:szCs w:val="20"/>
          <w:color w:val="auto"/>
        </w:rPr>
      </w:pPr>
    </w:p>
    <w:p>
      <w:pPr>
        <w:ind w:left="120" w:hanging="112"/>
        <w:spacing w:after="0" w:line="229" w:lineRule="auto"/>
        <w:rPr>
          <w:sz w:val="20"/>
          <w:szCs w:val="20"/>
          <w:color w:val="auto"/>
        </w:rPr>
      </w:pPr>
      <w:r>
        <w:rPr>
          <w:rFonts w:ascii="Arial" w:cs="Arial" w:eastAsia="Arial" w:hAnsi="Arial"/>
          <w:sz w:val="16"/>
          <w:szCs w:val="16"/>
          <w:color w:val="auto"/>
        </w:rPr>
        <w:t>●The maximum size of the Facility was increased from $62 million to $70 million and the cost of the Facility was priced at Secured Overnight Funding Rate (“SOFR”) + 2.61%.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●At closing, two additional lenders joined Texas Capital Bank as the lending group.</w:t>
      </w:r>
    </w:p>
    <w:p>
      <w:pPr>
        <w:spacing w:after="0" w:line="164" w:lineRule="exact"/>
        <w:rPr>
          <w:sz w:val="20"/>
          <w:szCs w:val="20"/>
          <w:color w:val="auto"/>
        </w:rPr>
      </w:pPr>
    </w:p>
    <w:p>
      <w:pPr>
        <w:ind w:left="580" w:hanging="579"/>
        <w:spacing w:after="0"/>
        <w:tabs>
          <w:tab w:leader="none" w:pos="580" w:val="left"/>
        </w:tabs>
        <w:numPr>
          <w:ilvl w:val="0"/>
          <w:numId w:val="21"/>
        </w:numPr>
        <w:rPr>
          <w:rFonts w:ascii="Arial" w:cs="Arial" w:eastAsia="Arial" w:hAnsi="Arial"/>
          <w:sz w:val="13"/>
          <w:szCs w:val="13"/>
          <w:color w:val="286B38"/>
        </w:rPr>
      </w:pPr>
      <w:r>
        <w:rPr>
          <w:rFonts w:ascii="Arial" w:cs="Arial" w:eastAsia="Arial" w:hAnsi="Arial"/>
          <w:sz w:val="13"/>
          <w:szCs w:val="13"/>
          <w:color w:val="296B38"/>
        </w:rPr>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On March 19, 2025, the Company amended the following terms of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maturity date of the Facility was extended to May 27, 2028.</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Credit Agreement contains customary covenants, negative covenants, and default provisions, including covenants that limit the Company’s ability to incur additional debt or consolidate or merge into or with any person, other than as permitted, or sell, lease, or otherwise transfer, directly or indirectly, all or substantially all of its assets. The covenants also impose on the Company asset coverage requirements, which are more stringent than those imposed on the Company by the Investment Company Act, as well as the Company’s policies.</w:t>
      </w:r>
    </w:p>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The Facility was rated “A3” by Moody’s Investor Services as of December 31, 2021. As of January 12, 2022, the rating was Baa1. The Facility remains secured by substantially all of the assets of the Company.</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As of December 31, 2025, $25,200,000 has been committed and drawn and is at fair value. Such borrowings constitute financial leverage. For the year ended December 31, 2025, the average daily loan balance was $48,501,918, a weighted average interest rate of 6.93% with respect to these borrowings, interest expense of $3,518,405 is included in the Statement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Indemnification</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the normal course of business, AMFC may enter into contracts that provide general indemnifications. AMFC’s maximum exposure under these arrangements is dependent on claims that may be made against AMFC in the future, and therefore, cannot be estimated; however, based on experience, the risk of material loss from such claims is considered remote.</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Under the AMFC’s organizational documents, its officers and directors are indemnified against certain liabilities arising out of the performance of their duties to AMFC.</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Origination Fees and Other Income</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Includes closing fees (or origination fees or structuring fees) associated with investments in portfolio companies. Such fees are normally paid at closing of the Company’s investments, are fully earned and non-refundable, and are generally non-recurring. Other Income includes service fees earned from the Community Funding 2018, LLC. AMFC had closing fee income of $128,660 and other income of $108,430 for the year ended December 31, 2025.</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Capital Share Transactions</w:t>
      </w:r>
    </w:p>
    <w:p>
      <w:pPr>
        <w:spacing w:after="0" w:line="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As of December 31, 2025, 50,000,000 shares of $0.001 par value capital stock were authorized. Of the authorized shares, AMFC is authorized to issue 40,000,000 shares of </w:t>
      </w:r>
      <w:r>
        <w:rPr>
          <w:rFonts w:ascii="Times New Roman" w:cs="Times New Roman" w:eastAsia="Times New Roman" w:hAnsi="Times New Roman"/>
          <w:sz w:val="15"/>
          <w:szCs w:val="15"/>
          <w:color w:val="auto"/>
        </w:rPr>
        <w:t>common stock</w:t>
      </w:r>
      <w:r>
        <w:rPr>
          <w:rFonts w:ascii="Arial" w:cs="Arial" w:eastAsia="Arial" w:hAnsi="Arial"/>
          <w:sz w:val="15"/>
          <w:szCs w:val="15"/>
          <w:color w:val="auto"/>
        </w:rPr>
        <w:t xml:space="preserve"> and 10,000,000 shares of </w:t>
      </w:r>
      <w:r>
        <w:rPr>
          <w:rFonts w:ascii="Times New Roman" w:cs="Times New Roman" w:eastAsia="Times New Roman" w:hAnsi="Times New Roman"/>
          <w:sz w:val="15"/>
          <w:szCs w:val="15"/>
          <w:color w:val="auto"/>
        </w:rPr>
        <w:t>preferred stock</w:t>
      </w:r>
      <w:r>
        <w:rPr>
          <w:rFonts w:ascii="Arial" w:cs="Arial" w:eastAsia="Arial" w:hAnsi="Arial"/>
          <w:sz w:val="15"/>
          <w:szCs w:val="15"/>
          <w:color w:val="auto"/>
        </w:rPr>
        <w:t>. Prior to commencement of operations on November 13, 2013, AMFC issued 4,001 shares of common stock. On November 13, 2013, AMFC sold 4,400,000 shares of common stock via an initial public offering at a price of $25.00 per share. On December 3, 2013 and December 11, 2013 AMFC sold an additional 125,000 shares and 167,047 shares, respectively, of common stock at a public offering price of $25.00 per share pursuant to the underwriters’ exercise of the over-allotment option. On November 7, 2014, AMFC sold an additional 1,600,000 shares of common stock via an initial public offering at a price of $23.00 per share. On December 2, 2014, AMFC sold an additional 202,000 shares of common stock at a public offering price of $23.00 per share pursuant to the underwriters’ exercise of the over-allotment option. On July 13, 2021, AMFC sold an additional 492,234 shares of common stock at a public offering price of $21.89 in a registered direct offering. The purchase price for one share of common stock was $21.89. The Net Asset Value at the time of the transaction was $21.85. The registered direct offering was accretive to current shareholders.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00" w:type="dxa"/>
            <w:vAlign w:val="bottom"/>
          </w:tcPr>
          <w:p>
            <w:pPr>
              <w:ind w:left="808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340" w:type="dxa"/>
            <w:vAlign w:val="bottom"/>
          </w:tcPr>
          <w:p>
            <w:pPr>
              <w:jc w:val="right"/>
              <w:spacing w:after="0"/>
              <w:rPr>
                <w:sz w:val="20"/>
                <w:szCs w:val="20"/>
                <w:color w:val="auto"/>
              </w:rPr>
            </w:pPr>
            <w:r>
              <w:rPr>
                <w:rFonts w:ascii="Arial" w:cs="Arial" w:eastAsia="Arial" w:hAnsi="Arial"/>
                <w:sz w:val="13"/>
                <w:szCs w:val="13"/>
                <w:color w:val="296B38"/>
              </w:rPr>
              <w:t>30</w:t>
            </w:r>
          </w:p>
        </w:tc>
      </w:tr>
      <w:tr>
        <w:trPr>
          <w:trHeight w:val="377"/>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4" w:right="339" w:bottom="1440" w:gutter="0" w:footer="0" w:header="0"/>
        </w:sectPr>
      </w:pPr>
    </w:p>
    <w:bookmarkStart w:id="35" w:name="page36"/>
    <w:bookmarkEnd w:id="35"/>
    <w:p>
      <w:pPr>
        <w:jc w:val="both"/>
        <w:spacing w:after="0" w:line="246" w:lineRule="auto"/>
        <w:rPr>
          <w:sz w:val="20"/>
          <w:szCs w:val="20"/>
          <w:color w:val="auto"/>
        </w:rPr>
      </w:pPr>
      <w:r>
        <w:rPr>
          <w:rFonts w:ascii="Arial" w:cs="Arial" w:eastAsia="Arial" w:hAnsi="Arial"/>
          <w:sz w:val="16"/>
          <w:szCs w:val="16"/>
          <w:color w:val="auto"/>
        </w:rPr>
        <w:t>On December 18, 2025, AMFC sold an additional 673,249 shares of common stock at a public offering price of $22.28 in a registered direct offering. The purchase price for one share of common stock was $22.28. The Net Asset Value at the time of the transaction was $22.20. The registered direct offering was accretive to current shareholders.</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October 21, 2021, the Company filed a prospectus supplement with the U.S. Securities and Exchange Commission (“SEC”), under which it could offer and sell up to $30,000,000 of its common stock (the “Common Stock”) from time to time through an “at-the-market” equity offering program (the “ATM Offering”). Shares of Common Stock were offered through B. Riley Securities, Inc. which served as the sales agent.</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For the period of October 21, 2021 to December 31, 2021, the Company sold 5,771 shares of its common stock, for total net proceeds to the Company of $127,331. In connection with such sales, the Company paid a total of approximately $1,299 in sales agent commissions.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For the period January 1, 2022 to December 31, 2022, the Company sold 21,114 shares of its common stock, for total net proceeds to the Company of $458,370. In connection with such sales, the Company paid a total of approximately $6,496 in sales agent commissions.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For the period January 1, 2023 to December 31, 2024, the Company did not sell its common stock. The Company's shelf registration statement was declared effective by the SEC on February 18, 2025. The Company's shelf registration statement expires on February 18, 2028.</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December 15, 2025, the Company filed a prospectus supplement with the SEC, under which it could offer and sell up to $25,000,000 of its Common Stock from time to time through an ATM Offering. Shares of Common Stock are offered through Alps Distributors, Inc. acting as Distributor. The Distributor entered into a sub-placement agent agreement with UBS Securities LLC. relating to the Common Shares to be offered.</w:t>
      </w:r>
    </w:p>
    <w:p>
      <w:pPr>
        <w:spacing w:after="0" w:line="138" w:lineRule="exact"/>
        <w:rPr>
          <w:sz w:val="20"/>
          <w:szCs w:val="20"/>
          <w:color w:val="auto"/>
        </w:rPr>
      </w:pPr>
    </w:p>
    <w:p>
      <w:pPr>
        <w:ind w:right="740"/>
        <w:spacing w:after="0" w:line="263" w:lineRule="auto"/>
        <w:rPr>
          <w:sz w:val="20"/>
          <w:szCs w:val="20"/>
          <w:color w:val="auto"/>
        </w:rPr>
      </w:pPr>
      <w:r>
        <w:rPr>
          <w:rFonts w:ascii="Arial" w:cs="Arial" w:eastAsia="Arial" w:hAnsi="Arial"/>
          <w:sz w:val="16"/>
          <w:szCs w:val="16"/>
          <w:color w:val="auto"/>
        </w:rPr>
        <w:t>For the period January 1, 2025 to December 31, 2025, the Company sold 4,631 shares of its common stock, for total net proceeds to the Company of $102,908.</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shares of Common Stock issued and outstanding at December 31, 2025 were 7,810,362.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Senior Securities</w:t>
      </w:r>
    </w:p>
    <w:p>
      <w:pPr>
        <w:spacing w:after="0"/>
        <w:rPr>
          <w:sz w:val="20"/>
          <w:szCs w:val="20"/>
          <w:color w:val="auto"/>
        </w:rPr>
      </w:pPr>
      <w:r>
        <w:rPr>
          <w:rFonts w:ascii="Arial" w:cs="Arial" w:eastAsia="Arial" w:hAnsi="Arial"/>
          <w:sz w:val="16"/>
          <w:szCs w:val="16"/>
          <w:color w:val="auto"/>
        </w:rPr>
        <w:t>The Company did not have any senior securities outstanding prior to June 9, 2014. Borrowings under the Credit Facility for each fiscal year commencing with</w:t>
      </w:r>
    </w:p>
    <w:p>
      <w:pPr>
        <w:spacing w:after="0" w:line="234" w:lineRule="auto"/>
        <w:rPr>
          <w:sz w:val="20"/>
          <w:szCs w:val="20"/>
          <w:color w:val="auto"/>
        </w:rPr>
      </w:pPr>
      <w:r>
        <w:rPr>
          <w:rFonts w:ascii="Arial" w:cs="Arial" w:eastAsia="Arial" w:hAnsi="Arial"/>
          <w:sz w:val="16"/>
          <w:szCs w:val="16"/>
          <w:color w:val="auto"/>
        </w:rPr>
        <w:t>December 31, 2013, were as follows:</w:t>
      </w:r>
    </w:p>
    <w:tbl>
      <w:tblPr>
        <w:tblLayout w:type="fixed"/>
        <w:tblInd w:w="0" w:type="dxa"/>
        <w:tblCellMar>
          <w:top w:w="0" w:type="dxa"/>
          <w:left w:w="0" w:type="dxa"/>
          <w:bottom w:w="0" w:type="dxa"/>
          <w:right w:w="0" w:type="dxa"/>
        </w:tblCellMar>
      </w:tblPr>
      <w:tr>
        <w:trPr>
          <w:trHeight w:val="136"/>
        </w:trPr>
        <w:tc>
          <w:tcPr>
            <w:tcW w:w="5500" w:type="dxa"/>
            <w:vAlign w:val="bottom"/>
            <w:shd w:val="clear" w:color="auto" w:fill="F0F5F1"/>
          </w:tcPr>
          <w:p>
            <w:pPr>
              <w:spacing w:after="0"/>
              <w:rPr>
                <w:sz w:val="11"/>
                <w:szCs w:val="11"/>
                <w:color w:val="auto"/>
              </w:rPr>
            </w:pPr>
          </w:p>
        </w:tc>
        <w:tc>
          <w:tcPr>
            <w:tcW w:w="200" w:type="dxa"/>
            <w:vAlign w:val="bottom"/>
            <w:shd w:val="clear" w:color="auto" w:fill="F0F5F1"/>
          </w:tcPr>
          <w:p>
            <w:pPr>
              <w:spacing w:after="0"/>
              <w:rPr>
                <w:sz w:val="11"/>
                <w:szCs w:val="11"/>
                <w:color w:val="auto"/>
              </w:rPr>
            </w:pPr>
          </w:p>
        </w:tc>
        <w:tc>
          <w:tcPr>
            <w:tcW w:w="1680" w:type="dxa"/>
            <w:vAlign w:val="bottom"/>
            <w:shd w:val="clear" w:color="auto" w:fill="F0F5F1"/>
          </w:tcPr>
          <w:p>
            <w:pPr>
              <w:spacing w:after="0"/>
              <w:rPr>
                <w:sz w:val="11"/>
                <w:szCs w:val="11"/>
                <w:color w:val="auto"/>
              </w:rPr>
            </w:pPr>
          </w:p>
        </w:tc>
        <w:tc>
          <w:tcPr>
            <w:tcW w:w="300" w:type="dxa"/>
            <w:vAlign w:val="bottom"/>
            <w:shd w:val="clear" w:color="auto" w:fill="F0F5F1"/>
          </w:tcPr>
          <w:p>
            <w:pPr>
              <w:spacing w:after="0"/>
              <w:rPr>
                <w:sz w:val="11"/>
                <w:szCs w:val="11"/>
                <w:color w:val="auto"/>
              </w:rPr>
            </w:pPr>
          </w:p>
        </w:tc>
        <w:tc>
          <w:tcPr>
            <w:tcW w:w="1780" w:type="dxa"/>
            <w:vAlign w:val="bottom"/>
            <w:shd w:val="clear" w:color="auto" w:fill="F0F5F1"/>
          </w:tcPr>
          <w:p>
            <w:pPr>
              <w:spacing w:after="0"/>
              <w:rPr>
                <w:sz w:val="11"/>
                <w:szCs w:val="11"/>
                <w:color w:val="auto"/>
              </w:rPr>
            </w:pPr>
          </w:p>
        </w:tc>
        <w:tc>
          <w:tcPr>
            <w:tcW w:w="100" w:type="dxa"/>
            <w:vAlign w:val="bottom"/>
            <w:shd w:val="clear" w:color="auto" w:fill="F0F5F1"/>
          </w:tcPr>
          <w:p>
            <w:pPr>
              <w:spacing w:after="0"/>
              <w:rPr>
                <w:sz w:val="11"/>
                <w:szCs w:val="11"/>
                <w:color w:val="auto"/>
              </w:rPr>
            </w:pPr>
          </w:p>
        </w:tc>
        <w:tc>
          <w:tcPr>
            <w:tcW w:w="1680" w:type="dxa"/>
            <w:vAlign w:val="bottom"/>
            <w:shd w:val="clear" w:color="auto" w:fill="F0F5F1"/>
          </w:tcPr>
          <w:p>
            <w:pPr>
              <w:jc w:val="center"/>
              <w:spacing w:after="0" w:line="136" w:lineRule="exact"/>
              <w:rPr>
                <w:sz w:val="20"/>
                <w:szCs w:val="20"/>
                <w:color w:val="auto"/>
              </w:rPr>
            </w:pPr>
            <w:r>
              <w:rPr>
                <w:rFonts w:ascii="Arial" w:cs="Arial" w:eastAsia="Arial" w:hAnsi="Arial"/>
                <w:sz w:val="12"/>
                <w:szCs w:val="12"/>
                <w:b w:val="1"/>
                <w:bCs w:val="1"/>
                <w:color w:val="auto"/>
                <w:w w:val="97"/>
              </w:rPr>
              <w:t>Average</w:t>
            </w:r>
          </w:p>
        </w:tc>
        <w:tc>
          <w:tcPr>
            <w:tcW w:w="0" w:type="dxa"/>
            <w:vAlign w:val="bottom"/>
          </w:tcPr>
          <w:p>
            <w:pPr>
              <w:spacing w:after="0"/>
              <w:rPr>
                <w:sz w:val="1"/>
                <w:szCs w:val="1"/>
                <w:color w:val="auto"/>
              </w:rPr>
            </w:pPr>
          </w:p>
        </w:tc>
      </w:tr>
      <w:tr>
        <w:trPr>
          <w:trHeight w:val="126"/>
        </w:trPr>
        <w:tc>
          <w:tcPr>
            <w:tcW w:w="5500" w:type="dxa"/>
            <w:vAlign w:val="bottom"/>
            <w:shd w:val="clear" w:color="auto" w:fill="F0F5F1"/>
          </w:tcPr>
          <w:p>
            <w:pPr>
              <w:spacing w:after="0"/>
              <w:rPr>
                <w:sz w:val="10"/>
                <w:szCs w:val="10"/>
                <w:color w:val="auto"/>
              </w:rPr>
            </w:pPr>
          </w:p>
        </w:tc>
        <w:tc>
          <w:tcPr>
            <w:tcW w:w="200" w:type="dxa"/>
            <w:vAlign w:val="bottom"/>
            <w:shd w:val="clear" w:color="auto" w:fill="F0F5F1"/>
          </w:tcPr>
          <w:p>
            <w:pPr>
              <w:spacing w:after="0"/>
              <w:rPr>
                <w:sz w:val="10"/>
                <w:szCs w:val="10"/>
                <w:color w:val="auto"/>
              </w:rPr>
            </w:pPr>
          </w:p>
        </w:tc>
        <w:tc>
          <w:tcPr>
            <w:tcW w:w="1680" w:type="dxa"/>
            <w:vAlign w:val="bottom"/>
            <w:vMerge w:val="restart"/>
            <w:shd w:val="clear" w:color="auto" w:fill="F0F5F1"/>
          </w:tcPr>
          <w:p>
            <w:pPr>
              <w:jc w:val="right"/>
              <w:ind w:right="454"/>
              <w:spacing w:after="0"/>
              <w:rPr>
                <w:sz w:val="20"/>
                <w:szCs w:val="20"/>
                <w:color w:val="auto"/>
              </w:rPr>
            </w:pPr>
            <w:r>
              <w:rPr>
                <w:rFonts w:ascii="Arial" w:cs="Arial" w:eastAsia="Arial" w:hAnsi="Arial"/>
                <w:sz w:val="12"/>
                <w:szCs w:val="12"/>
                <w:b w:val="1"/>
                <w:bCs w:val="1"/>
                <w:color w:val="auto"/>
              </w:rPr>
              <w:t>Total Amount</w:t>
            </w:r>
          </w:p>
        </w:tc>
        <w:tc>
          <w:tcPr>
            <w:tcW w:w="300" w:type="dxa"/>
            <w:vAlign w:val="bottom"/>
            <w:shd w:val="clear" w:color="auto" w:fill="F0F5F1"/>
          </w:tcPr>
          <w:p>
            <w:pPr>
              <w:spacing w:after="0"/>
              <w:rPr>
                <w:sz w:val="10"/>
                <w:szCs w:val="10"/>
                <w:color w:val="auto"/>
              </w:rPr>
            </w:pPr>
          </w:p>
        </w:tc>
        <w:tc>
          <w:tcPr>
            <w:tcW w:w="1780" w:type="dxa"/>
            <w:vAlign w:val="bottom"/>
            <w:vMerge w:val="restart"/>
            <w:shd w:val="clear" w:color="auto" w:fill="F0F5F1"/>
          </w:tcPr>
          <w:p>
            <w:pPr>
              <w:jc w:val="right"/>
              <w:ind w:right="374"/>
              <w:spacing w:after="0"/>
              <w:rPr>
                <w:sz w:val="20"/>
                <w:szCs w:val="20"/>
                <w:color w:val="auto"/>
              </w:rPr>
            </w:pPr>
            <w:r>
              <w:rPr>
                <w:rFonts w:ascii="Arial" w:cs="Arial" w:eastAsia="Arial" w:hAnsi="Arial"/>
                <w:sz w:val="12"/>
                <w:szCs w:val="12"/>
                <w:b w:val="1"/>
                <w:bCs w:val="1"/>
                <w:color w:val="auto"/>
              </w:rPr>
              <w:t>Asset Coverage Per</w:t>
            </w:r>
          </w:p>
        </w:tc>
        <w:tc>
          <w:tcPr>
            <w:tcW w:w="100" w:type="dxa"/>
            <w:vAlign w:val="bottom"/>
            <w:shd w:val="clear" w:color="auto" w:fill="F0F5F1"/>
          </w:tcPr>
          <w:p>
            <w:pPr>
              <w:spacing w:after="0"/>
              <w:rPr>
                <w:sz w:val="10"/>
                <w:szCs w:val="10"/>
                <w:color w:val="auto"/>
              </w:rPr>
            </w:pPr>
          </w:p>
        </w:tc>
        <w:tc>
          <w:tcPr>
            <w:tcW w:w="1680" w:type="dxa"/>
            <w:vAlign w:val="bottom"/>
            <w:shd w:val="clear" w:color="auto" w:fill="F0F5F1"/>
          </w:tcPr>
          <w:p>
            <w:pPr>
              <w:jc w:val="center"/>
              <w:spacing w:after="0" w:line="126" w:lineRule="exact"/>
              <w:rPr>
                <w:sz w:val="20"/>
                <w:szCs w:val="20"/>
                <w:color w:val="auto"/>
              </w:rPr>
            </w:pPr>
            <w:r>
              <w:rPr>
                <w:rFonts w:ascii="Arial" w:cs="Arial" w:eastAsia="Arial" w:hAnsi="Arial"/>
                <w:sz w:val="12"/>
                <w:szCs w:val="12"/>
                <w:b w:val="1"/>
                <w:bCs w:val="1"/>
                <w:color w:val="auto"/>
                <w:w w:val="97"/>
              </w:rPr>
              <w:t>Market Value</w:t>
            </w:r>
          </w:p>
        </w:tc>
        <w:tc>
          <w:tcPr>
            <w:tcW w:w="0" w:type="dxa"/>
            <w:vAlign w:val="bottom"/>
          </w:tcPr>
          <w:p>
            <w:pPr>
              <w:spacing w:after="0"/>
              <w:rPr>
                <w:sz w:val="1"/>
                <w:szCs w:val="1"/>
                <w:color w:val="auto"/>
              </w:rPr>
            </w:pPr>
          </w:p>
        </w:tc>
      </w:tr>
      <w:tr>
        <w:trPr>
          <w:trHeight w:val="118"/>
        </w:trPr>
        <w:tc>
          <w:tcPr>
            <w:tcW w:w="5500" w:type="dxa"/>
            <w:vAlign w:val="bottom"/>
            <w:vMerge w:val="restart"/>
            <w:shd w:val="clear" w:color="auto" w:fill="F0F5F1"/>
          </w:tcPr>
          <w:p>
            <w:pPr>
              <w:ind w:left="100"/>
              <w:spacing w:after="0"/>
              <w:rPr>
                <w:sz w:val="20"/>
                <w:szCs w:val="20"/>
                <w:color w:val="auto"/>
              </w:rPr>
            </w:pPr>
            <w:r>
              <w:rPr>
                <w:rFonts w:ascii="Arial" w:cs="Arial" w:eastAsia="Arial" w:hAnsi="Arial"/>
                <w:sz w:val="12"/>
                <w:szCs w:val="12"/>
                <w:b w:val="1"/>
                <w:bCs w:val="1"/>
                <w:color w:val="auto"/>
              </w:rPr>
              <w:t>Class and Year</w:t>
            </w:r>
            <w:r>
              <w:rPr>
                <w:rFonts w:ascii="Arial" w:cs="Arial" w:eastAsia="Arial" w:hAnsi="Arial"/>
                <w:sz w:val="19"/>
                <w:szCs w:val="19"/>
                <w:b w:val="1"/>
                <w:bCs w:val="1"/>
                <w:color w:val="auto"/>
                <w:vertAlign w:val="superscript"/>
              </w:rPr>
              <w:t>(a)</w:t>
            </w:r>
          </w:p>
        </w:tc>
        <w:tc>
          <w:tcPr>
            <w:tcW w:w="200" w:type="dxa"/>
            <w:vAlign w:val="bottom"/>
            <w:shd w:val="clear" w:color="auto" w:fill="F0F5F1"/>
          </w:tcPr>
          <w:p>
            <w:pPr>
              <w:spacing w:after="0"/>
              <w:rPr>
                <w:sz w:val="10"/>
                <w:szCs w:val="10"/>
                <w:color w:val="auto"/>
              </w:rPr>
            </w:pPr>
          </w:p>
        </w:tc>
        <w:tc>
          <w:tcPr>
            <w:tcW w:w="1680" w:type="dxa"/>
            <w:vAlign w:val="bottom"/>
            <w:vMerge w:val="continue"/>
            <w:shd w:val="clear" w:color="auto" w:fill="F0F5F1"/>
          </w:tcPr>
          <w:p>
            <w:pPr>
              <w:spacing w:after="0"/>
              <w:rPr>
                <w:sz w:val="10"/>
                <w:szCs w:val="10"/>
                <w:color w:val="auto"/>
              </w:rPr>
            </w:pPr>
          </w:p>
        </w:tc>
        <w:tc>
          <w:tcPr>
            <w:tcW w:w="300" w:type="dxa"/>
            <w:vAlign w:val="bottom"/>
            <w:shd w:val="clear" w:color="auto" w:fill="F0F5F1"/>
          </w:tcPr>
          <w:p>
            <w:pPr>
              <w:spacing w:after="0"/>
              <w:rPr>
                <w:sz w:val="10"/>
                <w:szCs w:val="10"/>
                <w:color w:val="auto"/>
              </w:rPr>
            </w:pPr>
          </w:p>
        </w:tc>
        <w:tc>
          <w:tcPr>
            <w:tcW w:w="1780" w:type="dxa"/>
            <w:vAlign w:val="bottom"/>
            <w:vMerge w:val="continue"/>
            <w:shd w:val="clear" w:color="auto" w:fill="F0F5F1"/>
          </w:tcPr>
          <w:p>
            <w:pPr>
              <w:spacing w:after="0"/>
              <w:rPr>
                <w:sz w:val="10"/>
                <w:szCs w:val="10"/>
                <w:color w:val="auto"/>
              </w:rPr>
            </w:pPr>
          </w:p>
        </w:tc>
        <w:tc>
          <w:tcPr>
            <w:tcW w:w="100" w:type="dxa"/>
            <w:vAlign w:val="bottom"/>
            <w:shd w:val="clear" w:color="auto" w:fill="F0F5F1"/>
          </w:tcPr>
          <w:p>
            <w:pPr>
              <w:spacing w:after="0"/>
              <w:rPr>
                <w:sz w:val="10"/>
                <w:szCs w:val="10"/>
                <w:color w:val="auto"/>
              </w:rPr>
            </w:pPr>
          </w:p>
        </w:tc>
        <w:tc>
          <w:tcPr>
            <w:tcW w:w="1680" w:type="dxa"/>
            <w:vAlign w:val="bottom"/>
            <w:shd w:val="clear" w:color="auto" w:fill="F0F5F1"/>
          </w:tcPr>
          <w:p>
            <w:pPr>
              <w:jc w:val="center"/>
              <w:spacing w:after="0" w:line="118" w:lineRule="exact"/>
              <w:rPr>
                <w:sz w:val="20"/>
                <w:szCs w:val="20"/>
                <w:color w:val="auto"/>
              </w:rPr>
            </w:pPr>
            <w:r>
              <w:rPr>
                <w:rFonts w:ascii="Arial" w:cs="Arial" w:eastAsia="Arial" w:hAnsi="Arial"/>
                <w:sz w:val="12"/>
                <w:szCs w:val="12"/>
                <w:b w:val="1"/>
                <w:bCs w:val="1"/>
                <w:color w:val="auto"/>
                <w:w w:val="97"/>
              </w:rPr>
              <w:t>(excludes Bank</w:t>
            </w:r>
          </w:p>
        </w:tc>
        <w:tc>
          <w:tcPr>
            <w:tcW w:w="0" w:type="dxa"/>
            <w:vAlign w:val="bottom"/>
          </w:tcPr>
          <w:p>
            <w:pPr>
              <w:spacing w:after="0"/>
              <w:rPr>
                <w:sz w:val="1"/>
                <w:szCs w:val="1"/>
                <w:color w:val="auto"/>
              </w:rPr>
            </w:pPr>
          </w:p>
        </w:tc>
      </w:tr>
      <w:tr>
        <w:trPr>
          <w:trHeight w:val="176"/>
        </w:trPr>
        <w:tc>
          <w:tcPr>
            <w:tcW w:w="5500" w:type="dxa"/>
            <w:vAlign w:val="bottom"/>
            <w:tcBorders>
              <w:bottom w:val="single" w:sz="8" w:color="auto"/>
            </w:tcBorders>
            <w:vMerge w:val="continue"/>
            <w:shd w:val="clear" w:color="auto" w:fill="F0F5F1"/>
          </w:tcPr>
          <w:p>
            <w:pPr>
              <w:spacing w:after="0"/>
              <w:rPr>
                <w:sz w:val="15"/>
                <w:szCs w:val="15"/>
                <w:color w:val="auto"/>
              </w:rPr>
            </w:pPr>
          </w:p>
        </w:tc>
        <w:tc>
          <w:tcPr>
            <w:tcW w:w="200" w:type="dxa"/>
            <w:vAlign w:val="bottom"/>
            <w:tcBorders>
              <w:bottom w:val="single" w:sz="8" w:color="auto"/>
            </w:tcBorders>
            <w:shd w:val="clear" w:color="auto" w:fill="F0F5F1"/>
          </w:tcPr>
          <w:p>
            <w:pPr>
              <w:spacing w:after="0"/>
              <w:rPr>
                <w:sz w:val="15"/>
                <w:szCs w:val="15"/>
                <w:color w:val="auto"/>
              </w:rPr>
            </w:pPr>
          </w:p>
        </w:tc>
        <w:tc>
          <w:tcPr>
            <w:tcW w:w="1680" w:type="dxa"/>
            <w:vAlign w:val="bottom"/>
            <w:tcBorders>
              <w:bottom w:val="single" w:sz="8" w:color="auto"/>
            </w:tcBorders>
            <w:shd w:val="clear" w:color="auto" w:fill="F0F5F1"/>
          </w:tcPr>
          <w:p>
            <w:pPr>
              <w:jc w:val="right"/>
              <w:ind w:right="414"/>
              <w:spacing w:after="0" w:line="176"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9"/>
                <w:szCs w:val="19"/>
                <w:b w:val="1"/>
                <w:bCs w:val="1"/>
                <w:color w:val="auto"/>
                <w:vertAlign w:val="superscript"/>
              </w:rPr>
              <w:t>(b)</w:t>
            </w:r>
          </w:p>
        </w:tc>
        <w:tc>
          <w:tcPr>
            <w:tcW w:w="300" w:type="dxa"/>
            <w:vAlign w:val="bottom"/>
            <w:tcBorders>
              <w:bottom w:val="single" w:sz="8" w:color="auto"/>
            </w:tcBorders>
            <w:shd w:val="clear" w:color="auto" w:fill="F0F5F1"/>
          </w:tcPr>
          <w:p>
            <w:pPr>
              <w:spacing w:after="0"/>
              <w:rPr>
                <w:sz w:val="15"/>
                <w:szCs w:val="15"/>
                <w:color w:val="auto"/>
              </w:rPr>
            </w:pPr>
          </w:p>
        </w:tc>
        <w:tc>
          <w:tcPr>
            <w:tcW w:w="1780" w:type="dxa"/>
            <w:vAlign w:val="bottom"/>
            <w:tcBorders>
              <w:bottom w:val="single" w:sz="8" w:color="auto"/>
            </w:tcBorders>
            <w:shd w:val="clear" w:color="auto" w:fill="F0F5F1"/>
          </w:tcPr>
          <w:p>
            <w:pPr>
              <w:jc w:val="right"/>
              <w:ind w:right="754"/>
              <w:spacing w:after="0" w:line="176" w:lineRule="exact"/>
              <w:rPr>
                <w:sz w:val="20"/>
                <w:szCs w:val="20"/>
                <w:color w:val="auto"/>
              </w:rPr>
            </w:pPr>
            <w:r>
              <w:rPr>
                <w:rFonts w:ascii="Arial" w:cs="Arial" w:eastAsia="Arial" w:hAnsi="Arial"/>
                <w:sz w:val="12"/>
                <w:szCs w:val="12"/>
                <w:b w:val="1"/>
                <w:bCs w:val="1"/>
                <w:color w:val="auto"/>
              </w:rPr>
              <w:t>Unit</w:t>
            </w:r>
            <w:r>
              <w:rPr>
                <w:rFonts w:ascii="Arial" w:cs="Arial" w:eastAsia="Arial" w:hAnsi="Arial"/>
                <w:sz w:val="19"/>
                <w:szCs w:val="19"/>
                <w:b w:val="1"/>
                <w:bCs w:val="1"/>
                <w:color w:val="auto"/>
                <w:vertAlign w:val="superscript"/>
              </w:rPr>
              <w:t>(c)</w:t>
            </w:r>
          </w:p>
        </w:tc>
        <w:tc>
          <w:tcPr>
            <w:tcW w:w="100" w:type="dxa"/>
            <w:vAlign w:val="bottom"/>
            <w:tcBorders>
              <w:bottom w:val="single" w:sz="8" w:color="auto"/>
            </w:tcBorders>
            <w:shd w:val="clear" w:color="auto" w:fill="F0F5F1"/>
          </w:tcPr>
          <w:p>
            <w:pPr>
              <w:spacing w:after="0"/>
              <w:rPr>
                <w:sz w:val="15"/>
                <w:szCs w:val="15"/>
                <w:color w:val="auto"/>
              </w:rPr>
            </w:pPr>
          </w:p>
        </w:tc>
        <w:tc>
          <w:tcPr>
            <w:tcW w:w="168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2"/>
                <w:szCs w:val="12"/>
                <w:b w:val="1"/>
                <w:bCs w:val="1"/>
                <w:color w:val="auto"/>
                <w:w w:val="96"/>
              </w:rPr>
              <w:t>Loans)</w:t>
            </w:r>
          </w:p>
        </w:tc>
        <w:tc>
          <w:tcPr>
            <w:tcW w:w="0" w:type="dxa"/>
            <w:vAlign w:val="bottom"/>
          </w:tcPr>
          <w:p>
            <w:pPr>
              <w:spacing w:after="0"/>
              <w:rPr>
                <w:sz w:val="1"/>
                <w:szCs w:val="1"/>
                <w:color w:val="auto"/>
              </w:rPr>
            </w:pPr>
          </w:p>
        </w:tc>
      </w:tr>
      <w:tr>
        <w:trPr>
          <w:trHeight w:val="193"/>
        </w:trPr>
        <w:tc>
          <w:tcPr>
            <w:tcW w:w="5500" w:type="dxa"/>
            <w:vAlign w:val="bottom"/>
            <w:tcBorders>
              <w:bottom w:val="single" w:sz="8" w:color="auto"/>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Credit Facility</w:t>
            </w:r>
          </w:p>
        </w:tc>
        <w:tc>
          <w:tcPr>
            <w:tcW w:w="200" w:type="dxa"/>
            <w:vAlign w:val="bottom"/>
            <w:tcBorders>
              <w:bottom w:val="single" w:sz="8" w:color="F0F5F1"/>
            </w:tcBorders>
            <w:shd w:val="clear" w:color="auto" w:fill="F0F5F1"/>
          </w:tcPr>
          <w:p>
            <w:pPr>
              <w:spacing w:after="0"/>
              <w:rPr>
                <w:sz w:val="16"/>
                <w:szCs w:val="16"/>
                <w:color w:val="auto"/>
              </w:rPr>
            </w:pPr>
          </w:p>
        </w:tc>
        <w:tc>
          <w:tcPr>
            <w:tcW w:w="1680" w:type="dxa"/>
            <w:vAlign w:val="bottom"/>
            <w:tcBorders>
              <w:bottom w:val="single" w:sz="8" w:color="F0F5F1"/>
            </w:tcBorders>
            <w:vMerge w:val="restart"/>
            <w:shd w:val="clear" w:color="auto" w:fill="F0F5F1"/>
          </w:tcPr>
          <w:p>
            <w:pPr>
              <w:jc w:val="right"/>
              <w:spacing w:after="0"/>
              <w:rPr>
                <w:sz w:val="20"/>
                <w:szCs w:val="20"/>
                <w:color w:val="auto"/>
              </w:rPr>
            </w:pPr>
            <w:r>
              <w:rPr>
                <w:rFonts w:ascii="Arial" w:cs="Arial" w:eastAsia="Arial" w:hAnsi="Arial"/>
                <w:sz w:val="13"/>
                <w:szCs w:val="13"/>
                <w:color w:val="auto"/>
              </w:rPr>
              <w:t>N/A</w:t>
            </w:r>
            <w:r>
              <w:rPr>
                <w:rFonts w:ascii="Arial" w:cs="Arial" w:eastAsia="Arial" w:hAnsi="Arial"/>
                <w:sz w:val="22"/>
                <w:szCs w:val="22"/>
                <w:color w:val="auto"/>
                <w:vertAlign w:val="superscript"/>
              </w:rPr>
              <w:t>(d)</w:t>
            </w:r>
          </w:p>
        </w:tc>
        <w:tc>
          <w:tcPr>
            <w:tcW w:w="300" w:type="dxa"/>
            <w:vAlign w:val="bottom"/>
            <w:tcBorders>
              <w:bottom w:val="single" w:sz="8" w:color="F0F5F1"/>
            </w:tcBorders>
            <w:shd w:val="clear" w:color="auto" w:fill="F0F5F1"/>
          </w:tcPr>
          <w:p>
            <w:pPr>
              <w:spacing w:after="0"/>
              <w:rPr>
                <w:sz w:val="16"/>
                <w:szCs w:val="16"/>
                <w:color w:val="auto"/>
              </w:rPr>
            </w:pPr>
          </w:p>
        </w:tc>
        <w:tc>
          <w:tcPr>
            <w:tcW w:w="1780" w:type="dxa"/>
            <w:vAlign w:val="bottom"/>
            <w:tcBorders>
              <w:bottom w:val="single" w:sz="8" w:color="F0F5F1"/>
            </w:tcBorders>
            <w:vMerge w:val="restart"/>
            <w:shd w:val="clear" w:color="auto" w:fill="F0F5F1"/>
          </w:tcPr>
          <w:p>
            <w:pPr>
              <w:jc w:val="right"/>
              <w:ind w:right="34"/>
              <w:spacing w:after="0"/>
              <w:rPr>
                <w:sz w:val="20"/>
                <w:szCs w:val="20"/>
                <w:color w:val="auto"/>
              </w:rPr>
            </w:pPr>
            <w:r>
              <w:rPr>
                <w:rFonts w:ascii="Arial" w:cs="Arial" w:eastAsia="Arial" w:hAnsi="Arial"/>
                <w:sz w:val="13"/>
                <w:szCs w:val="13"/>
                <w:color w:val="auto"/>
              </w:rPr>
              <w:t>N/A</w:t>
            </w:r>
            <w:r>
              <w:rPr>
                <w:rFonts w:ascii="Arial" w:cs="Arial" w:eastAsia="Arial" w:hAnsi="Arial"/>
                <w:sz w:val="22"/>
                <w:szCs w:val="22"/>
                <w:color w:val="auto"/>
                <w:vertAlign w:val="superscript"/>
              </w:rPr>
              <w:t>(d)</w:t>
            </w:r>
          </w:p>
        </w:tc>
        <w:tc>
          <w:tcPr>
            <w:tcW w:w="100" w:type="dxa"/>
            <w:vAlign w:val="bottom"/>
            <w:tcBorders>
              <w:bottom w:val="single" w:sz="8" w:color="F0F5F1"/>
            </w:tcBorders>
            <w:shd w:val="clear" w:color="auto" w:fill="F0F5F1"/>
          </w:tcPr>
          <w:p>
            <w:pPr>
              <w:spacing w:after="0"/>
              <w:rPr>
                <w:sz w:val="16"/>
                <w:szCs w:val="16"/>
                <w:color w:val="auto"/>
              </w:rPr>
            </w:pPr>
          </w:p>
        </w:tc>
        <w:tc>
          <w:tcPr>
            <w:tcW w:w="1680" w:type="dxa"/>
            <w:vAlign w:val="bottom"/>
            <w:tcBorders>
              <w:bottom w:val="single" w:sz="8" w:color="F0F5F1"/>
            </w:tcBorders>
            <w:vMerge w:val="restart"/>
            <w:shd w:val="clear" w:color="auto" w:fill="F0F5F1"/>
          </w:tcPr>
          <w:p>
            <w:pPr>
              <w:ind w:left="740"/>
              <w:spacing w:after="0"/>
              <w:rPr>
                <w:sz w:val="20"/>
                <w:szCs w:val="20"/>
                <w:color w:val="auto"/>
              </w:rPr>
            </w:pPr>
            <w:r>
              <w:rPr>
                <w:rFonts w:ascii="Arial" w:cs="Arial" w:eastAsia="Arial" w:hAnsi="Arial"/>
                <w:sz w:val="13"/>
                <w:szCs w:val="13"/>
                <w:color w:val="auto"/>
              </w:rPr>
              <w:t>N/A</w:t>
            </w:r>
            <w:r>
              <w:rPr>
                <w:rFonts w:ascii="Arial" w:cs="Arial" w:eastAsia="Arial" w:hAnsi="Arial"/>
                <w:sz w:val="22"/>
                <w:szCs w:val="22"/>
                <w:color w:val="auto"/>
                <w:vertAlign w:val="superscript"/>
              </w:rPr>
              <w:t>(d)</w:t>
            </w:r>
          </w:p>
        </w:tc>
        <w:tc>
          <w:tcPr>
            <w:tcW w:w="0" w:type="dxa"/>
            <w:vAlign w:val="bottom"/>
          </w:tcPr>
          <w:p>
            <w:pPr>
              <w:spacing w:after="0"/>
              <w:rPr>
                <w:sz w:val="1"/>
                <w:szCs w:val="1"/>
                <w:color w:val="auto"/>
              </w:rPr>
            </w:pPr>
          </w:p>
        </w:tc>
      </w:tr>
      <w:tr>
        <w:trPr>
          <w:trHeight w:val="156"/>
        </w:trPr>
        <w:tc>
          <w:tcPr>
            <w:tcW w:w="5500" w:type="dxa"/>
            <w:vAlign w:val="bottom"/>
            <w:shd w:val="clear" w:color="auto" w:fill="F0F5F1"/>
          </w:tcPr>
          <w:p>
            <w:pPr>
              <w:ind w:left="100"/>
              <w:spacing w:after="0"/>
              <w:rPr>
                <w:sz w:val="20"/>
                <w:szCs w:val="20"/>
                <w:color w:val="auto"/>
              </w:rPr>
            </w:pPr>
            <w:r>
              <w:rPr>
                <w:rFonts w:ascii="Arial" w:cs="Arial" w:eastAsia="Arial" w:hAnsi="Arial"/>
                <w:sz w:val="13"/>
                <w:szCs w:val="13"/>
                <w:color w:val="auto"/>
              </w:rPr>
              <w:t>Fiscal 2013 (as of December 31, 2013)</w:t>
            </w:r>
          </w:p>
        </w:tc>
        <w:tc>
          <w:tcPr>
            <w:tcW w:w="200" w:type="dxa"/>
            <w:vAlign w:val="bottom"/>
            <w:shd w:val="clear" w:color="auto" w:fill="F0F5F1"/>
          </w:tcPr>
          <w:p>
            <w:pPr>
              <w:spacing w:after="0"/>
              <w:rPr>
                <w:sz w:val="13"/>
                <w:szCs w:val="13"/>
                <w:color w:val="auto"/>
              </w:rPr>
            </w:pPr>
          </w:p>
        </w:tc>
        <w:tc>
          <w:tcPr>
            <w:tcW w:w="1680" w:type="dxa"/>
            <w:vAlign w:val="bottom"/>
            <w:vMerge w:val="continue"/>
            <w:shd w:val="clear" w:color="auto" w:fill="F0F5F1"/>
          </w:tcPr>
          <w:p>
            <w:pPr>
              <w:spacing w:after="0"/>
              <w:rPr>
                <w:sz w:val="13"/>
                <w:szCs w:val="13"/>
                <w:color w:val="auto"/>
              </w:rPr>
            </w:pPr>
          </w:p>
        </w:tc>
        <w:tc>
          <w:tcPr>
            <w:tcW w:w="300" w:type="dxa"/>
            <w:vAlign w:val="bottom"/>
            <w:shd w:val="clear" w:color="auto" w:fill="F0F5F1"/>
          </w:tcPr>
          <w:p>
            <w:pPr>
              <w:spacing w:after="0"/>
              <w:rPr>
                <w:sz w:val="13"/>
                <w:szCs w:val="13"/>
                <w:color w:val="auto"/>
              </w:rPr>
            </w:pPr>
          </w:p>
        </w:tc>
        <w:tc>
          <w:tcPr>
            <w:tcW w:w="1780" w:type="dxa"/>
            <w:vAlign w:val="bottom"/>
            <w:vMerge w:val="continue"/>
            <w:shd w:val="clear" w:color="auto" w:fill="F0F5F1"/>
          </w:tcPr>
          <w:p>
            <w:pPr>
              <w:spacing w:after="0"/>
              <w:rPr>
                <w:sz w:val="13"/>
                <w:szCs w:val="13"/>
                <w:color w:val="auto"/>
              </w:rPr>
            </w:pPr>
          </w:p>
        </w:tc>
        <w:tc>
          <w:tcPr>
            <w:tcW w:w="100" w:type="dxa"/>
            <w:vAlign w:val="bottom"/>
            <w:shd w:val="clear" w:color="auto" w:fill="F0F5F1"/>
          </w:tcPr>
          <w:p>
            <w:pPr>
              <w:spacing w:after="0"/>
              <w:rPr>
                <w:sz w:val="13"/>
                <w:szCs w:val="13"/>
                <w:color w:val="auto"/>
              </w:rPr>
            </w:pPr>
          </w:p>
        </w:tc>
        <w:tc>
          <w:tcPr>
            <w:tcW w:w="1680" w:type="dxa"/>
            <w:vAlign w:val="bottom"/>
            <w:vMerge w:val="continue"/>
            <w:shd w:val="clear" w:color="auto" w:fill="F0F5F1"/>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500" w:type="dxa"/>
            <w:vAlign w:val="bottom"/>
            <w:shd w:val="clear" w:color="auto" w:fill="F0F5F1"/>
          </w:tcPr>
          <w:p>
            <w:pPr>
              <w:ind w:left="100"/>
              <w:spacing w:after="0"/>
              <w:rPr>
                <w:sz w:val="20"/>
                <w:szCs w:val="20"/>
                <w:color w:val="auto"/>
              </w:rPr>
            </w:pPr>
            <w:r>
              <w:rPr>
                <w:rFonts w:ascii="Arial" w:cs="Arial" w:eastAsia="Arial" w:hAnsi="Arial"/>
                <w:sz w:val="13"/>
                <w:szCs w:val="13"/>
                <w:color w:val="auto"/>
              </w:rPr>
              <w:t>Fiscal 2014 (as of December 31, 2014)</w:t>
            </w:r>
          </w:p>
        </w:tc>
        <w:tc>
          <w:tcPr>
            <w:tcW w:w="2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680" w:type="dxa"/>
            <w:vAlign w:val="bottom"/>
            <w:shd w:val="clear" w:color="auto" w:fill="F0F5F1"/>
          </w:tcPr>
          <w:p>
            <w:pPr>
              <w:jc w:val="right"/>
              <w:ind w:right="34"/>
              <w:spacing w:after="0"/>
              <w:rPr>
                <w:sz w:val="20"/>
                <w:szCs w:val="20"/>
                <w:color w:val="auto"/>
              </w:rPr>
            </w:pPr>
            <w:r>
              <w:rPr>
                <w:rFonts w:ascii="Arial" w:cs="Arial" w:eastAsia="Arial" w:hAnsi="Arial"/>
                <w:sz w:val="13"/>
                <w:szCs w:val="13"/>
                <w:color w:val="auto"/>
              </w:rPr>
              <w:t>22,500,000</w:t>
            </w:r>
          </w:p>
        </w:tc>
        <w:tc>
          <w:tcPr>
            <w:tcW w:w="3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780" w:type="dxa"/>
            <w:vAlign w:val="bottom"/>
            <w:shd w:val="clear" w:color="auto" w:fill="F0F5F1"/>
          </w:tcPr>
          <w:p>
            <w:pPr>
              <w:jc w:val="right"/>
              <w:ind w:right="134"/>
              <w:spacing w:after="0"/>
              <w:rPr>
                <w:sz w:val="20"/>
                <w:szCs w:val="20"/>
                <w:color w:val="auto"/>
              </w:rPr>
            </w:pPr>
            <w:r>
              <w:rPr>
                <w:rFonts w:ascii="Arial" w:cs="Arial" w:eastAsia="Arial" w:hAnsi="Arial"/>
                <w:sz w:val="13"/>
                <w:szCs w:val="13"/>
                <w:color w:val="auto"/>
              </w:rPr>
              <w:t>7,317</w:t>
            </w:r>
          </w:p>
        </w:tc>
        <w:tc>
          <w:tcPr>
            <w:tcW w:w="100" w:type="dxa"/>
            <w:vAlign w:val="bottom"/>
            <w:shd w:val="clear" w:color="auto" w:fill="F0F5F1"/>
          </w:tcPr>
          <w:p>
            <w:pPr>
              <w:spacing w:after="0"/>
              <w:rPr>
                <w:sz w:val="13"/>
                <w:szCs w:val="13"/>
                <w:color w:val="auto"/>
              </w:rPr>
            </w:pPr>
          </w:p>
        </w:tc>
        <w:tc>
          <w:tcPr>
            <w:tcW w:w="1680" w:type="dxa"/>
            <w:vAlign w:val="bottom"/>
            <w:shd w:val="clear" w:color="auto" w:fill="F0F5F1"/>
          </w:tcPr>
          <w:p>
            <w:pPr>
              <w:ind w:left="7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500" w:type="dxa"/>
            <w:vAlign w:val="bottom"/>
            <w:shd w:val="clear" w:color="auto" w:fill="F0F5F1"/>
          </w:tcPr>
          <w:p>
            <w:pPr>
              <w:ind w:left="100"/>
              <w:spacing w:after="0"/>
              <w:rPr>
                <w:sz w:val="20"/>
                <w:szCs w:val="20"/>
                <w:color w:val="auto"/>
              </w:rPr>
            </w:pPr>
            <w:r>
              <w:rPr>
                <w:rFonts w:ascii="Arial" w:cs="Arial" w:eastAsia="Arial" w:hAnsi="Arial"/>
                <w:sz w:val="13"/>
                <w:szCs w:val="13"/>
                <w:color w:val="auto"/>
              </w:rPr>
              <w:t>Fiscal 2015 (as of December 31, 2015)</w:t>
            </w:r>
          </w:p>
        </w:tc>
        <w:tc>
          <w:tcPr>
            <w:tcW w:w="2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680" w:type="dxa"/>
            <w:vAlign w:val="bottom"/>
            <w:shd w:val="clear" w:color="auto" w:fill="F0F5F1"/>
          </w:tcPr>
          <w:p>
            <w:pPr>
              <w:jc w:val="right"/>
              <w:ind w:right="34"/>
              <w:spacing w:after="0"/>
              <w:rPr>
                <w:sz w:val="20"/>
                <w:szCs w:val="20"/>
                <w:color w:val="auto"/>
              </w:rPr>
            </w:pPr>
            <w:r>
              <w:rPr>
                <w:rFonts w:ascii="Arial" w:cs="Arial" w:eastAsia="Arial" w:hAnsi="Arial"/>
                <w:sz w:val="13"/>
                <w:szCs w:val="13"/>
                <w:color w:val="auto"/>
              </w:rPr>
              <w:t>25,000,000</w:t>
            </w:r>
          </w:p>
        </w:tc>
        <w:tc>
          <w:tcPr>
            <w:tcW w:w="3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780" w:type="dxa"/>
            <w:vAlign w:val="bottom"/>
            <w:shd w:val="clear" w:color="auto" w:fill="F0F5F1"/>
          </w:tcPr>
          <w:p>
            <w:pPr>
              <w:jc w:val="right"/>
              <w:ind w:right="134"/>
              <w:spacing w:after="0"/>
              <w:rPr>
                <w:sz w:val="20"/>
                <w:szCs w:val="20"/>
                <w:color w:val="auto"/>
              </w:rPr>
            </w:pPr>
            <w:r>
              <w:rPr>
                <w:rFonts w:ascii="Arial" w:cs="Arial" w:eastAsia="Arial" w:hAnsi="Arial"/>
                <w:sz w:val="13"/>
                <w:szCs w:val="13"/>
                <w:color w:val="auto"/>
              </w:rPr>
              <w:t>6,631</w:t>
            </w:r>
          </w:p>
        </w:tc>
        <w:tc>
          <w:tcPr>
            <w:tcW w:w="100" w:type="dxa"/>
            <w:vAlign w:val="bottom"/>
            <w:shd w:val="clear" w:color="auto" w:fill="F0F5F1"/>
          </w:tcPr>
          <w:p>
            <w:pPr>
              <w:spacing w:after="0"/>
              <w:rPr>
                <w:sz w:val="13"/>
                <w:szCs w:val="13"/>
                <w:color w:val="auto"/>
              </w:rPr>
            </w:pPr>
          </w:p>
        </w:tc>
        <w:tc>
          <w:tcPr>
            <w:tcW w:w="1680" w:type="dxa"/>
            <w:vAlign w:val="bottom"/>
            <w:shd w:val="clear" w:color="auto" w:fill="F0F5F1"/>
          </w:tcPr>
          <w:p>
            <w:pPr>
              <w:ind w:left="7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500" w:type="dxa"/>
            <w:vAlign w:val="bottom"/>
            <w:shd w:val="clear" w:color="auto" w:fill="F0F5F1"/>
          </w:tcPr>
          <w:p>
            <w:pPr>
              <w:ind w:left="100"/>
              <w:spacing w:after="0"/>
              <w:rPr>
                <w:sz w:val="20"/>
                <w:szCs w:val="20"/>
                <w:color w:val="auto"/>
              </w:rPr>
            </w:pPr>
            <w:r>
              <w:rPr>
                <w:rFonts w:ascii="Arial" w:cs="Arial" w:eastAsia="Arial" w:hAnsi="Arial"/>
                <w:sz w:val="13"/>
                <w:szCs w:val="13"/>
                <w:color w:val="auto"/>
              </w:rPr>
              <w:t>Fiscal 2016 (as of December 31, 2016)</w:t>
            </w:r>
          </w:p>
        </w:tc>
        <w:tc>
          <w:tcPr>
            <w:tcW w:w="2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680" w:type="dxa"/>
            <w:vAlign w:val="bottom"/>
            <w:shd w:val="clear" w:color="auto" w:fill="F0F5F1"/>
          </w:tcPr>
          <w:p>
            <w:pPr>
              <w:jc w:val="right"/>
              <w:ind w:right="34"/>
              <w:spacing w:after="0"/>
              <w:rPr>
                <w:sz w:val="20"/>
                <w:szCs w:val="20"/>
                <w:color w:val="auto"/>
              </w:rPr>
            </w:pPr>
            <w:r>
              <w:rPr>
                <w:rFonts w:ascii="Arial" w:cs="Arial" w:eastAsia="Arial" w:hAnsi="Arial"/>
                <w:sz w:val="13"/>
                <w:szCs w:val="13"/>
                <w:color w:val="auto"/>
              </w:rPr>
              <w:t>61,500,000</w:t>
            </w:r>
          </w:p>
        </w:tc>
        <w:tc>
          <w:tcPr>
            <w:tcW w:w="3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780" w:type="dxa"/>
            <w:vAlign w:val="bottom"/>
            <w:shd w:val="clear" w:color="auto" w:fill="F0F5F1"/>
          </w:tcPr>
          <w:p>
            <w:pPr>
              <w:jc w:val="right"/>
              <w:ind w:right="134"/>
              <w:spacing w:after="0"/>
              <w:rPr>
                <w:sz w:val="20"/>
                <w:szCs w:val="20"/>
                <w:color w:val="auto"/>
              </w:rPr>
            </w:pPr>
            <w:r>
              <w:rPr>
                <w:rFonts w:ascii="Arial" w:cs="Arial" w:eastAsia="Arial" w:hAnsi="Arial"/>
                <w:sz w:val="13"/>
                <w:szCs w:val="13"/>
                <w:color w:val="auto"/>
              </w:rPr>
              <w:t>3,253</w:t>
            </w:r>
          </w:p>
        </w:tc>
        <w:tc>
          <w:tcPr>
            <w:tcW w:w="100" w:type="dxa"/>
            <w:vAlign w:val="bottom"/>
            <w:shd w:val="clear" w:color="auto" w:fill="F0F5F1"/>
          </w:tcPr>
          <w:p>
            <w:pPr>
              <w:spacing w:after="0"/>
              <w:rPr>
                <w:sz w:val="13"/>
                <w:szCs w:val="13"/>
                <w:color w:val="auto"/>
              </w:rPr>
            </w:pPr>
          </w:p>
        </w:tc>
        <w:tc>
          <w:tcPr>
            <w:tcW w:w="1680" w:type="dxa"/>
            <w:vAlign w:val="bottom"/>
            <w:shd w:val="clear" w:color="auto" w:fill="F0F5F1"/>
          </w:tcPr>
          <w:p>
            <w:pPr>
              <w:ind w:left="7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500" w:type="dxa"/>
            <w:vAlign w:val="bottom"/>
            <w:shd w:val="clear" w:color="auto" w:fill="F0F5F1"/>
          </w:tcPr>
          <w:p>
            <w:pPr>
              <w:ind w:left="100"/>
              <w:spacing w:after="0"/>
              <w:rPr>
                <w:sz w:val="20"/>
                <w:szCs w:val="20"/>
                <w:color w:val="auto"/>
              </w:rPr>
            </w:pPr>
            <w:r>
              <w:rPr>
                <w:rFonts w:ascii="Arial" w:cs="Arial" w:eastAsia="Arial" w:hAnsi="Arial"/>
                <w:sz w:val="13"/>
                <w:szCs w:val="13"/>
                <w:color w:val="auto"/>
              </w:rPr>
              <w:t>Fiscal 2017 (as of December 31, 2017)</w:t>
            </w:r>
          </w:p>
        </w:tc>
        <w:tc>
          <w:tcPr>
            <w:tcW w:w="2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680" w:type="dxa"/>
            <w:vAlign w:val="bottom"/>
            <w:shd w:val="clear" w:color="auto" w:fill="F0F5F1"/>
          </w:tcPr>
          <w:p>
            <w:pPr>
              <w:jc w:val="right"/>
              <w:ind w:right="34"/>
              <w:spacing w:after="0"/>
              <w:rPr>
                <w:sz w:val="20"/>
                <w:szCs w:val="20"/>
                <w:color w:val="auto"/>
              </w:rPr>
            </w:pPr>
            <w:r>
              <w:rPr>
                <w:rFonts w:ascii="Arial" w:cs="Arial" w:eastAsia="Arial" w:hAnsi="Arial"/>
                <w:sz w:val="13"/>
                <w:szCs w:val="13"/>
                <w:color w:val="auto"/>
              </w:rPr>
              <w:t>25,750,000</w:t>
            </w:r>
          </w:p>
        </w:tc>
        <w:tc>
          <w:tcPr>
            <w:tcW w:w="3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780" w:type="dxa"/>
            <w:vAlign w:val="bottom"/>
            <w:shd w:val="clear" w:color="auto" w:fill="F0F5F1"/>
          </w:tcPr>
          <w:p>
            <w:pPr>
              <w:jc w:val="right"/>
              <w:ind w:right="134"/>
              <w:spacing w:after="0"/>
              <w:rPr>
                <w:sz w:val="20"/>
                <w:szCs w:val="20"/>
                <w:color w:val="auto"/>
              </w:rPr>
            </w:pPr>
            <w:r>
              <w:rPr>
                <w:rFonts w:ascii="Arial" w:cs="Arial" w:eastAsia="Arial" w:hAnsi="Arial"/>
                <w:sz w:val="13"/>
                <w:szCs w:val="13"/>
                <w:color w:val="auto"/>
              </w:rPr>
              <w:t>6,478</w:t>
            </w:r>
          </w:p>
        </w:tc>
        <w:tc>
          <w:tcPr>
            <w:tcW w:w="100" w:type="dxa"/>
            <w:vAlign w:val="bottom"/>
            <w:shd w:val="clear" w:color="auto" w:fill="F0F5F1"/>
          </w:tcPr>
          <w:p>
            <w:pPr>
              <w:spacing w:after="0"/>
              <w:rPr>
                <w:sz w:val="13"/>
                <w:szCs w:val="13"/>
                <w:color w:val="auto"/>
              </w:rPr>
            </w:pPr>
          </w:p>
        </w:tc>
        <w:tc>
          <w:tcPr>
            <w:tcW w:w="1680" w:type="dxa"/>
            <w:vAlign w:val="bottom"/>
            <w:shd w:val="clear" w:color="auto" w:fill="F0F5F1"/>
          </w:tcPr>
          <w:p>
            <w:pPr>
              <w:ind w:left="7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500" w:type="dxa"/>
            <w:vAlign w:val="bottom"/>
            <w:shd w:val="clear" w:color="auto" w:fill="F0F5F1"/>
          </w:tcPr>
          <w:p>
            <w:pPr>
              <w:ind w:left="100"/>
              <w:spacing w:after="0"/>
              <w:rPr>
                <w:sz w:val="20"/>
                <w:szCs w:val="20"/>
                <w:color w:val="auto"/>
              </w:rPr>
            </w:pPr>
            <w:r>
              <w:rPr>
                <w:rFonts w:ascii="Arial" w:cs="Arial" w:eastAsia="Arial" w:hAnsi="Arial"/>
                <w:sz w:val="13"/>
                <w:szCs w:val="13"/>
                <w:color w:val="auto"/>
              </w:rPr>
              <w:t>Fiscal 2018 (as of December 31, 2018)</w:t>
            </w:r>
          </w:p>
        </w:tc>
        <w:tc>
          <w:tcPr>
            <w:tcW w:w="2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680" w:type="dxa"/>
            <w:vAlign w:val="bottom"/>
            <w:shd w:val="clear" w:color="auto" w:fill="F0F5F1"/>
          </w:tcPr>
          <w:p>
            <w:pPr>
              <w:jc w:val="right"/>
              <w:ind w:right="34"/>
              <w:spacing w:after="0"/>
              <w:rPr>
                <w:sz w:val="20"/>
                <w:szCs w:val="20"/>
                <w:color w:val="auto"/>
              </w:rPr>
            </w:pPr>
            <w:r>
              <w:rPr>
                <w:rFonts w:ascii="Arial" w:cs="Arial" w:eastAsia="Arial" w:hAnsi="Arial"/>
                <w:sz w:val="13"/>
                <w:szCs w:val="13"/>
                <w:color w:val="auto"/>
              </w:rPr>
              <w:t>51,000,000</w:t>
            </w:r>
          </w:p>
        </w:tc>
        <w:tc>
          <w:tcPr>
            <w:tcW w:w="3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780" w:type="dxa"/>
            <w:vAlign w:val="bottom"/>
            <w:shd w:val="clear" w:color="auto" w:fill="F0F5F1"/>
          </w:tcPr>
          <w:p>
            <w:pPr>
              <w:jc w:val="right"/>
              <w:ind w:right="134"/>
              <w:spacing w:after="0"/>
              <w:rPr>
                <w:sz w:val="20"/>
                <w:szCs w:val="20"/>
                <w:color w:val="auto"/>
              </w:rPr>
            </w:pPr>
            <w:r>
              <w:rPr>
                <w:rFonts w:ascii="Arial" w:cs="Arial" w:eastAsia="Arial" w:hAnsi="Arial"/>
                <w:sz w:val="13"/>
                <w:szCs w:val="13"/>
                <w:color w:val="auto"/>
              </w:rPr>
              <w:t>3,753</w:t>
            </w:r>
          </w:p>
        </w:tc>
        <w:tc>
          <w:tcPr>
            <w:tcW w:w="100" w:type="dxa"/>
            <w:vAlign w:val="bottom"/>
            <w:shd w:val="clear" w:color="auto" w:fill="F0F5F1"/>
          </w:tcPr>
          <w:p>
            <w:pPr>
              <w:spacing w:after="0"/>
              <w:rPr>
                <w:sz w:val="13"/>
                <w:szCs w:val="13"/>
                <w:color w:val="auto"/>
              </w:rPr>
            </w:pPr>
          </w:p>
        </w:tc>
        <w:tc>
          <w:tcPr>
            <w:tcW w:w="1680" w:type="dxa"/>
            <w:vAlign w:val="bottom"/>
            <w:shd w:val="clear" w:color="auto" w:fill="F0F5F1"/>
          </w:tcPr>
          <w:p>
            <w:pPr>
              <w:ind w:left="7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500" w:type="dxa"/>
            <w:vAlign w:val="bottom"/>
            <w:shd w:val="clear" w:color="auto" w:fill="F0F5F1"/>
          </w:tcPr>
          <w:p>
            <w:pPr>
              <w:ind w:left="100"/>
              <w:spacing w:after="0"/>
              <w:rPr>
                <w:sz w:val="20"/>
                <w:szCs w:val="20"/>
                <w:color w:val="auto"/>
              </w:rPr>
            </w:pPr>
            <w:r>
              <w:rPr>
                <w:rFonts w:ascii="Arial" w:cs="Arial" w:eastAsia="Arial" w:hAnsi="Arial"/>
                <w:sz w:val="13"/>
                <w:szCs w:val="13"/>
                <w:color w:val="auto"/>
              </w:rPr>
              <w:t>Fiscal 2019 (as of December 31, 2019)</w:t>
            </w:r>
          </w:p>
        </w:tc>
        <w:tc>
          <w:tcPr>
            <w:tcW w:w="2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680" w:type="dxa"/>
            <w:vAlign w:val="bottom"/>
            <w:shd w:val="clear" w:color="auto" w:fill="F0F5F1"/>
          </w:tcPr>
          <w:p>
            <w:pPr>
              <w:jc w:val="right"/>
              <w:ind w:right="34"/>
              <w:spacing w:after="0"/>
              <w:rPr>
                <w:sz w:val="20"/>
                <w:szCs w:val="20"/>
                <w:color w:val="auto"/>
              </w:rPr>
            </w:pPr>
            <w:r>
              <w:rPr>
                <w:rFonts w:ascii="Arial" w:cs="Arial" w:eastAsia="Arial" w:hAnsi="Arial"/>
                <w:sz w:val="13"/>
                <w:szCs w:val="13"/>
                <w:color w:val="auto"/>
              </w:rPr>
              <w:t>17,700,000</w:t>
            </w:r>
          </w:p>
        </w:tc>
        <w:tc>
          <w:tcPr>
            <w:tcW w:w="3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780" w:type="dxa"/>
            <w:vAlign w:val="bottom"/>
            <w:shd w:val="clear" w:color="auto" w:fill="F0F5F1"/>
          </w:tcPr>
          <w:p>
            <w:pPr>
              <w:jc w:val="right"/>
              <w:ind w:right="134"/>
              <w:spacing w:after="0"/>
              <w:rPr>
                <w:sz w:val="20"/>
                <w:szCs w:val="20"/>
                <w:color w:val="auto"/>
              </w:rPr>
            </w:pPr>
            <w:r>
              <w:rPr>
                <w:rFonts w:ascii="Arial" w:cs="Arial" w:eastAsia="Arial" w:hAnsi="Arial"/>
                <w:sz w:val="13"/>
                <w:szCs w:val="13"/>
                <w:color w:val="auto"/>
              </w:rPr>
              <w:t>9,090</w:t>
            </w:r>
          </w:p>
        </w:tc>
        <w:tc>
          <w:tcPr>
            <w:tcW w:w="100" w:type="dxa"/>
            <w:vAlign w:val="bottom"/>
            <w:shd w:val="clear" w:color="auto" w:fill="F0F5F1"/>
          </w:tcPr>
          <w:p>
            <w:pPr>
              <w:spacing w:after="0"/>
              <w:rPr>
                <w:sz w:val="13"/>
                <w:szCs w:val="13"/>
                <w:color w:val="auto"/>
              </w:rPr>
            </w:pPr>
          </w:p>
        </w:tc>
        <w:tc>
          <w:tcPr>
            <w:tcW w:w="1680" w:type="dxa"/>
            <w:vAlign w:val="bottom"/>
            <w:shd w:val="clear" w:color="auto" w:fill="F0F5F1"/>
          </w:tcPr>
          <w:p>
            <w:pPr>
              <w:ind w:left="7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500" w:type="dxa"/>
            <w:vAlign w:val="bottom"/>
            <w:shd w:val="clear" w:color="auto" w:fill="F0F5F1"/>
          </w:tcPr>
          <w:p>
            <w:pPr>
              <w:ind w:left="100"/>
              <w:spacing w:after="0"/>
              <w:rPr>
                <w:sz w:val="20"/>
                <w:szCs w:val="20"/>
                <w:color w:val="auto"/>
              </w:rPr>
            </w:pPr>
            <w:r>
              <w:rPr>
                <w:rFonts w:ascii="Arial" w:cs="Arial" w:eastAsia="Arial" w:hAnsi="Arial"/>
                <w:sz w:val="13"/>
                <w:szCs w:val="13"/>
                <w:color w:val="auto"/>
              </w:rPr>
              <w:t>Fiscal 2020 (as of December 31, 2020)</w:t>
            </w:r>
          </w:p>
        </w:tc>
        <w:tc>
          <w:tcPr>
            <w:tcW w:w="2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680" w:type="dxa"/>
            <w:vAlign w:val="bottom"/>
            <w:shd w:val="clear" w:color="auto" w:fill="F0F5F1"/>
          </w:tcPr>
          <w:p>
            <w:pPr>
              <w:jc w:val="right"/>
              <w:ind w:right="34"/>
              <w:spacing w:after="0"/>
              <w:rPr>
                <w:sz w:val="20"/>
                <w:szCs w:val="20"/>
                <w:color w:val="auto"/>
              </w:rPr>
            </w:pPr>
            <w:r>
              <w:rPr>
                <w:rFonts w:ascii="Arial" w:cs="Arial" w:eastAsia="Arial" w:hAnsi="Arial"/>
                <w:sz w:val="13"/>
                <w:szCs w:val="13"/>
                <w:color w:val="auto"/>
              </w:rPr>
              <w:t>43,000,000</w:t>
            </w:r>
          </w:p>
        </w:tc>
        <w:tc>
          <w:tcPr>
            <w:tcW w:w="3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780" w:type="dxa"/>
            <w:vAlign w:val="bottom"/>
            <w:shd w:val="clear" w:color="auto" w:fill="F0F5F1"/>
          </w:tcPr>
          <w:p>
            <w:pPr>
              <w:jc w:val="right"/>
              <w:ind w:right="134"/>
              <w:spacing w:after="0"/>
              <w:rPr>
                <w:sz w:val="20"/>
                <w:szCs w:val="20"/>
                <w:color w:val="auto"/>
              </w:rPr>
            </w:pPr>
            <w:r>
              <w:rPr>
                <w:rFonts w:ascii="Arial" w:cs="Arial" w:eastAsia="Arial" w:hAnsi="Arial"/>
                <w:sz w:val="13"/>
                <w:szCs w:val="13"/>
                <w:color w:val="auto"/>
              </w:rPr>
              <w:t>4,274</w:t>
            </w:r>
          </w:p>
        </w:tc>
        <w:tc>
          <w:tcPr>
            <w:tcW w:w="100" w:type="dxa"/>
            <w:vAlign w:val="bottom"/>
            <w:shd w:val="clear" w:color="auto" w:fill="F0F5F1"/>
          </w:tcPr>
          <w:p>
            <w:pPr>
              <w:spacing w:after="0"/>
              <w:rPr>
                <w:sz w:val="13"/>
                <w:szCs w:val="13"/>
                <w:color w:val="auto"/>
              </w:rPr>
            </w:pPr>
          </w:p>
        </w:tc>
        <w:tc>
          <w:tcPr>
            <w:tcW w:w="1680" w:type="dxa"/>
            <w:vAlign w:val="bottom"/>
            <w:shd w:val="clear" w:color="auto" w:fill="F0F5F1"/>
          </w:tcPr>
          <w:p>
            <w:pPr>
              <w:ind w:left="7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3"/>
        </w:trPr>
        <w:tc>
          <w:tcPr>
            <w:tcW w:w="5500" w:type="dxa"/>
            <w:vAlign w:val="bottom"/>
            <w:shd w:val="clear" w:color="auto" w:fill="F0F5F1"/>
          </w:tcPr>
          <w:p>
            <w:pPr>
              <w:ind w:left="100"/>
              <w:spacing w:after="0" w:line="143" w:lineRule="exact"/>
              <w:rPr>
                <w:sz w:val="20"/>
                <w:szCs w:val="20"/>
                <w:color w:val="auto"/>
              </w:rPr>
            </w:pPr>
            <w:r>
              <w:rPr>
                <w:rFonts w:ascii="Arial" w:cs="Arial" w:eastAsia="Arial" w:hAnsi="Arial"/>
                <w:sz w:val="13"/>
                <w:szCs w:val="13"/>
                <w:color w:val="auto"/>
              </w:rPr>
              <w:t>Fiscal 2021 (as of December 31, 2021)</w:t>
            </w:r>
          </w:p>
        </w:tc>
        <w:tc>
          <w:tcPr>
            <w:tcW w:w="200" w:type="dxa"/>
            <w:vAlign w:val="bottom"/>
            <w:shd w:val="clear" w:color="auto" w:fill="F0F5F1"/>
          </w:tcPr>
          <w:p>
            <w:pPr>
              <w:jc w:val="right"/>
              <w:spacing w:after="0" w:line="143" w:lineRule="exact"/>
              <w:rPr>
                <w:sz w:val="20"/>
                <w:szCs w:val="20"/>
                <w:color w:val="auto"/>
              </w:rPr>
            </w:pPr>
            <w:r>
              <w:rPr>
                <w:rFonts w:ascii="Arial" w:cs="Arial" w:eastAsia="Arial" w:hAnsi="Arial"/>
                <w:sz w:val="13"/>
                <w:szCs w:val="13"/>
                <w:color w:val="auto"/>
              </w:rPr>
              <w:t>$</w:t>
            </w:r>
          </w:p>
        </w:tc>
        <w:tc>
          <w:tcPr>
            <w:tcW w:w="1680" w:type="dxa"/>
            <w:vAlign w:val="bottom"/>
            <w:shd w:val="clear" w:color="auto" w:fill="F0F5F1"/>
          </w:tcPr>
          <w:p>
            <w:pPr>
              <w:jc w:val="right"/>
              <w:ind w:right="34"/>
              <w:spacing w:after="0" w:line="143" w:lineRule="exact"/>
              <w:rPr>
                <w:sz w:val="20"/>
                <w:szCs w:val="20"/>
                <w:color w:val="auto"/>
              </w:rPr>
            </w:pPr>
            <w:r>
              <w:rPr>
                <w:rFonts w:ascii="Arial" w:cs="Arial" w:eastAsia="Arial" w:hAnsi="Arial"/>
                <w:sz w:val="13"/>
                <w:szCs w:val="13"/>
                <w:color w:val="auto"/>
              </w:rPr>
              <w:t>60,000,000</w:t>
            </w:r>
          </w:p>
        </w:tc>
        <w:tc>
          <w:tcPr>
            <w:tcW w:w="300" w:type="dxa"/>
            <w:vAlign w:val="bottom"/>
            <w:shd w:val="clear" w:color="auto" w:fill="F0F5F1"/>
          </w:tcPr>
          <w:p>
            <w:pPr>
              <w:jc w:val="right"/>
              <w:spacing w:after="0" w:line="143" w:lineRule="exact"/>
              <w:rPr>
                <w:sz w:val="20"/>
                <w:szCs w:val="20"/>
                <w:color w:val="auto"/>
              </w:rPr>
            </w:pPr>
            <w:r>
              <w:rPr>
                <w:rFonts w:ascii="Arial" w:cs="Arial" w:eastAsia="Arial" w:hAnsi="Arial"/>
                <w:sz w:val="13"/>
                <w:szCs w:val="13"/>
                <w:color w:val="auto"/>
              </w:rPr>
              <w:t>$</w:t>
            </w:r>
          </w:p>
        </w:tc>
        <w:tc>
          <w:tcPr>
            <w:tcW w:w="1780" w:type="dxa"/>
            <w:vAlign w:val="bottom"/>
            <w:shd w:val="clear" w:color="auto" w:fill="F0F5F1"/>
          </w:tcPr>
          <w:p>
            <w:pPr>
              <w:jc w:val="right"/>
              <w:ind w:right="134"/>
              <w:spacing w:after="0" w:line="143" w:lineRule="exact"/>
              <w:rPr>
                <w:sz w:val="20"/>
                <w:szCs w:val="20"/>
                <w:color w:val="auto"/>
              </w:rPr>
            </w:pPr>
            <w:r>
              <w:rPr>
                <w:rFonts w:ascii="Arial" w:cs="Arial" w:eastAsia="Arial" w:hAnsi="Arial"/>
                <w:sz w:val="13"/>
                <w:szCs w:val="13"/>
                <w:color w:val="auto"/>
              </w:rPr>
              <w:t>3,558</w:t>
            </w:r>
          </w:p>
        </w:tc>
        <w:tc>
          <w:tcPr>
            <w:tcW w:w="100" w:type="dxa"/>
            <w:vAlign w:val="bottom"/>
            <w:shd w:val="clear" w:color="auto" w:fill="F0F5F1"/>
          </w:tcPr>
          <w:p>
            <w:pPr>
              <w:spacing w:after="0"/>
              <w:rPr>
                <w:sz w:val="12"/>
                <w:szCs w:val="12"/>
                <w:color w:val="auto"/>
              </w:rPr>
            </w:pPr>
          </w:p>
        </w:tc>
        <w:tc>
          <w:tcPr>
            <w:tcW w:w="1680" w:type="dxa"/>
            <w:vAlign w:val="bottom"/>
            <w:shd w:val="clear" w:color="auto" w:fill="F0F5F1"/>
          </w:tcPr>
          <w:p>
            <w:pPr>
              <w:ind w:left="760"/>
              <w:spacing w:after="0" w:line="143"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8"/>
        </w:trPr>
        <w:tc>
          <w:tcPr>
            <w:tcW w:w="5500" w:type="dxa"/>
            <w:vAlign w:val="bottom"/>
            <w:shd w:val="clear" w:color="auto" w:fill="F0F5F1"/>
          </w:tcPr>
          <w:p>
            <w:pPr>
              <w:ind w:left="100"/>
              <w:spacing w:after="0"/>
              <w:rPr>
                <w:sz w:val="20"/>
                <w:szCs w:val="20"/>
                <w:color w:val="auto"/>
              </w:rPr>
            </w:pPr>
            <w:r>
              <w:rPr>
                <w:rFonts w:ascii="Arial" w:cs="Arial" w:eastAsia="Arial" w:hAnsi="Arial"/>
                <w:sz w:val="13"/>
                <w:szCs w:val="13"/>
                <w:color w:val="auto"/>
              </w:rPr>
              <w:t>Fiscal 2022 (as of December 31, 2022)</w:t>
            </w:r>
          </w:p>
        </w:tc>
        <w:tc>
          <w:tcPr>
            <w:tcW w:w="2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680" w:type="dxa"/>
            <w:vAlign w:val="bottom"/>
            <w:shd w:val="clear" w:color="auto" w:fill="F0F5F1"/>
          </w:tcPr>
          <w:p>
            <w:pPr>
              <w:jc w:val="right"/>
              <w:ind w:right="34"/>
              <w:spacing w:after="0"/>
              <w:rPr>
                <w:sz w:val="20"/>
                <w:szCs w:val="20"/>
                <w:color w:val="auto"/>
              </w:rPr>
            </w:pPr>
            <w:r>
              <w:rPr>
                <w:rFonts w:ascii="Arial" w:cs="Arial" w:eastAsia="Arial" w:hAnsi="Arial"/>
                <w:sz w:val="13"/>
                <w:szCs w:val="13"/>
                <w:color w:val="auto"/>
              </w:rPr>
              <w:t>55,600,000</w:t>
            </w:r>
          </w:p>
        </w:tc>
        <w:tc>
          <w:tcPr>
            <w:tcW w:w="3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780" w:type="dxa"/>
            <w:vAlign w:val="bottom"/>
            <w:shd w:val="clear" w:color="auto" w:fill="F0F5F1"/>
          </w:tcPr>
          <w:p>
            <w:pPr>
              <w:jc w:val="right"/>
              <w:ind w:right="134"/>
              <w:spacing w:after="0"/>
              <w:rPr>
                <w:sz w:val="20"/>
                <w:szCs w:val="20"/>
                <w:color w:val="auto"/>
              </w:rPr>
            </w:pPr>
            <w:r>
              <w:rPr>
                <w:rFonts w:ascii="Arial" w:cs="Arial" w:eastAsia="Arial" w:hAnsi="Arial"/>
                <w:sz w:val="13"/>
                <w:szCs w:val="13"/>
                <w:color w:val="auto"/>
              </w:rPr>
              <w:t>3,656</w:t>
            </w:r>
          </w:p>
        </w:tc>
        <w:tc>
          <w:tcPr>
            <w:tcW w:w="100" w:type="dxa"/>
            <w:vAlign w:val="bottom"/>
            <w:shd w:val="clear" w:color="auto" w:fill="F0F5F1"/>
          </w:tcPr>
          <w:p>
            <w:pPr>
              <w:spacing w:after="0"/>
              <w:rPr>
                <w:sz w:val="13"/>
                <w:szCs w:val="13"/>
                <w:color w:val="auto"/>
              </w:rPr>
            </w:pPr>
          </w:p>
        </w:tc>
        <w:tc>
          <w:tcPr>
            <w:tcW w:w="1680" w:type="dxa"/>
            <w:vAlign w:val="bottom"/>
            <w:shd w:val="clear" w:color="auto" w:fill="F0F5F1"/>
          </w:tcPr>
          <w:p>
            <w:pPr>
              <w:ind w:left="7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80" w:hanging="579"/>
        <w:spacing w:after="0"/>
        <w:tabs>
          <w:tab w:leader="none" w:pos="580" w:val="left"/>
        </w:tabs>
        <w:numPr>
          <w:ilvl w:val="0"/>
          <w:numId w:val="22"/>
        </w:numPr>
        <w:rPr>
          <w:rFonts w:ascii="Arial" w:cs="Arial" w:eastAsia="Arial" w:hAnsi="Arial"/>
          <w:sz w:val="13"/>
          <w:szCs w:val="13"/>
          <w:color w:val="286B38"/>
        </w:rPr>
      </w:pPr>
      <w:r>
        <w:rPr>
          <w:rFonts w:ascii="Arial" w:cs="Arial" w:eastAsia="Arial" w:hAnsi="Arial"/>
          <w:sz w:val="13"/>
          <w:szCs w:val="13"/>
          <w:color w:val="296B38"/>
        </w:rPr>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38"/>
        </w:trPr>
        <w:tc>
          <w:tcPr>
            <w:tcW w:w="5500" w:type="dxa"/>
            <w:vAlign w:val="bottom"/>
            <w:shd w:val="clear" w:color="auto" w:fill="F0F5F1"/>
          </w:tcPr>
          <w:p>
            <w:pPr>
              <w:spacing w:after="0"/>
              <w:rPr>
                <w:sz w:val="12"/>
                <w:szCs w:val="12"/>
                <w:color w:val="auto"/>
              </w:rPr>
            </w:pPr>
          </w:p>
        </w:tc>
        <w:tc>
          <w:tcPr>
            <w:tcW w:w="200" w:type="dxa"/>
            <w:vAlign w:val="bottom"/>
            <w:shd w:val="clear" w:color="auto" w:fill="F0F5F1"/>
          </w:tcPr>
          <w:p>
            <w:pPr>
              <w:spacing w:after="0"/>
              <w:rPr>
                <w:sz w:val="12"/>
                <w:szCs w:val="12"/>
                <w:color w:val="auto"/>
              </w:rPr>
            </w:pPr>
          </w:p>
        </w:tc>
        <w:tc>
          <w:tcPr>
            <w:tcW w:w="1720" w:type="dxa"/>
            <w:vAlign w:val="bottom"/>
            <w:shd w:val="clear" w:color="auto" w:fill="F0F5F1"/>
          </w:tcPr>
          <w:p>
            <w:pPr>
              <w:spacing w:after="0"/>
              <w:rPr>
                <w:sz w:val="12"/>
                <w:szCs w:val="12"/>
                <w:color w:val="auto"/>
              </w:rPr>
            </w:pPr>
          </w:p>
        </w:tc>
        <w:tc>
          <w:tcPr>
            <w:tcW w:w="360" w:type="dxa"/>
            <w:vAlign w:val="bottom"/>
            <w:shd w:val="clear" w:color="auto" w:fill="F0F5F1"/>
          </w:tcPr>
          <w:p>
            <w:pPr>
              <w:spacing w:after="0"/>
              <w:rPr>
                <w:sz w:val="12"/>
                <w:szCs w:val="12"/>
                <w:color w:val="auto"/>
              </w:rPr>
            </w:pPr>
          </w:p>
        </w:tc>
        <w:tc>
          <w:tcPr>
            <w:tcW w:w="1840" w:type="dxa"/>
            <w:vAlign w:val="bottom"/>
            <w:shd w:val="clear" w:color="auto" w:fill="F0F5F1"/>
          </w:tcPr>
          <w:p>
            <w:pPr>
              <w:spacing w:after="0"/>
              <w:rPr>
                <w:sz w:val="12"/>
                <w:szCs w:val="12"/>
                <w:color w:val="auto"/>
              </w:rPr>
            </w:pPr>
          </w:p>
        </w:tc>
        <w:tc>
          <w:tcPr>
            <w:tcW w:w="1620" w:type="dxa"/>
            <w:vAlign w:val="bottom"/>
            <w:shd w:val="clear" w:color="auto" w:fill="F0F5F1"/>
          </w:tcPr>
          <w:p>
            <w:pPr>
              <w:jc w:val="center"/>
              <w:spacing w:after="0"/>
              <w:rPr>
                <w:sz w:val="20"/>
                <w:szCs w:val="20"/>
                <w:color w:val="auto"/>
              </w:rPr>
            </w:pPr>
            <w:r>
              <w:rPr>
                <w:rFonts w:ascii="Arial" w:cs="Arial" w:eastAsia="Arial" w:hAnsi="Arial"/>
                <w:sz w:val="12"/>
                <w:szCs w:val="12"/>
                <w:b w:val="1"/>
                <w:bCs w:val="1"/>
                <w:color w:val="auto"/>
                <w:w w:val="97"/>
              </w:rPr>
              <w:t>Average</w:t>
            </w:r>
          </w:p>
        </w:tc>
        <w:tc>
          <w:tcPr>
            <w:tcW w:w="0" w:type="dxa"/>
            <w:vAlign w:val="bottom"/>
          </w:tcPr>
          <w:p>
            <w:pPr>
              <w:spacing w:after="0"/>
              <w:rPr>
                <w:sz w:val="1"/>
                <w:szCs w:val="1"/>
                <w:color w:val="auto"/>
              </w:rPr>
            </w:pPr>
          </w:p>
        </w:tc>
      </w:tr>
      <w:tr>
        <w:trPr>
          <w:trHeight w:val="126"/>
        </w:trPr>
        <w:tc>
          <w:tcPr>
            <w:tcW w:w="5500" w:type="dxa"/>
            <w:vAlign w:val="bottom"/>
            <w:shd w:val="clear" w:color="auto" w:fill="F0F5F1"/>
          </w:tcPr>
          <w:p>
            <w:pPr>
              <w:spacing w:after="0"/>
              <w:rPr>
                <w:sz w:val="10"/>
                <w:szCs w:val="10"/>
                <w:color w:val="auto"/>
              </w:rPr>
            </w:pPr>
          </w:p>
        </w:tc>
        <w:tc>
          <w:tcPr>
            <w:tcW w:w="200" w:type="dxa"/>
            <w:vAlign w:val="bottom"/>
            <w:shd w:val="clear" w:color="auto" w:fill="F0F5F1"/>
          </w:tcPr>
          <w:p>
            <w:pPr>
              <w:spacing w:after="0"/>
              <w:rPr>
                <w:sz w:val="10"/>
                <w:szCs w:val="10"/>
                <w:color w:val="auto"/>
              </w:rPr>
            </w:pPr>
          </w:p>
        </w:tc>
        <w:tc>
          <w:tcPr>
            <w:tcW w:w="1720" w:type="dxa"/>
            <w:vAlign w:val="bottom"/>
            <w:vMerge w:val="restart"/>
            <w:shd w:val="clear" w:color="auto" w:fill="F0F5F1"/>
          </w:tcPr>
          <w:p>
            <w:pPr>
              <w:jc w:val="right"/>
              <w:ind w:right="496"/>
              <w:spacing w:after="0"/>
              <w:rPr>
                <w:sz w:val="20"/>
                <w:szCs w:val="20"/>
                <w:color w:val="auto"/>
              </w:rPr>
            </w:pPr>
            <w:r>
              <w:rPr>
                <w:rFonts w:ascii="Arial" w:cs="Arial" w:eastAsia="Arial" w:hAnsi="Arial"/>
                <w:sz w:val="12"/>
                <w:szCs w:val="12"/>
                <w:b w:val="1"/>
                <w:bCs w:val="1"/>
                <w:color w:val="auto"/>
              </w:rPr>
              <w:t>Total Amount</w:t>
            </w:r>
          </w:p>
        </w:tc>
        <w:tc>
          <w:tcPr>
            <w:tcW w:w="360" w:type="dxa"/>
            <w:vAlign w:val="bottom"/>
            <w:shd w:val="clear" w:color="auto" w:fill="F0F5F1"/>
          </w:tcPr>
          <w:p>
            <w:pPr>
              <w:spacing w:after="0"/>
              <w:rPr>
                <w:sz w:val="10"/>
                <w:szCs w:val="10"/>
                <w:color w:val="auto"/>
              </w:rPr>
            </w:pPr>
          </w:p>
        </w:tc>
        <w:tc>
          <w:tcPr>
            <w:tcW w:w="1840" w:type="dxa"/>
            <w:vAlign w:val="bottom"/>
            <w:vMerge w:val="restart"/>
            <w:shd w:val="clear" w:color="auto" w:fill="F0F5F1"/>
          </w:tcPr>
          <w:p>
            <w:pPr>
              <w:jc w:val="right"/>
              <w:ind w:right="536"/>
              <w:spacing w:after="0"/>
              <w:rPr>
                <w:sz w:val="20"/>
                <w:szCs w:val="20"/>
                <w:color w:val="auto"/>
              </w:rPr>
            </w:pPr>
            <w:r>
              <w:rPr>
                <w:rFonts w:ascii="Arial" w:cs="Arial" w:eastAsia="Arial" w:hAnsi="Arial"/>
                <w:sz w:val="12"/>
                <w:szCs w:val="12"/>
                <w:b w:val="1"/>
                <w:bCs w:val="1"/>
                <w:color w:val="auto"/>
              </w:rPr>
              <w:t>Asset Coverage Per</w:t>
            </w:r>
          </w:p>
        </w:tc>
        <w:tc>
          <w:tcPr>
            <w:tcW w:w="1620" w:type="dxa"/>
            <w:vAlign w:val="bottom"/>
            <w:shd w:val="clear" w:color="auto" w:fill="F0F5F1"/>
          </w:tcPr>
          <w:p>
            <w:pPr>
              <w:jc w:val="center"/>
              <w:spacing w:after="0" w:line="126" w:lineRule="exact"/>
              <w:rPr>
                <w:sz w:val="20"/>
                <w:szCs w:val="20"/>
                <w:color w:val="auto"/>
              </w:rPr>
            </w:pPr>
            <w:r>
              <w:rPr>
                <w:rFonts w:ascii="Arial" w:cs="Arial" w:eastAsia="Arial" w:hAnsi="Arial"/>
                <w:sz w:val="12"/>
                <w:szCs w:val="12"/>
                <w:b w:val="1"/>
                <w:bCs w:val="1"/>
                <w:color w:val="auto"/>
                <w:w w:val="97"/>
              </w:rPr>
              <w:t>Market Value</w:t>
            </w:r>
          </w:p>
        </w:tc>
        <w:tc>
          <w:tcPr>
            <w:tcW w:w="0" w:type="dxa"/>
            <w:vAlign w:val="bottom"/>
          </w:tcPr>
          <w:p>
            <w:pPr>
              <w:spacing w:after="0"/>
              <w:rPr>
                <w:sz w:val="1"/>
                <w:szCs w:val="1"/>
                <w:color w:val="auto"/>
              </w:rPr>
            </w:pPr>
          </w:p>
        </w:tc>
      </w:tr>
      <w:tr>
        <w:trPr>
          <w:trHeight w:val="118"/>
        </w:trPr>
        <w:tc>
          <w:tcPr>
            <w:tcW w:w="5500" w:type="dxa"/>
            <w:vAlign w:val="bottom"/>
            <w:vMerge w:val="restart"/>
            <w:shd w:val="clear" w:color="auto" w:fill="F0F5F1"/>
          </w:tcPr>
          <w:p>
            <w:pPr>
              <w:ind w:left="100"/>
              <w:spacing w:after="0"/>
              <w:rPr>
                <w:sz w:val="20"/>
                <w:szCs w:val="20"/>
                <w:color w:val="auto"/>
              </w:rPr>
            </w:pPr>
            <w:r>
              <w:rPr>
                <w:rFonts w:ascii="Arial" w:cs="Arial" w:eastAsia="Arial" w:hAnsi="Arial"/>
                <w:sz w:val="12"/>
                <w:szCs w:val="12"/>
                <w:b w:val="1"/>
                <w:bCs w:val="1"/>
                <w:color w:val="auto"/>
              </w:rPr>
              <w:t>Class and Year</w:t>
            </w:r>
            <w:r>
              <w:rPr>
                <w:rFonts w:ascii="Arial" w:cs="Arial" w:eastAsia="Arial" w:hAnsi="Arial"/>
                <w:sz w:val="19"/>
                <w:szCs w:val="19"/>
                <w:b w:val="1"/>
                <w:bCs w:val="1"/>
                <w:color w:val="auto"/>
                <w:vertAlign w:val="superscript"/>
              </w:rPr>
              <w:t>(a)</w:t>
            </w:r>
          </w:p>
        </w:tc>
        <w:tc>
          <w:tcPr>
            <w:tcW w:w="200" w:type="dxa"/>
            <w:vAlign w:val="bottom"/>
            <w:shd w:val="clear" w:color="auto" w:fill="F0F5F1"/>
          </w:tcPr>
          <w:p>
            <w:pPr>
              <w:spacing w:after="0"/>
              <w:rPr>
                <w:sz w:val="10"/>
                <w:szCs w:val="10"/>
                <w:color w:val="auto"/>
              </w:rPr>
            </w:pPr>
          </w:p>
        </w:tc>
        <w:tc>
          <w:tcPr>
            <w:tcW w:w="1720" w:type="dxa"/>
            <w:vAlign w:val="bottom"/>
            <w:vMerge w:val="continue"/>
            <w:shd w:val="clear" w:color="auto" w:fill="F0F5F1"/>
          </w:tcPr>
          <w:p>
            <w:pPr>
              <w:spacing w:after="0"/>
              <w:rPr>
                <w:sz w:val="10"/>
                <w:szCs w:val="10"/>
                <w:color w:val="auto"/>
              </w:rPr>
            </w:pPr>
          </w:p>
        </w:tc>
        <w:tc>
          <w:tcPr>
            <w:tcW w:w="360" w:type="dxa"/>
            <w:vAlign w:val="bottom"/>
            <w:shd w:val="clear" w:color="auto" w:fill="F0F5F1"/>
          </w:tcPr>
          <w:p>
            <w:pPr>
              <w:spacing w:after="0"/>
              <w:rPr>
                <w:sz w:val="10"/>
                <w:szCs w:val="10"/>
                <w:color w:val="auto"/>
              </w:rPr>
            </w:pPr>
          </w:p>
        </w:tc>
        <w:tc>
          <w:tcPr>
            <w:tcW w:w="1840" w:type="dxa"/>
            <w:vAlign w:val="bottom"/>
            <w:vMerge w:val="continue"/>
            <w:shd w:val="clear" w:color="auto" w:fill="F0F5F1"/>
          </w:tcPr>
          <w:p>
            <w:pPr>
              <w:spacing w:after="0"/>
              <w:rPr>
                <w:sz w:val="10"/>
                <w:szCs w:val="10"/>
                <w:color w:val="auto"/>
              </w:rPr>
            </w:pPr>
          </w:p>
        </w:tc>
        <w:tc>
          <w:tcPr>
            <w:tcW w:w="1620" w:type="dxa"/>
            <w:vAlign w:val="bottom"/>
            <w:shd w:val="clear" w:color="auto" w:fill="F0F5F1"/>
          </w:tcPr>
          <w:p>
            <w:pPr>
              <w:jc w:val="center"/>
              <w:spacing w:after="0" w:line="118" w:lineRule="exact"/>
              <w:rPr>
                <w:sz w:val="20"/>
                <w:szCs w:val="20"/>
                <w:color w:val="auto"/>
              </w:rPr>
            </w:pPr>
            <w:r>
              <w:rPr>
                <w:rFonts w:ascii="Arial" w:cs="Arial" w:eastAsia="Arial" w:hAnsi="Arial"/>
                <w:sz w:val="12"/>
                <w:szCs w:val="12"/>
                <w:b w:val="1"/>
                <w:bCs w:val="1"/>
                <w:color w:val="auto"/>
                <w:w w:val="97"/>
              </w:rPr>
              <w:t>(excludes Bank</w:t>
            </w:r>
          </w:p>
        </w:tc>
        <w:tc>
          <w:tcPr>
            <w:tcW w:w="0" w:type="dxa"/>
            <w:vAlign w:val="bottom"/>
          </w:tcPr>
          <w:p>
            <w:pPr>
              <w:spacing w:after="0"/>
              <w:rPr>
                <w:sz w:val="1"/>
                <w:szCs w:val="1"/>
                <w:color w:val="auto"/>
              </w:rPr>
            </w:pPr>
          </w:p>
        </w:tc>
      </w:tr>
      <w:tr>
        <w:trPr>
          <w:trHeight w:val="176"/>
        </w:trPr>
        <w:tc>
          <w:tcPr>
            <w:tcW w:w="5500" w:type="dxa"/>
            <w:vAlign w:val="bottom"/>
            <w:tcBorders>
              <w:bottom w:val="single" w:sz="8" w:color="auto"/>
            </w:tcBorders>
            <w:vMerge w:val="continue"/>
            <w:shd w:val="clear" w:color="auto" w:fill="F0F5F1"/>
          </w:tcPr>
          <w:p>
            <w:pPr>
              <w:spacing w:after="0"/>
              <w:rPr>
                <w:sz w:val="15"/>
                <w:szCs w:val="15"/>
                <w:color w:val="auto"/>
              </w:rPr>
            </w:pPr>
          </w:p>
        </w:tc>
        <w:tc>
          <w:tcPr>
            <w:tcW w:w="200" w:type="dxa"/>
            <w:vAlign w:val="bottom"/>
            <w:tcBorders>
              <w:bottom w:val="single" w:sz="8" w:color="auto"/>
            </w:tcBorders>
            <w:shd w:val="clear" w:color="auto" w:fill="F0F5F1"/>
          </w:tcPr>
          <w:p>
            <w:pPr>
              <w:spacing w:after="0"/>
              <w:rPr>
                <w:sz w:val="15"/>
                <w:szCs w:val="15"/>
                <w:color w:val="auto"/>
              </w:rPr>
            </w:pPr>
          </w:p>
        </w:tc>
        <w:tc>
          <w:tcPr>
            <w:tcW w:w="1720" w:type="dxa"/>
            <w:vAlign w:val="bottom"/>
            <w:tcBorders>
              <w:bottom w:val="single" w:sz="8" w:color="auto"/>
            </w:tcBorders>
            <w:shd w:val="clear" w:color="auto" w:fill="F0F5F1"/>
          </w:tcPr>
          <w:p>
            <w:pPr>
              <w:jc w:val="right"/>
              <w:ind w:right="456"/>
              <w:spacing w:after="0" w:line="176"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9"/>
                <w:szCs w:val="19"/>
                <w:b w:val="1"/>
                <w:bCs w:val="1"/>
                <w:color w:val="auto"/>
                <w:vertAlign w:val="superscript"/>
              </w:rPr>
              <w:t>(b)</w:t>
            </w:r>
          </w:p>
        </w:tc>
        <w:tc>
          <w:tcPr>
            <w:tcW w:w="360" w:type="dxa"/>
            <w:vAlign w:val="bottom"/>
            <w:tcBorders>
              <w:bottom w:val="single" w:sz="8" w:color="auto"/>
            </w:tcBorders>
            <w:shd w:val="clear" w:color="auto" w:fill="F0F5F1"/>
          </w:tcPr>
          <w:p>
            <w:pPr>
              <w:spacing w:after="0"/>
              <w:rPr>
                <w:sz w:val="15"/>
                <w:szCs w:val="15"/>
                <w:color w:val="auto"/>
              </w:rPr>
            </w:pPr>
          </w:p>
        </w:tc>
        <w:tc>
          <w:tcPr>
            <w:tcW w:w="1840" w:type="dxa"/>
            <w:vAlign w:val="bottom"/>
            <w:tcBorders>
              <w:bottom w:val="single" w:sz="8" w:color="auto"/>
            </w:tcBorders>
            <w:shd w:val="clear" w:color="auto" w:fill="F0F5F1"/>
          </w:tcPr>
          <w:p>
            <w:pPr>
              <w:jc w:val="right"/>
              <w:ind w:right="916"/>
              <w:spacing w:after="0" w:line="176" w:lineRule="exact"/>
              <w:rPr>
                <w:sz w:val="20"/>
                <w:szCs w:val="20"/>
                <w:color w:val="auto"/>
              </w:rPr>
            </w:pPr>
            <w:r>
              <w:rPr>
                <w:rFonts w:ascii="Arial" w:cs="Arial" w:eastAsia="Arial" w:hAnsi="Arial"/>
                <w:sz w:val="12"/>
                <w:szCs w:val="12"/>
                <w:b w:val="1"/>
                <w:bCs w:val="1"/>
                <w:color w:val="auto"/>
              </w:rPr>
              <w:t>Unit</w:t>
            </w:r>
            <w:r>
              <w:rPr>
                <w:rFonts w:ascii="Arial" w:cs="Arial" w:eastAsia="Arial" w:hAnsi="Arial"/>
                <w:sz w:val="19"/>
                <w:szCs w:val="19"/>
                <w:b w:val="1"/>
                <w:bCs w:val="1"/>
                <w:color w:val="auto"/>
                <w:vertAlign w:val="superscript"/>
              </w:rPr>
              <w:t>(c)</w:t>
            </w:r>
          </w:p>
        </w:tc>
        <w:tc>
          <w:tcPr>
            <w:tcW w:w="162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2"/>
                <w:szCs w:val="12"/>
                <w:b w:val="1"/>
                <w:bCs w:val="1"/>
                <w:color w:val="auto"/>
                <w:w w:val="96"/>
              </w:rPr>
              <w:t>Loans)</w:t>
            </w:r>
          </w:p>
        </w:tc>
        <w:tc>
          <w:tcPr>
            <w:tcW w:w="0" w:type="dxa"/>
            <w:vAlign w:val="bottom"/>
          </w:tcPr>
          <w:p>
            <w:pPr>
              <w:spacing w:after="0"/>
              <w:rPr>
                <w:sz w:val="1"/>
                <w:szCs w:val="1"/>
                <w:color w:val="auto"/>
              </w:rPr>
            </w:pPr>
          </w:p>
        </w:tc>
      </w:tr>
      <w:tr>
        <w:trPr>
          <w:trHeight w:val="143"/>
        </w:trPr>
        <w:tc>
          <w:tcPr>
            <w:tcW w:w="5500" w:type="dxa"/>
            <w:vAlign w:val="bottom"/>
            <w:shd w:val="clear" w:color="auto" w:fill="F0F5F1"/>
          </w:tcPr>
          <w:p>
            <w:pPr>
              <w:ind w:left="100"/>
              <w:spacing w:after="0" w:line="144" w:lineRule="exact"/>
              <w:rPr>
                <w:sz w:val="20"/>
                <w:szCs w:val="20"/>
                <w:color w:val="auto"/>
              </w:rPr>
            </w:pPr>
            <w:r>
              <w:rPr>
                <w:rFonts w:ascii="Arial" w:cs="Arial" w:eastAsia="Arial" w:hAnsi="Arial"/>
                <w:sz w:val="13"/>
                <w:szCs w:val="13"/>
                <w:color w:val="auto"/>
              </w:rPr>
              <w:t>Fiscal 2023 (as of December 31, 2023)</w:t>
            </w:r>
          </w:p>
        </w:tc>
        <w:tc>
          <w:tcPr>
            <w:tcW w:w="200" w:type="dxa"/>
            <w:vAlign w:val="bottom"/>
            <w:shd w:val="clear" w:color="auto" w:fill="F0F5F1"/>
          </w:tcPr>
          <w:p>
            <w:pPr>
              <w:jc w:val="right"/>
              <w:spacing w:after="0" w:line="144" w:lineRule="exact"/>
              <w:rPr>
                <w:sz w:val="20"/>
                <w:szCs w:val="20"/>
                <w:color w:val="auto"/>
              </w:rPr>
            </w:pPr>
            <w:r>
              <w:rPr>
                <w:rFonts w:ascii="Arial" w:cs="Arial" w:eastAsia="Arial" w:hAnsi="Arial"/>
                <w:sz w:val="13"/>
                <w:szCs w:val="13"/>
                <w:color w:val="auto"/>
              </w:rPr>
              <w:t>$</w:t>
            </w:r>
          </w:p>
        </w:tc>
        <w:tc>
          <w:tcPr>
            <w:tcW w:w="1720" w:type="dxa"/>
            <w:vAlign w:val="bottom"/>
            <w:shd w:val="clear" w:color="auto" w:fill="F0F5F1"/>
          </w:tcPr>
          <w:p>
            <w:pPr>
              <w:jc w:val="right"/>
              <w:ind w:right="76"/>
              <w:spacing w:after="0" w:line="144" w:lineRule="exact"/>
              <w:rPr>
                <w:sz w:val="20"/>
                <w:szCs w:val="20"/>
                <w:color w:val="auto"/>
              </w:rPr>
            </w:pPr>
            <w:r>
              <w:rPr>
                <w:rFonts w:ascii="Arial" w:cs="Arial" w:eastAsia="Arial" w:hAnsi="Arial"/>
                <w:sz w:val="13"/>
                <w:szCs w:val="13"/>
                <w:color w:val="auto"/>
              </w:rPr>
              <w:t>45,000,000</w:t>
            </w:r>
          </w:p>
        </w:tc>
        <w:tc>
          <w:tcPr>
            <w:tcW w:w="360" w:type="dxa"/>
            <w:vAlign w:val="bottom"/>
            <w:shd w:val="clear" w:color="auto" w:fill="F0F5F1"/>
          </w:tcPr>
          <w:p>
            <w:pPr>
              <w:jc w:val="right"/>
              <w:ind w:right="53"/>
              <w:spacing w:after="0" w:line="144" w:lineRule="exact"/>
              <w:rPr>
                <w:sz w:val="20"/>
                <w:szCs w:val="20"/>
                <w:color w:val="auto"/>
              </w:rPr>
            </w:pPr>
            <w:r>
              <w:rPr>
                <w:rFonts w:ascii="Arial" w:cs="Arial" w:eastAsia="Arial" w:hAnsi="Arial"/>
                <w:sz w:val="13"/>
                <w:szCs w:val="13"/>
                <w:color w:val="auto"/>
              </w:rPr>
              <w:t>$</w:t>
            </w:r>
          </w:p>
        </w:tc>
        <w:tc>
          <w:tcPr>
            <w:tcW w:w="1840" w:type="dxa"/>
            <w:vAlign w:val="bottom"/>
            <w:shd w:val="clear" w:color="auto" w:fill="F0F5F1"/>
          </w:tcPr>
          <w:p>
            <w:pPr>
              <w:jc w:val="right"/>
              <w:ind w:right="296"/>
              <w:spacing w:after="0" w:line="144" w:lineRule="exact"/>
              <w:rPr>
                <w:sz w:val="20"/>
                <w:szCs w:val="20"/>
                <w:color w:val="auto"/>
              </w:rPr>
            </w:pPr>
            <w:r>
              <w:rPr>
                <w:rFonts w:ascii="Arial" w:cs="Arial" w:eastAsia="Arial" w:hAnsi="Arial"/>
                <w:sz w:val="13"/>
                <w:szCs w:val="13"/>
                <w:color w:val="auto"/>
              </w:rPr>
              <w:t>4,387</w:t>
            </w:r>
          </w:p>
        </w:tc>
        <w:tc>
          <w:tcPr>
            <w:tcW w:w="1620" w:type="dxa"/>
            <w:vAlign w:val="bottom"/>
            <w:shd w:val="clear" w:color="auto" w:fill="F0F5F1"/>
          </w:tcPr>
          <w:p>
            <w:pPr>
              <w:ind w:left="700"/>
              <w:spacing w:after="0" w:line="144"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500" w:type="dxa"/>
            <w:vAlign w:val="bottom"/>
            <w:shd w:val="clear" w:color="auto" w:fill="F0F5F1"/>
          </w:tcPr>
          <w:p>
            <w:pPr>
              <w:ind w:left="100"/>
              <w:spacing w:after="0"/>
              <w:rPr>
                <w:sz w:val="20"/>
                <w:szCs w:val="20"/>
                <w:color w:val="auto"/>
              </w:rPr>
            </w:pPr>
            <w:r>
              <w:rPr>
                <w:rFonts w:ascii="Arial" w:cs="Arial" w:eastAsia="Arial" w:hAnsi="Arial"/>
                <w:sz w:val="13"/>
                <w:szCs w:val="13"/>
                <w:color w:val="auto"/>
              </w:rPr>
              <w:t>Fiscal 2024 (as of December 31, 2024)</w:t>
            </w:r>
          </w:p>
        </w:tc>
        <w:tc>
          <w:tcPr>
            <w:tcW w:w="2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720" w:type="dxa"/>
            <w:vAlign w:val="bottom"/>
            <w:shd w:val="clear" w:color="auto" w:fill="F0F5F1"/>
          </w:tcPr>
          <w:p>
            <w:pPr>
              <w:jc w:val="right"/>
              <w:ind w:right="76"/>
              <w:spacing w:after="0"/>
              <w:rPr>
                <w:sz w:val="20"/>
                <w:szCs w:val="20"/>
                <w:color w:val="auto"/>
              </w:rPr>
            </w:pPr>
            <w:r>
              <w:rPr>
                <w:rFonts w:ascii="Arial" w:cs="Arial" w:eastAsia="Arial" w:hAnsi="Arial"/>
                <w:sz w:val="13"/>
                <w:szCs w:val="13"/>
                <w:color w:val="auto"/>
              </w:rPr>
              <w:t>46,800,000</w:t>
            </w:r>
          </w:p>
        </w:tc>
        <w:tc>
          <w:tcPr>
            <w:tcW w:w="360" w:type="dxa"/>
            <w:vAlign w:val="bottom"/>
            <w:shd w:val="clear" w:color="auto" w:fill="F0F5F1"/>
          </w:tcPr>
          <w:p>
            <w:pPr>
              <w:jc w:val="right"/>
              <w:ind w:right="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F0F5F1"/>
          </w:tcPr>
          <w:p>
            <w:pPr>
              <w:jc w:val="right"/>
              <w:ind w:right="296"/>
              <w:spacing w:after="0"/>
              <w:rPr>
                <w:sz w:val="20"/>
                <w:szCs w:val="20"/>
                <w:color w:val="auto"/>
              </w:rPr>
            </w:pPr>
            <w:r>
              <w:rPr>
                <w:rFonts w:ascii="Arial" w:cs="Arial" w:eastAsia="Arial" w:hAnsi="Arial"/>
                <w:sz w:val="13"/>
                <w:szCs w:val="13"/>
                <w:color w:val="auto"/>
              </w:rPr>
              <w:t>4,314</w:t>
            </w:r>
          </w:p>
        </w:tc>
        <w:tc>
          <w:tcPr>
            <w:tcW w:w="1620" w:type="dxa"/>
            <w:vAlign w:val="bottom"/>
            <w:shd w:val="clear" w:color="auto" w:fill="F0F5F1"/>
          </w:tcPr>
          <w:p>
            <w:pPr>
              <w:ind w:left="7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500" w:type="dxa"/>
            <w:vAlign w:val="bottom"/>
            <w:shd w:val="clear" w:color="auto" w:fill="F0F5F1"/>
          </w:tcPr>
          <w:p>
            <w:pPr>
              <w:ind w:left="100"/>
              <w:spacing w:after="0"/>
              <w:rPr>
                <w:sz w:val="20"/>
                <w:szCs w:val="20"/>
                <w:color w:val="auto"/>
              </w:rPr>
            </w:pPr>
            <w:r>
              <w:rPr>
                <w:rFonts w:ascii="Arial" w:cs="Arial" w:eastAsia="Arial" w:hAnsi="Arial"/>
                <w:sz w:val="13"/>
                <w:szCs w:val="13"/>
                <w:color w:val="auto"/>
              </w:rPr>
              <w:t>Fiscal 2025 (as of December 31, 2025)</w:t>
            </w:r>
          </w:p>
        </w:tc>
        <w:tc>
          <w:tcPr>
            <w:tcW w:w="20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720" w:type="dxa"/>
            <w:vAlign w:val="bottom"/>
            <w:shd w:val="clear" w:color="auto" w:fill="F0F5F1"/>
          </w:tcPr>
          <w:p>
            <w:pPr>
              <w:jc w:val="right"/>
              <w:ind w:right="76"/>
              <w:spacing w:after="0"/>
              <w:rPr>
                <w:sz w:val="20"/>
                <w:szCs w:val="20"/>
                <w:color w:val="auto"/>
              </w:rPr>
            </w:pPr>
            <w:r>
              <w:rPr>
                <w:rFonts w:ascii="Arial" w:cs="Arial" w:eastAsia="Arial" w:hAnsi="Arial"/>
                <w:sz w:val="13"/>
                <w:szCs w:val="13"/>
                <w:color w:val="auto"/>
              </w:rPr>
              <w:t>25,200,000</w:t>
            </w:r>
          </w:p>
        </w:tc>
        <w:tc>
          <w:tcPr>
            <w:tcW w:w="360" w:type="dxa"/>
            <w:vAlign w:val="bottom"/>
            <w:shd w:val="clear" w:color="auto" w:fill="F0F5F1"/>
          </w:tcPr>
          <w:p>
            <w:pPr>
              <w:jc w:val="right"/>
              <w:ind w:right="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F0F5F1"/>
          </w:tcPr>
          <w:p>
            <w:pPr>
              <w:jc w:val="right"/>
              <w:ind w:right="296"/>
              <w:spacing w:after="0"/>
              <w:rPr>
                <w:sz w:val="20"/>
                <w:szCs w:val="20"/>
                <w:color w:val="auto"/>
              </w:rPr>
            </w:pPr>
            <w:r>
              <w:rPr>
                <w:rFonts w:ascii="Arial" w:cs="Arial" w:eastAsia="Arial" w:hAnsi="Arial"/>
                <w:sz w:val="13"/>
                <w:szCs w:val="13"/>
                <w:color w:val="auto"/>
              </w:rPr>
              <w:t>7,807</w:t>
            </w:r>
          </w:p>
        </w:tc>
        <w:tc>
          <w:tcPr>
            <w:tcW w:w="1620" w:type="dxa"/>
            <w:vAlign w:val="bottom"/>
            <w:shd w:val="clear" w:color="auto" w:fill="F0F5F1"/>
          </w:tcPr>
          <w:p>
            <w:pPr>
              <w:ind w:left="7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87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49" w:lineRule="exact"/>
        <w:rPr>
          <w:sz w:val="20"/>
          <w:szCs w:val="20"/>
          <w:color w:val="auto"/>
        </w:rPr>
      </w:pPr>
    </w:p>
    <w:p>
      <w:pPr>
        <w:jc w:val="both"/>
        <w:ind w:left="240" w:hanging="239"/>
        <w:spacing w:after="0" w:line="219" w:lineRule="auto"/>
        <w:tabs>
          <w:tab w:leader="none" w:pos="240" w:val="left"/>
        </w:tabs>
        <w:numPr>
          <w:ilvl w:val="0"/>
          <w:numId w:val="23"/>
        </w:numPr>
        <w:rPr>
          <w:rFonts w:ascii="Arial" w:cs="Arial" w:eastAsia="Arial" w:hAnsi="Arial"/>
          <w:sz w:val="22"/>
          <w:szCs w:val="22"/>
          <w:color w:val="auto"/>
          <w:vertAlign w:val="superscript"/>
        </w:rPr>
      </w:pPr>
      <w:r>
        <w:rPr>
          <w:rFonts w:ascii="Arial" w:cs="Arial" w:eastAsia="Arial" w:hAnsi="Arial"/>
          <w:sz w:val="13"/>
          <w:szCs w:val="13"/>
          <w:color w:val="auto"/>
        </w:rPr>
        <w:t>On June 9, 2014, the Company entered into the Credit Facility, a revolving credit agreement which had an initial aggregate principal amount of up to $45,000,000 and stated maturity date of June 9, 2019. The interest rate applicable to borrowings thereunder was generally LIBOR plus an applicable margin of 2.85%. The Credit Facility’s commitment was increased to $70 million on January 16, 2015.The Credit Facility was further amended in May 2017 to reflect a single lender, Texas Capital Bank, N.A., a reduced rate of LIBOR +2.35% and a maximum borrowing amount of $62 million. In May 2022, the Credit Facility was further amended to reflect the addition of two lenders, a new rate of SOFR +2.61% and a maximum borrowing amount of $70 million. See “Leverage—Effects of Leverage” for a description of our revolving credit agreement.</w:t>
      </w:r>
    </w:p>
    <w:p>
      <w:pPr>
        <w:spacing w:after="0" w:line="1" w:lineRule="exact"/>
        <w:rPr>
          <w:rFonts w:ascii="Arial" w:cs="Arial" w:eastAsia="Arial" w:hAnsi="Arial"/>
          <w:sz w:val="22"/>
          <w:szCs w:val="22"/>
          <w:color w:val="auto"/>
          <w:vertAlign w:val="superscript"/>
        </w:rPr>
      </w:pPr>
    </w:p>
    <w:p>
      <w:pPr>
        <w:ind w:left="240" w:hanging="239"/>
        <w:spacing w:after="0" w:line="189" w:lineRule="auto"/>
        <w:tabs>
          <w:tab w:leader="none" w:pos="240" w:val="left"/>
        </w:tabs>
        <w:numPr>
          <w:ilvl w:val="0"/>
          <w:numId w:val="23"/>
        </w:numPr>
        <w:rPr>
          <w:rFonts w:ascii="Arial" w:cs="Arial" w:eastAsia="Arial" w:hAnsi="Arial"/>
          <w:sz w:val="18"/>
          <w:szCs w:val="18"/>
          <w:color w:val="auto"/>
          <w:vertAlign w:val="superscript"/>
        </w:rPr>
      </w:pPr>
      <w:r>
        <w:rPr>
          <w:rFonts w:ascii="Arial" w:cs="Arial" w:eastAsia="Arial" w:hAnsi="Arial"/>
          <w:sz w:val="11"/>
          <w:szCs w:val="11"/>
          <w:color w:val="auto"/>
        </w:rPr>
        <w:t>Total amount of each class of senior securities outstanding at the end of the period.</w:t>
      </w:r>
    </w:p>
    <w:p>
      <w:pPr>
        <w:ind w:left="240" w:hanging="239"/>
        <w:spacing w:after="0" w:line="187" w:lineRule="auto"/>
        <w:tabs>
          <w:tab w:leader="none" w:pos="240" w:val="left"/>
        </w:tabs>
        <w:numPr>
          <w:ilvl w:val="0"/>
          <w:numId w:val="23"/>
        </w:numPr>
        <w:rPr>
          <w:rFonts w:ascii="Arial" w:cs="Arial" w:eastAsia="Arial" w:hAnsi="Arial"/>
          <w:sz w:val="22"/>
          <w:szCs w:val="22"/>
          <w:color w:val="auto"/>
          <w:vertAlign w:val="superscript"/>
        </w:rPr>
      </w:pPr>
      <w:r>
        <w:rPr>
          <w:rFonts w:ascii="Arial" w:cs="Arial" w:eastAsia="Arial" w:hAnsi="Arial"/>
          <w:sz w:val="13"/>
          <w:szCs w:val="13"/>
          <w:color w:val="auto"/>
        </w:rPr>
        <w:t>The asset coverage ratio for senior securities representing indebtedness is calculated as our consolidated total assets, less all consolidated liabilities and indebtedness not represented by senior securities, divided by senior securities representing indebtedness. This asset coverage ratio is multiplied by $1,000 to determine the Asset Coverage Per Unit.</w:t>
      </w:r>
    </w:p>
    <w:p>
      <w:pPr>
        <w:ind w:left="240" w:hanging="239"/>
        <w:spacing w:after="0" w:line="189" w:lineRule="auto"/>
        <w:tabs>
          <w:tab w:leader="none" w:pos="240" w:val="left"/>
        </w:tabs>
        <w:numPr>
          <w:ilvl w:val="0"/>
          <w:numId w:val="23"/>
        </w:numPr>
        <w:rPr>
          <w:rFonts w:ascii="Arial" w:cs="Arial" w:eastAsia="Arial" w:hAnsi="Arial"/>
          <w:sz w:val="18"/>
          <w:szCs w:val="18"/>
          <w:color w:val="auto"/>
          <w:vertAlign w:val="superscript"/>
        </w:rPr>
      </w:pPr>
      <w:r>
        <w:rPr>
          <w:rFonts w:ascii="Arial" w:cs="Arial" w:eastAsia="Arial" w:hAnsi="Arial"/>
          <w:sz w:val="11"/>
          <w:szCs w:val="11"/>
          <w:color w:val="auto"/>
        </w:rPr>
        <w:t>No credit facility was in place in 2013. The Credit Facility was put in place during 2014. See (a).</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Segment Reporting</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In November 2023, the FASB issued ASU 2023-07, Segment Reporting (Topic 280): Improvements to Reportable Segment Disclosures (“ASU 2023-07”). This change is intended to improve reportable segment disclosure requirements, primarily through enhanced disclosures about significant segment expenses, allowing financial statement users to better understand the components of a segment’s profit or loss and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and providing new disclosure requirements for entities with a single reportable segment, among other new disclosure requirements. The amendments are effective for fiscal years beginning after December 15, 2023 and interim periods within fiscal years beginning after December 15, 2024, and early adoption is permitted. Management has evaluated the impact of adopting this guidance with respect to the financial statements and disclosures and determined there is no impact for the Fund.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Recent Accounting Pronouncements</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Fund is subject to foreign tax withholding imposed by certain foreign countries in which the Funds may invest. Withholding taxes are incurred on certain foreign dividends and are accrued at the time the dividend is recognized based on applicable foreign tax laws. In December 2023, the FASB issued Accounting Standards Update (ASU), ASU 2023-09, Income Taxes (Topic 740) — Improvements to Income Taxes Disclosures, which enhances the transparency of income tax disclosures. The ASU requires public entities, on an annual basis, to provide disclosure of income taxes paid disaggregated by jurisdiction when material to the Fund’s financial statements. The amendments under this ASU are required to be applied prospectively and are effective for fiscal years beginning after December 15, 2024.The amount of foreign withholding taxes paid during the year ended December 31, 2025 is not significant and accordingly, a disclosure of income taxes paid for the year ended December 31, 2025, is not presented.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Subsequent Events</w:t>
      </w:r>
    </w:p>
    <w:p>
      <w:pPr>
        <w:spacing w:after="0" w:line="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Company commenced a rights offering (the “Offer”) on January 22, 2026 and expired on February 18, 2026. Gross proceeds of the offer are expected to be approximately $37,000,000. The Fund intends to invest the net proceeds of the Offer in accordance with its investment objectives and policies.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00" w:type="dxa"/>
            <w:vAlign w:val="bottom"/>
          </w:tcPr>
          <w:p>
            <w:pPr>
              <w:ind w:left="808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340" w:type="dxa"/>
            <w:vAlign w:val="bottom"/>
          </w:tcPr>
          <w:p>
            <w:pPr>
              <w:jc w:val="right"/>
              <w:spacing w:after="0"/>
              <w:rPr>
                <w:sz w:val="20"/>
                <w:szCs w:val="20"/>
                <w:color w:val="auto"/>
              </w:rPr>
            </w:pPr>
            <w:r>
              <w:rPr>
                <w:rFonts w:ascii="Arial" w:cs="Arial" w:eastAsia="Arial" w:hAnsi="Arial"/>
                <w:sz w:val="13"/>
                <w:szCs w:val="13"/>
                <w:color w:val="296B38"/>
              </w:rPr>
              <w:t>32</w:t>
            </w:r>
          </w:p>
        </w:tc>
      </w:tr>
      <w:tr>
        <w:trPr>
          <w:trHeight w:val="390"/>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1"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419100</wp:posOffset>
            </wp:positionH>
            <wp:positionV relativeFrom="page">
              <wp:posOffset>527685</wp:posOffset>
            </wp:positionV>
            <wp:extent cx="6718935" cy="9893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718935" cy="98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Shareholders and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 ArrowMark Financial Corp.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8" w:lineRule="exact"/>
        <w:rPr>
          <w:sz w:val="20"/>
          <w:szCs w:val="20"/>
          <w:color w:val="auto"/>
        </w:rPr>
      </w:pPr>
    </w:p>
    <w:p>
      <w:pPr>
        <w:ind w:right="140"/>
        <w:spacing w:after="0" w:line="232" w:lineRule="auto"/>
        <w:rPr>
          <w:sz w:val="20"/>
          <w:szCs w:val="20"/>
          <w:color w:val="auto"/>
        </w:rPr>
      </w:pPr>
      <w:r>
        <w:rPr>
          <w:rFonts w:ascii="Arial" w:cs="Arial" w:eastAsia="Arial" w:hAnsi="Arial"/>
          <w:sz w:val="16"/>
          <w:szCs w:val="16"/>
          <w:color w:val="auto"/>
        </w:rPr>
        <w:t>We have audited the accompanying consolidated statement of assets and liabilities of ArrowMark Financial Corp. (the “Company”), including the consolidated schedule of investments, as of December 31, 2025, the related consolidated statement of operations for the year then ended, the consolidated statement of cash flows for the year then ended, the consolidated statements of changes in net assets for each of the two years in the period then ended, and the consolidated financial highlights for each of the ten years in the period then ended, and the related notes (collectively referred to as the “consolidated financial statements”). In our opinion, the financial statements present fairly, in all material respects, the financial position of ArrowMark Financial Corp. as of December 31, 2025, the results of its operations for the year then ended, its cash flows for the year then ended, the changes in its net assets for each of the two years in the period then ended, and the financial highlights for each of the ten years in the period then ended, in conformity with accounting principles generally accepted in the United States of America.</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8"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have served as the Company’s auditor since 2015.</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procedures included confirmation of securities owned as of December 31, 2025 by correspondence with the custodian, private companies and brokers. We believe that our audits provide a reasonable basis for our opinion.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TAIT, WELLER &amp; BAKER LLP</w:t>
      </w:r>
    </w:p>
    <w:p>
      <w:pPr>
        <w:spacing w:after="0"/>
        <w:rPr>
          <w:sz w:val="20"/>
          <w:szCs w:val="20"/>
          <w:color w:val="auto"/>
        </w:rPr>
      </w:pPr>
      <w:r>
        <w:rPr>
          <w:rFonts w:ascii="Arial" w:cs="Arial" w:eastAsia="Arial" w:hAnsi="Arial"/>
          <w:sz w:val="16"/>
          <w:szCs w:val="16"/>
          <w:b w:val="1"/>
          <w:bCs w:val="1"/>
          <w:color w:val="auto"/>
        </w:rPr>
        <w:t>Philadelphia, Pennsylvania</w:t>
      </w:r>
    </w:p>
    <w:p>
      <w:pPr>
        <w:spacing w:after="0"/>
        <w:rPr>
          <w:sz w:val="20"/>
          <w:szCs w:val="20"/>
          <w:color w:val="auto"/>
        </w:rPr>
      </w:pPr>
      <w:r>
        <w:rPr>
          <w:rFonts w:ascii="Arial" w:cs="Arial" w:eastAsia="Arial" w:hAnsi="Arial"/>
          <w:sz w:val="16"/>
          <w:szCs w:val="16"/>
          <w:b w:val="1"/>
          <w:bCs w:val="1"/>
          <w:color w:val="auto"/>
        </w:rPr>
        <w:t>February 27, 2026</w:t>
      </w:r>
    </w:p>
    <w:p>
      <w:pPr>
        <w:spacing w:after="0" w:line="177" w:lineRule="exact"/>
        <w:rPr>
          <w:sz w:val="20"/>
          <w:szCs w:val="20"/>
          <w:color w:val="auto"/>
        </w:rPr>
      </w:pPr>
    </w:p>
    <w:p>
      <w:pPr>
        <w:ind w:left="580" w:hanging="579"/>
        <w:spacing w:after="0"/>
        <w:tabs>
          <w:tab w:leader="none" w:pos="580" w:val="left"/>
        </w:tabs>
        <w:numPr>
          <w:ilvl w:val="0"/>
          <w:numId w:val="24"/>
        </w:numPr>
        <w:rPr>
          <w:rFonts w:ascii="Arial" w:cs="Arial" w:eastAsia="Arial" w:hAnsi="Arial"/>
          <w:sz w:val="13"/>
          <w:szCs w:val="13"/>
          <w:color w:val="286B38"/>
        </w:rPr>
      </w:pPr>
      <w:r>
        <w:rPr>
          <w:rFonts w:ascii="Arial" w:cs="Arial" w:eastAsia="Arial" w:hAnsi="Arial"/>
          <w:sz w:val="13"/>
          <w:szCs w:val="13"/>
          <w:color w:val="296B38"/>
        </w:rPr>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354965</wp:posOffset>
            </wp:positionH>
            <wp:positionV relativeFrom="page">
              <wp:posOffset>527685</wp:posOffset>
            </wp:positionV>
            <wp:extent cx="6782435" cy="662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782435" cy="662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and Distributions</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Dividends from net investment income are declared and paid on a quarterly basis. Distributions of net realized capital gains, if any, will be made at least annually. It is the Company’s policy to comply with the requirements of the Internal Revenue Code of 1986, as amended, applicable to “regulated investment companies” or “RICs” and to distribute substantially all of its taxable income to its shareholders. In order to provide shareholders with a more stable level of dividend distributions, the Company may at times pay out more or less than distributable income earned in any particular quarter. The Company’s current accumulated but undistributed net investment income, if any, is disclosed in the Statement of Assets and Liabilities, which comprises part of the financial information included in this report. The character and timing of dividends and distributions are determined in accordance with federal income tax regulations, which may differ from U.S. GAAP.</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Dividends Declared in 2025</w:t>
      </w:r>
    </w:p>
    <w:p>
      <w:pPr>
        <w:spacing w:after="0" w:line="160" w:lineRule="exact"/>
        <w:rPr>
          <w:sz w:val="20"/>
          <w:szCs w:val="20"/>
          <w:color w:val="auto"/>
        </w:rPr>
      </w:pPr>
    </w:p>
    <w:tbl>
      <w:tblPr>
        <w:tblLayout w:type="fixed"/>
        <w:tblInd w:w="4340" w:type="dxa"/>
        <w:tblCellMar>
          <w:top w:w="0" w:type="dxa"/>
          <w:left w:w="0" w:type="dxa"/>
          <w:bottom w:w="0" w:type="dxa"/>
          <w:right w:w="0" w:type="dxa"/>
        </w:tblCellMar>
      </w:tblPr>
      <w:tr>
        <w:trPr>
          <w:trHeight w:val="138"/>
        </w:trPr>
        <w:tc>
          <w:tcPr>
            <w:tcW w:w="1500" w:type="dxa"/>
            <w:vAlign w:val="bottom"/>
            <w:vMerge w:val="restart"/>
          </w:tcPr>
          <w:p>
            <w:pPr>
              <w:ind w:left="560"/>
              <w:spacing w:after="0"/>
              <w:rPr>
                <w:sz w:val="20"/>
                <w:szCs w:val="20"/>
                <w:color w:val="auto"/>
              </w:rPr>
            </w:pPr>
            <w:r>
              <w:rPr>
                <w:rFonts w:ascii="Arial" w:cs="Arial" w:eastAsia="Arial" w:hAnsi="Arial"/>
                <w:sz w:val="12"/>
                <w:szCs w:val="12"/>
                <w:b w:val="1"/>
                <w:bCs w:val="1"/>
                <w:color w:val="auto"/>
              </w:rPr>
              <w:t>Period</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6"/>
              </w:rPr>
              <w:t>Amount</w:t>
            </w:r>
          </w:p>
        </w:tc>
        <w:tc>
          <w:tcPr>
            <w:tcW w:w="0" w:type="dxa"/>
            <w:vAlign w:val="bottom"/>
          </w:tcPr>
          <w:p>
            <w:pPr>
              <w:spacing w:after="0"/>
              <w:rPr>
                <w:sz w:val="1"/>
                <w:szCs w:val="1"/>
                <w:color w:val="auto"/>
              </w:rPr>
            </w:pPr>
          </w:p>
        </w:tc>
      </w:tr>
      <w:tr>
        <w:trPr>
          <w:trHeight w:val="143"/>
        </w:trPr>
        <w:tc>
          <w:tcPr>
            <w:tcW w:w="150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Declared</w:t>
            </w:r>
          </w:p>
        </w:tc>
        <w:tc>
          <w:tcPr>
            <w:tcW w:w="0" w:type="dxa"/>
            <w:vAlign w:val="bottom"/>
          </w:tcPr>
          <w:p>
            <w:pPr>
              <w:spacing w:after="0"/>
              <w:rPr>
                <w:sz w:val="1"/>
                <w:szCs w:val="1"/>
                <w:color w:val="auto"/>
              </w:rPr>
            </w:pPr>
          </w:p>
        </w:tc>
      </w:tr>
      <w:tr>
        <w:trPr>
          <w:trHeight w:val="136"/>
        </w:trPr>
        <w:tc>
          <w:tcPr>
            <w:tcW w:w="1500" w:type="dxa"/>
            <w:vAlign w:val="bottom"/>
          </w:tcPr>
          <w:p>
            <w:pPr>
              <w:spacing w:after="0" w:line="136" w:lineRule="exact"/>
              <w:rPr>
                <w:sz w:val="20"/>
                <w:szCs w:val="20"/>
                <w:color w:val="auto"/>
              </w:rPr>
            </w:pPr>
            <w:r>
              <w:rPr>
                <w:rFonts w:ascii="Arial" w:cs="Arial" w:eastAsia="Arial" w:hAnsi="Arial"/>
                <w:sz w:val="13"/>
                <w:szCs w:val="13"/>
                <w:color w:val="auto"/>
              </w:rPr>
              <w:t>1st Quarter 2025</w:t>
            </w:r>
          </w:p>
        </w:tc>
        <w:tc>
          <w:tcPr>
            <w:tcW w:w="1080" w:type="dxa"/>
            <w:vAlign w:val="bottom"/>
          </w:tcPr>
          <w:p>
            <w:pPr>
              <w:jc w:val="center"/>
              <w:spacing w:after="0" w:line="136" w:lineRule="exact"/>
              <w:rPr>
                <w:sz w:val="20"/>
                <w:szCs w:val="20"/>
                <w:color w:val="auto"/>
              </w:rPr>
            </w:pPr>
            <w:r>
              <w:rPr>
                <w:rFonts w:ascii="Arial" w:cs="Arial" w:eastAsia="Arial" w:hAnsi="Arial"/>
                <w:sz w:val="13"/>
                <w:szCs w:val="13"/>
                <w:color w:val="auto"/>
                <w:w w:val="98"/>
              </w:rPr>
              <w:t>$0.55</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2nd Quarter 2025</w:t>
            </w:r>
          </w:p>
        </w:tc>
        <w:tc>
          <w:tcPr>
            <w:tcW w:w="1080" w:type="dxa"/>
            <w:vAlign w:val="bottom"/>
          </w:tcPr>
          <w:p>
            <w:pPr>
              <w:jc w:val="center"/>
              <w:spacing w:after="0"/>
              <w:rPr>
                <w:sz w:val="20"/>
                <w:szCs w:val="20"/>
                <w:color w:val="auto"/>
              </w:rPr>
            </w:pPr>
            <w:r>
              <w:rPr>
                <w:rFonts w:ascii="Arial" w:cs="Arial" w:eastAsia="Arial" w:hAnsi="Arial"/>
                <w:sz w:val="13"/>
                <w:szCs w:val="13"/>
                <w:color w:val="auto"/>
                <w:w w:val="98"/>
              </w:rPr>
              <w:t>$0.45</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3rd Quarter 2025</w:t>
            </w:r>
          </w:p>
        </w:tc>
        <w:tc>
          <w:tcPr>
            <w:tcW w:w="1080" w:type="dxa"/>
            <w:vAlign w:val="bottom"/>
          </w:tcPr>
          <w:p>
            <w:pPr>
              <w:jc w:val="center"/>
              <w:spacing w:after="0"/>
              <w:rPr>
                <w:sz w:val="20"/>
                <w:szCs w:val="20"/>
                <w:color w:val="auto"/>
              </w:rPr>
            </w:pPr>
            <w:r>
              <w:rPr>
                <w:rFonts w:ascii="Arial" w:cs="Arial" w:eastAsia="Arial" w:hAnsi="Arial"/>
                <w:sz w:val="13"/>
                <w:szCs w:val="13"/>
                <w:color w:val="auto"/>
                <w:w w:val="98"/>
              </w:rPr>
              <w:t>$0.85</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20"/>
                <w:szCs w:val="20"/>
                <w:color w:val="auto"/>
              </w:rPr>
            </w:pPr>
            <w:r>
              <w:rPr>
                <w:rFonts w:ascii="Arial" w:cs="Arial" w:eastAsia="Arial" w:hAnsi="Arial"/>
                <w:sz w:val="13"/>
                <w:szCs w:val="13"/>
                <w:color w:val="auto"/>
              </w:rPr>
              <w:t>4th Quarter 2025</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$0.45</w:t>
            </w:r>
          </w:p>
        </w:tc>
        <w:tc>
          <w:tcPr>
            <w:tcW w:w="0" w:type="dxa"/>
            <w:vAlign w:val="bottom"/>
          </w:tcPr>
          <w:p>
            <w:pPr>
              <w:spacing w:after="0"/>
              <w:rPr>
                <w:sz w:val="1"/>
                <w:szCs w:val="1"/>
                <w:color w:val="auto"/>
              </w:rPr>
            </w:pPr>
          </w:p>
        </w:tc>
      </w:tr>
      <w:tr>
        <w:trPr>
          <w:trHeight w:val="143"/>
        </w:trPr>
        <w:tc>
          <w:tcPr>
            <w:tcW w:w="150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color w:val="auto"/>
                <w:w w:val="98"/>
              </w:rPr>
              <w:t>$2.30</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Reinvestment Plan</w:t>
      </w:r>
    </w:p>
    <w:p>
      <w:pPr>
        <w:spacing w:after="0" w:line="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have a common stock dividend reinvestment plan for our stockholders. Our plan is implemented as an “opt out” dividend reinvestment plan. As a result, if a stockholder participates in our Automatic Dividend Reinvestment Plan (the “Plan”) all distributions will automatically be reinvested in additional common stock (unless a stockholder is ineligible or elects otherwise). If a stockholder opts out of the Plan, such stockholder will receive distributions in cash. If a stockholder holds shares with a brokerage firm that does not participate in the Plan, the stockholder may not be able to participate in the Plan and any dividend reinvestment may be effected on different terms than those of the Plan.</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the case that newly issued shares of our common stock are used to implement the Plan, the number of shares of common stock to be delivered to a participating stockholder shall be determined by (i) dividing the total dollar amount of the dividends payable to such stockholder by (ii) 97% of the average market prices per share of common stock at the close of regular trading on the NASDAQ Global Select Market for the five trading days immediately prior to the valuation date to be fixed by the Board of Directors.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the case that shares repurchased on the open market are used to implement the Plan, the number of shares of common stock to be delivered to a participating stockholder shall be determined by dividing (i) the total dollar amount of the dividends payable to such stockholder by (ii) the weighted average purchase price of such shares.</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intend to use primarily newly issued shares to implement the dividend reinvestment plan (so long as we are trading at a premium to net asset value). If our shares are trading at a significant enough discount to net asset value and we are otherwise permitted under applicable law to purchase such shares, we intend to purchase shares in the open market in connection with our obligations under our dividend reinvestment plan. However, we reserve the right to issue new shares of our common stock in connection with our obligations under the dividend reinvestment plan even if our shares are trading below net asset value. Automatically reinvesting dividends and distributions does not mean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00" w:type="dxa"/>
            <w:vAlign w:val="bottom"/>
          </w:tcPr>
          <w:p>
            <w:pPr>
              <w:ind w:left="808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340" w:type="dxa"/>
            <w:vAlign w:val="bottom"/>
          </w:tcPr>
          <w:p>
            <w:pPr>
              <w:jc w:val="right"/>
              <w:spacing w:after="0"/>
              <w:rPr>
                <w:sz w:val="20"/>
                <w:szCs w:val="20"/>
                <w:color w:val="auto"/>
              </w:rPr>
            </w:pPr>
            <w:r>
              <w:rPr>
                <w:rFonts w:ascii="Arial" w:cs="Arial" w:eastAsia="Arial" w:hAnsi="Arial"/>
                <w:sz w:val="13"/>
                <w:szCs w:val="13"/>
                <w:color w:val="296B38"/>
              </w:rPr>
              <w:t>34</w:t>
            </w:r>
          </w:p>
        </w:tc>
      </w:tr>
      <w:tr>
        <w:trPr>
          <w:trHeight w:val="377"/>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39" w:name="page40"/>
    <w:bookmarkEnd w:id="39"/>
    <w:p>
      <w:pPr>
        <w:spacing w:after="0" w:line="263" w:lineRule="auto"/>
        <w:rPr>
          <w:sz w:val="20"/>
          <w:szCs w:val="20"/>
          <w:color w:val="auto"/>
        </w:rPr>
      </w:pPr>
      <w:r>
        <w:rPr>
          <w:rFonts w:ascii="Arial" w:cs="Arial" w:eastAsia="Arial" w:hAnsi="Arial"/>
          <w:sz w:val="17"/>
          <w:szCs w:val="17"/>
          <w:color w:val="auto"/>
        </w:rPr>
        <w:t>that a stockholder does not have to pay income taxes due upon receiving dividends and distributions. Capital gains and income are realized although cash is not received by the stockholder.</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 further information or to opt-out of or withdraw from the Plan, contact the Plan Agent, Computershare Trust Company, N.A. by writing to 250 Royall Street, Canton, Massachusetts 02021.</w:t>
      </w:r>
    </w:p>
    <w:p>
      <w:pPr>
        <w:spacing w:after="0" w:line="144" w:lineRule="exact"/>
        <w:rPr>
          <w:sz w:val="20"/>
          <w:szCs w:val="20"/>
          <w:color w:val="auto"/>
        </w:rPr>
      </w:pPr>
    </w:p>
    <w:p>
      <w:pPr>
        <w:ind w:left="580" w:hanging="579"/>
        <w:spacing w:after="0"/>
        <w:tabs>
          <w:tab w:leader="none" w:pos="580" w:val="left"/>
        </w:tabs>
        <w:numPr>
          <w:ilvl w:val="0"/>
          <w:numId w:val="25"/>
        </w:numPr>
        <w:rPr>
          <w:rFonts w:ascii="Arial" w:cs="Arial" w:eastAsia="Arial" w:hAnsi="Arial"/>
          <w:sz w:val="13"/>
          <w:szCs w:val="13"/>
          <w:color w:val="286B38"/>
        </w:rPr>
      </w:pPr>
      <w:r>
        <w:rPr>
          <w:rFonts w:ascii="Arial" w:cs="Arial" w:eastAsia="Arial" w:hAnsi="Arial"/>
          <w:sz w:val="13"/>
          <w:szCs w:val="13"/>
          <w:color w:val="296B38"/>
        </w:rPr>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379095</wp:posOffset>
            </wp:positionH>
            <wp:positionV relativeFrom="page">
              <wp:posOffset>520065</wp:posOffset>
            </wp:positionV>
            <wp:extent cx="6766560" cy="7023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766560" cy="702310"/>
                    </a:xfrm>
                    <a:prstGeom prst="rect">
                      <a:avLst/>
                    </a:prstGeom>
                    <a:noFill/>
                  </pic:spPr>
                </pic:pic>
              </a:graphicData>
            </a:graphic>
          </wp:anchor>
        </w:drawing>
      </w:r>
    </w:p>
    <w:p>
      <w:pPr>
        <w:spacing w:after="0" w:line="300"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The following table sets forth, for the quarters indicated, the highest and lowest prices on the NASDAQ Global Select Market per share of common stock, and the NAV per share and the premium to or discount from NAV, on the date of each of the high and low market prices. The table also sets forth the number of Shares traded on the NASDAQ Global Select Market during the respective quarters.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shd w:val="clear" w:color="auto" w:fill="F0F5F1"/>
          </w:tcPr>
          <w:p>
            <w:pPr>
              <w:spacing w:after="0"/>
              <w:rPr>
                <w:sz w:val="13"/>
                <w:szCs w:val="13"/>
                <w:color w:val="auto"/>
              </w:rPr>
            </w:pP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spacing w:after="0"/>
              <w:rPr>
                <w:sz w:val="13"/>
                <w:szCs w:val="13"/>
                <w:color w:val="auto"/>
              </w:rPr>
            </w:pPr>
          </w:p>
        </w:tc>
        <w:tc>
          <w:tcPr>
            <w:tcW w:w="520" w:type="dxa"/>
            <w:vAlign w:val="bottom"/>
            <w:shd w:val="clear" w:color="auto" w:fill="F0F5F1"/>
          </w:tcPr>
          <w:p>
            <w:pPr>
              <w:spacing w:after="0"/>
              <w:rPr>
                <w:sz w:val="13"/>
                <w:szCs w:val="13"/>
                <w:color w:val="auto"/>
              </w:rPr>
            </w:pPr>
          </w:p>
        </w:tc>
        <w:tc>
          <w:tcPr>
            <w:tcW w:w="840" w:type="dxa"/>
            <w:vAlign w:val="bottom"/>
            <w:shd w:val="clear" w:color="auto" w:fill="F0F5F1"/>
          </w:tcPr>
          <w:p>
            <w:pPr>
              <w:spacing w:after="0"/>
              <w:rPr>
                <w:sz w:val="13"/>
                <w:szCs w:val="13"/>
                <w:color w:val="auto"/>
              </w:rPr>
            </w:pPr>
          </w:p>
        </w:tc>
        <w:tc>
          <w:tcPr>
            <w:tcW w:w="240" w:type="dxa"/>
            <w:vAlign w:val="bottom"/>
            <w:shd w:val="clear" w:color="auto" w:fill="F0F5F1"/>
          </w:tcPr>
          <w:p>
            <w:pPr>
              <w:spacing w:after="0"/>
              <w:rPr>
                <w:sz w:val="13"/>
                <w:szCs w:val="13"/>
                <w:color w:val="auto"/>
              </w:rPr>
            </w:pPr>
          </w:p>
        </w:tc>
        <w:tc>
          <w:tcPr>
            <w:tcW w:w="1100" w:type="dxa"/>
            <w:vAlign w:val="bottom"/>
            <w:shd w:val="clear" w:color="auto" w:fill="F0F5F1"/>
          </w:tcPr>
          <w:p>
            <w:pPr>
              <w:spacing w:after="0"/>
              <w:rPr>
                <w:sz w:val="13"/>
                <w:szCs w:val="13"/>
                <w:color w:val="auto"/>
              </w:rPr>
            </w:pPr>
          </w:p>
        </w:tc>
        <w:tc>
          <w:tcPr>
            <w:tcW w:w="480" w:type="dxa"/>
            <w:vAlign w:val="bottom"/>
            <w:shd w:val="clear" w:color="auto" w:fill="F0F5F1"/>
          </w:tcPr>
          <w:p>
            <w:pPr>
              <w:spacing w:after="0"/>
              <w:rPr>
                <w:sz w:val="13"/>
                <w:szCs w:val="13"/>
                <w:color w:val="auto"/>
              </w:rPr>
            </w:pPr>
          </w:p>
        </w:tc>
        <w:tc>
          <w:tcPr>
            <w:tcW w:w="1040" w:type="dxa"/>
            <w:vAlign w:val="bottom"/>
            <w:shd w:val="clear" w:color="auto" w:fill="F0F5F1"/>
          </w:tcPr>
          <w:p>
            <w:pPr>
              <w:spacing w:after="0"/>
              <w:rPr>
                <w:sz w:val="13"/>
                <w:szCs w:val="13"/>
                <w:color w:val="auto"/>
              </w:rPr>
            </w:pP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center"/>
              <w:ind w:right="313"/>
              <w:spacing w:after="0"/>
              <w:rPr>
                <w:sz w:val="20"/>
                <w:szCs w:val="20"/>
                <w:color w:val="auto"/>
              </w:rPr>
            </w:pPr>
            <w:r>
              <w:rPr>
                <w:rFonts w:ascii="Arial" w:cs="Arial" w:eastAsia="Arial" w:hAnsi="Arial"/>
                <w:sz w:val="13"/>
                <w:szCs w:val="13"/>
                <w:b w:val="1"/>
                <w:bCs w:val="1"/>
                <w:color w:val="auto"/>
              </w:rPr>
              <w:t>Premium/</w:t>
            </w:r>
          </w:p>
        </w:tc>
        <w:tc>
          <w:tcPr>
            <w:tcW w:w="540" w:type="dxa"/>
            <w:vAlign w:val="bottom"/>
            <w:shd w:val="clear" w:color="auto" w:fill="F0F5F1"/>
          </w:tcPr>
          <w:p>
            <w:pPr>
              <w:spacing w:after="0"/>
              <w:rPr>
                <w:sz w:val="13"/>
                <w:szCs w:val="13"/>
                <w:color w:val="auto"/>
              </w:rPr>
            </w:pPr>
          </w:p>
        </w:tc>
        <w:tc>
          <w:tcPr>
            <w:tcW w:w="1300" w:type="dxa"/>
            <w:vAlign w:val="bottom"/>
            <w:shd w:val="clear" w:color="auto" w:fill="F0F5F1"/>
          </w:tcPr>
          <w:p>
            <w:pPr>
              <w:spacing w:after="0"/>
              <w:rPr>
                <w:sz w:val="13"/>
                <w:szCs w:val="13"/>
                <w:color w:val="auto"/>
              </w:rPr>
            </w:pPr>
          </w:p>
        </w:tc>
      </w:tr>
      <w:tr>
        <w:trPr>
          <w:trHeight w:val="151"/>
        </w:trPr>
        <w:tc>
          <w:tcPr>
            <w:tcW w:w="1820" w:type="dxa"/>
            <w:vAlign w:val="bottom"/>
            <w:shd w:val="clear" w:color="auto" w:fill="F0F5F1"/>
          </w:tcPr>
          <w:p>
            <w:pPr>
              <w:spacing w:after="0"/>
              <w:rPr>
                <w:sz w:val="13"/>
                <w:szCs w:val="13"/>
                <w:color w:val="auto"/>
              </w:rPr>
            </w:pP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spacing w:after="0"/>
              <w:rPr>
                <w:sz w:val="13"/>
                <w:szCs w:val="13"/>
                <w:color w:val="auto"/>
              </w:rPr>
            </w:pPr>
          </w:p>
        </w:tc>
        <w:tc>
          <w:tcPr>
            <w:tcW w:w="520" w:type="dxa"/>
            <w:vAlign w:val="bottom"/>
            <w:shd w:val="clear" w:color="auto" w:fill="F0F5F1"/>
          </w:tcPr>
          <w:p>
            <w:pPr>
              <w:spacing w:after="0"/>
              <w:rPr>
                <w:sz w:val="13"/>
                <w:szCs w:val="13"/>
                <w:color w:val="auto"/>
              </w:rPr>
            </w:pPr>
          </w:p>
        </w:tc>
        <w:tc>
          <w:tcPr>
            <w:tcW w:w="840" w:type="dxa"/>
            <w:vAlign w:val="bottom"/>
            <w:shd w:val="clear" w:color="auto" w:fill="F0F5F1"/>
          </w:tcPr>
          <w:p>
            <w:pPr>
              <w:spacing w:after="0"/>
              <w:rPr>
                <w:sz w:val="13"/>
                <w:szCs w:val="13"/>
                <w:color w:val="auto"/>
              </w:rPr>
            </w:pPr>
          </w:p>
        </w:tc>
        <w:tc>
          <w:tcPr>
            <w:tcW w:w="240" w:type="dxa"/>
            <w:vAlign w:val="bottom"/>
            <w:shd w:val="clear" w:color="auto" w:fill="F0F5F1"/>
          </w:tcPr>
          <w:p>
            <w:pPr>
              <w:spacing w:after="0"/>
              <w:rPr>
                <w:sz w:val="13"/>
                <w:szCs w:val="13"/>
                <w:color w:val="auto"/>
              </w:rPr>
            </w:pPr>
          </w:p>
        </w:tc>
        <w:tc>
          <w:tcPr>
            <w:tcW w:w="1580" w:type="dxa"/>
            <w:vAlign w:val="bottom"/>
            <w:gridSpan w:val="2"/>
            <w:shd w:val="clear" w:color="auto" w:fill="F0F5F1"/>
          </w:tcPr>
          <w:p>
            <w:pPr>
              <w:jc w:val="center"/>
              <w:ind w:left="533"/>
              <w:spacing w:after="0"/>
              <w:rPr>
                <w:sz w:val="20"/>
                <w:szCs w:val="20"/>
                <w:color w:val="auto"/>
              </w:rPr>
            </w:pPr>
            <w:r>
              <w:rPr>
                <w:rFonts w:ascii="Arial" w:cs="Arial" w:eastAsia="Arial" w:hAnsi="Arial"/>
                <w:sz w:val="13"/>
                <w:szCs w:val="13"/>
                <w:b w:val="1"/>
                <w:bCs w:val="1"/>
                <w:color w:val="auto"/>
              </w:rPr>
              <w:t>NASDAQ</w:t>
            </w:r>
          </w:p>
        </w:tc>
        <w:tc>
          <w:tcPr>
            <w:tcW w:w="1040" w:type="dxa"/>
            <w:vAlign w:val="bottom"/>
            <w:shd w:val="clear" w:color="auto" w:fill="F0F5F1"/>
          </w:tcPr>
          <w:p>
            <w:pPr>
              <w:spacing w:after="0"/>
              <w:rPr>
                <w:sz w:val="13"/>
                <w:szCs w:val="13"/>
                <w:color w:val="auto"/>
              </w:rPr>
            </w:pP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center"/>
              <w:ind w:right="313"/>
              <w:spacing w:after="0"/>
              <w:rPr>
                <w:sz w:val="20"/>
                <w:szCs w:val="20"/>
                <w:color w:val="auto"/>
              </w:rPr>
            </w:pPr>
            <w:r>
              <w:rPr>
                <w:rFonts w:ascii="Arial" w:cs="Arial" w:eastAsia="Arial" w:hAnsi="Arial"/>
                <w:sz w:val="13"/>
                <w:szCs w:val="13"/>
                <w:b w:val="1"/>
                <w:bCs w:val="1"/>
                <w:color w:val="auto"/>
              </w:rPr>
              <w:t>(Discount)</w:t>
            </w:r>
          </w:p>
        </w:tc>
        <w:tc>
          <w:tcPr>
            <w:tcW w:w="540" w:type="dxa"/>
            <w:vAlign w:val="bottom"/>
            <w:shd w:val="clear" w:color="auto" w:fill="F0F5F1"/>
          </w:tcPr>
          <w:p>
            <w:pPr>
              <w:spacing w:after="0"/>
              <w:rPr>
                <w:sz w:val="13"/>
                <w:szCs w:val="13"/>
                <w:color w:val="auto"/>
              </w:rPr>
            </w:pPr>
          </w:p>
        </w:tc>
        <w:tc>
          <w:tcPr>
            <w:tcW w:w="1300" w:type="dxa"/>
            <w:vAlign w:val="bottom"/>
            <w:shd w:val="clear" w:color="auto" w:fill="F0F5F1"/>
          </w:tcPr>
          <w:p>
            <w:pPr>
              <w:spacing w:after="0"/>
              <w:rPr>
                <w:sz w:val="13"/>
                <w:szCs w:val="13"/>
                <w:color w:val="auto"/>
              </w:rPr>
            </w:pPr>
          </w:p>
        </w:tc>
      </w:tr>
      <w:tr>
        <w:trPr>
          <w:trHeight w:val="151"/>
        </w:trPr>
        <w:tc>
          <w:tcPr>
            <w:tcW w:w="1820" w:type="dxa"/>
            <w:vAlign w:val="bottom"/>
            <w:shd w:val="clear" w:color="auto" w:fill="F0F5F1"/>
          </w:tcPr>
          <w:p>
            <w:pPr>
              <w:spacing w:after="0"/>
              <w:rPr>
                <w:sz w:val="13"/>
                <w:szCs w:val="13"/>
                <w:color w:val="auto"/>
              </w:rPr>
            </w:pP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620" w:type="dxa"/>
            <w:vAlign w:val="bottom"/>
            <w:shd w:val="clear" w:color="auto" w:fill="F0F5F1"/>
          </w:tcPr>
          <w:p>
            <w:pPr>
              <w:spacing w:after="0"/>
              <w:rPr>
                <w:sz w:val="13"/>
                <w:szCs w:val="13"/>
                <w:color w:val="auto"/>
              </w:rPr>
            </w:pPr>
          </w:p>
        </w:tc>
        <w:tc>
          <w:tcPr>
            <w:tcW w:w="1020" w:type="dxa"/>
            <w:vAlign w:val="bottom"/>
            <w:gridSpan w:val="2"/>
            <w:shd w:val="clear" w:color="auto" w:fill="F0F5F1"/>
          </w:tcPr>
          <w:p>
            <w:pPr>
              <w:ind w:left="40"/>
              <w:spacing w:after="0"/>
              <w:rPr>
                <w:sz w:val="20"/>
                <w:szCs w:val="20"/>
                <w:color w:val="auto"/>
              </w:rPr>
            </w:pPr>
            <w:r>
              <w:rPr>
                <w:rFonts w:ascii="Arial" w:cs="Arial" w:eastAsia="Arial" w:hAnsi="Arial"/>
                <w:sz w:val="13"/>
                <w:szCs w:val="13"/>
                <w:b w:val="1"/>
                <w:bCs w:val="1"/>
                <w:color w:val="auto"/>
              </w:rPr>
              <w:t>NAV per Share</w:t>
            </w:r>
          </w:p>
        </w:tc>
        <w:tc>
          <w:tcPr>
            <w:tcW w:w="840" w:type="dxa"/>
            <w:vAlign w:val="bottom"/>
            <w:shd w:val="clear" w:color="auto" w:fill="F0F5F1"/>
          </w:tcPr>
          <w:p>
            <w:pPr>
              <w:spacing w:after="0"/>
              <w:rPr>
                <w:sz w:val="13"/>
                <w:szCs w:val="13"/>
                <w:color w:val="auto"/>
              </w:rPr>
            </w:pPr>
          </w:p>
        </w:tc>
        <w:tc>
          <w:tcPr>
            <w:tcW w:w="240" w:type="dxa"/>
            <w:vAlign w:val="bottom"/>
            <w:shd w:val="clear" w:color="auto" w:fill="F0F5F1"/>
          </w:tcPr>
          <w:p>
            <w:pPr>
              <w:spacing w:after="0"/>
              <w:rPr>
                <w:sz w:val="13"/>
                <w:szCs w:val="13"/>
                <w:color w:val="auto"/>
              </w:rPr>
            </w:pPr>
          </w:p>
        </w:tc>
        <w:tc>
          <w:tcPr>
            <w:tcW w:w="1580" w:type="dxa"/>
            <w:vAlign w:val="bottom"/>
            <w:gridSpan w:val="2"/>
            <w:shd w:val="clear" w:color="auto" w:fill="F0F5F1"/>
          </w:tcPr>
          <w:p>
            <w:pPr>
              <w:jc w:val="center"/>
              <w:ind w:left="553"/>
              <w:spacing w:after="0"/>
              <w:rPr>
                <w:sz w:val="20"/>
                <w:szCs w:val="20"/>
                <w:color w:val="auto"/>
              </w:rPr>
            </w:pPr>
            <w:r>
              <w:rPr>
                <w:rFonts w:ascii="Arial" w:cs="Arial" w:eastAsia="Arial" w:hAnsi="Arial"/>
                <w:sz w:val="13"/>
                <w:szCs w:val="13"/>
                <w:b w:val="1"/>
                <w:bCs w:val="1"/>
                <w:color w:val="auto"/>
              </w:rPr>
              <w:t>Global Select</w:t>
            </w:r>
          </w:p>
        </w:tc>
        <w:tc>
          <w:tcPr>
            <w:tcW w:w="1040" w:type="dxa"/>
            <w:vAlign w:val="bottom"/>
            <w:shd w:val="clear" w:color="auto" w:fill="F0F5F1"/>
          </w:tcPr>
          <w:p>
            <w:pPr>
              <w:spacing w:after="0"/>
              <w:rPr>
                <w:sz w:val="13"/>
                <w:szCs w:val="13"/>
                <w:color w:val="auto"/>
              </w:rPr>
            </w:pP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center"/>
              <w:ind w:right="313"/>
              <w:spacing w:after="0"/>
              <w:rPr>
                <w:sz w:val="20"/>
                <w:szCs w:val="20"/>
                <w:color w:val="auto"/>
              </w:rPr>
            </w:pPr>
            <w:r>
              <w:rPr>
                <w:rFonts w:ascii="Arial" w:cs="Arial" w:eastAsia="Arial" w:hAnsi="Arial"/>
                <w:sz w:val="13"/>
                <w:szCs w:val="13"/>
                <w:b w:val="1"/>
                <w:bCs w:val="1"/>
                <w:color w:val="auto"/>
              </w:rPr>
              <w:t>to NAV</w:t>
            </w:r>
          </w:p>
        </w:tc>
        <w:tc>
          <w:tcPr>
            <w:tcW w:w="540" w:type="dxa"/>
            <w:vAlign w:val="bottom"/>
            <w:shd w:val="clear" w:color="auto" w:fill="F0F5F1"/>
          </w:tcPr>
          <w:p>
            <w:pPr>
              <w:spacing w:after="0"/>
              <w:rPr>
                <w:sz w:val="13"/>
                <w:szCs w:val="13"/>
                <w:color w:val="auto"/>
              </w:rPr>
            </w:pPr>
          </w:p>
        </w:tc>
        <w:tc>
          <w:tcPr>
            <w:tcW w:w="1300" w:type="dxa"/>
            <w:vAlign w:val="bottom"/>
            <w:shd w:val="clear" w:color="auto" w:fill="F0F5F1"/>
          </w:tcPr>
          <w:p>
            <w:pPr>
              <w:spacing w:after="0"/>
              <w:rPr>
                <w:sz w:val="13"/>
                <w:szCs w:val="13"/>
                <w:color w:val="auto"/>
              </w:rPr>
            </w:pPr>
          </w:p>
        </w:tc>
      </w:tr>
      <w:tr>
        <w:trPr>
          <w:trHeight w:val="150"/>
        </w:trPr>
        <w:tc>
          <w:tcPr>
            <w:tcW w:w="1820" w:type="dxa"/>
            <w:vAlign w:val="bottom"/>
            <w:shd w:val="clear" w:color="auto" w:fill="F0F5F1"/>
          </w:tcPr>
          <w:p>
            <w:pPr>
              <w:spacing w:after="0"/>
              <w:rPr>
                <w:sz w:val="13"/>
                <w:szCs w:val="13"/>
                <w:color w:val="auto"/>
              </w:rPr>
            </w:pP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spacing w:after="0"/>
              <w:rPr>
                <w:sz w:val="13"/>
                <w:szCs w:val="13"/>
                <w:color w:val="auto"/>
              </w:rPr>
            </w:pPr>
          </w:p>
        </w:tc>
        <w:tc>
          <w:tcPr>
            <w:tcW w:w="620" w:type="dxa"/>
            <w:vAlign w:val="bottom"/>
            <w:shd w:val="clear" w:color="auto" w:fill="F0F5F1"/>
          </w:tcPr>
          <w:p>
            <w:pPr>
              <w:spacing w:after="0"/>
              <w:rPr>
                <w:sz w:val="13"/>
                <w:szCs w:val="13"/>
                <w:color w:val="auto"/>
              </w:rPr>
            </w:pPr>
          </w:p>
        </w:tc>
        <w:tc>
          <w:tcPr>
            <w:tcW w:w="1020" w:type="dxa"/>
            <w:vAlign w:val="bottom"/>
            <w:gridSpan w:val="2"/>
            <w:shd w:val="clear" w:color="auto" w:fill="F0F5F1"/>
          </w:tcPr>
          <w:p>
            <w:pPr>
              <w:ind w:left="180"/>
              <w:spacing w:after="0"/>
              <w:rPr>
                <w:sz w:val="20"/>
                <w:szCs w:val="20"/>
                <w:color w:val="auto"/>
              </w:rPr>
            </w:pPr>
            <w:r>
              <w:rPr>
                <w:rFonts w:ascii="Arial" w:cs="Arial" w:eastAsia="Arial" w:hAnsi="Arial"/>
                <w:sz w:val="13"/>
                <w:szCs w:val="13"/>
                <w:b w:val="1"/>
                <w:bCs w:val="1"/>
                <w:color w:val="auto"/>
              </w:rPr>
              <w:t>on Date of</w:t>
            </w:r>
          </w:p>
        </w:tc>
        <w:tc>
          <w:tcPr>
            <w:tcW w:w="840" w:type="dxa"/>
            <w:vAlign w:val="bottom"/>
            <w:shd w:val="clear" w:color="auto" w:fill="F0F5F1"/>
          </w:tcPr>
          <w:p>
            <w:pPr>
              <w:spacing w:after="0"/>
              <w:rPr>
                <w:sz w:val="13"/>
                <w:szCs w:val="13"/>
                <w:color w:val="auto"/>
              </w:rPr>
            </w:pPr>
          </w:p>
        </w:tc>
        <w:tc>
          <w:tcPr>
            <w:tcW w:w="240" w:type="dxa"/>
            <w:vAlign w:val="bottom"/>
            <w:shd w:val="clear" w:color="auto" w:fill="F0F5F1"/>
          </w:tcPr>
          <w:p>
            <w:pPr>
              <w:spacing w:after="0"/>
              <w:rPr>
                <w:sz w:val="13"/>
                <w:szCs w:val="13"/>
                <w:color w:val="auto"/>
              </w:rPr>
            </w:pPr>
          </w:p>
        </w:tc>
        <w:tc>
          <w:tcPr>
            <w:tcW w:w="1580" w:type="dxa"/>
            <w:vAlign w:val="bottom"/>
            <w:gridSpan w:val="2"/>
            <w:shd w:val="clear" w:color="auto" w:fill="F0F5F1"/>
          </w:tcPr>
          <w:p>
            <w:pPr>
              <w:jc w:val="center"/>
              <w:ind w:left="553"/>
              <w:spacing w:after="0"/>
              <w:rPr>
                <w:sz w:val="20"/>
                <w:szCs w:val="20"/>
                <w:color w:val="auto"/>
              </w:rPr>
            </w:pPr>
            <w:r>
              <w:rPr>
                <w:rFonts w:ascii="Arial" w:cs="Arial" w:eastAsia="Arial" w:hAnsi="Arial"/>
                <w:sz w:val="13"/>
                <w:szCs w:val="13"/>
                <w:b w:val="1"/>
                <w:bCs w:val="1"/>
                <w:color w:val="auto"/>
              </w:rPr>
              <w:t>Market Price</w:t>
            </w:r>
          </w:p>
        </w:tc>
        <w:tc>
          <w:tcPr>
            <w:tcW w:w="1040" w:type="dxa"/>
            <w:vAlign w:val="bottom"/>
            <w:shd w:val="clear" w:color="auto" w:fill="F0F5F1"/>
          </w:tcPr>
          <w:p>
            <w:pPr>
              <w:spacing w:after="0"/>
              <w:rPr>
                <w:sz w:val="13"/>
                <w:szCs w:val="13"/>
                <w:color w:val="auto"/>
              </w:rPr>
            </w:pP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center"/>
              <w:ind w:right="313"/>
              <w:spacing w:after="0"/>
              <w:rPr>
                <w:sz w:val="20"/>
                <w:szCs w:val="20"/>
                <w:color w:val="auto"/>
              </w:rPr>
            </w:pPr>
            <w:r>
              <w:rPr>
                <w:rFonts w:ascii="Arial" w:cs="Arial" w:eastAsia="Arial" w:hAnsi="Arial"/>
                <w:sz w:val="13"/>
                <w:szCs w:val="13"/>
                <w:b w:val="1"/>
                <w:bCs w:val="1"/>
                <w:color w:val="auto"/>
              </w:rPr>
              <w:t>on Date of</w:t>
            </w:r>
          </w:p>
        </w:tc>
        <w:tc>
          <w:tcPr>
            <w:tcW w:w="540" w:type="dxa"/>
            <w:vAlign w:val="bottom"/>
            <w:shd w:val="clear" w:color="auto" w:fill="F0F5F1"/>
          </w:tcPr>
          <w:p>
            <w:pPr>
              <w:spacing w:after="0"/>
              <w:rPr>
                <w:sz w:val="13"/>
                <w:szCs w:val="13"/>
                <w:color w:val="auto"/>
              </w:rPr>
            </w:pPr>
          </w:p>
        </w:tc>
        <w:tc>
          <w:tcPr>
            <w:tcW w:w="1300" w:type="dxa"/>
            <w:vAlign w:val="bottom"/>
            <w:shd w:val="clear" w:color="auto" w:fill="F0F5F1"/>
          </w:tcPr>
          <w:p>
            <w:pPr>
              <w:spacing w:after="0"/>
              <w:rPr>
                <w:sz w:val="13"/>
                <w:szCs w:val="13"/>
                <w:color w:val="auto"/>
              </w:rPr>
            </w:pPr>
          </w:p>
        </w:tc>
      </w:tr>
      <w:tr>
        <w:trPr>
          <w:trHeight w:val="179"/>
        </w:trPr>
        <w:tc>
          <w:tcPr>
            <w:tcW w:w="1820" w:type="dxa"/>
            <w:vAlign w:val="bottom"/>
            <w:tcBorders>
              <w:bottom w:val="single" w:sz="8" w:color="F0F5F1"/>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During</w:t>
            </w:r>
          </w:p>
        </w:tc>
        <w:tc>
          <w:tcPr>
            <w:tcW w:w="100" w:type="dxa"/>
            <w:vAlign w:val="bottom"/>
            <w:tcBorders>
              <w:bottom w:val="single" w:sz="8" w:color="F0F5F1"/>
            </w:tcBorders>
            <w:shd w:val="clear" w:color="auto" w:fill="F0F5F1"/>
          </w:tcPr>
          <w:p>
            <w:pPr>
              <w:spacing w:after="0"/>
              <w:rPr>
                <w:sz w:val="15"/>
                <w:szCs w:val="15"/>
                <w:color w:val="auto"/>
              </w:rPr>
            </w:pPr>
          </w:p>
        </w:tc>
        <w:tc>
          <w:tcPr>
            <w:tcW w:w="120" w:type="dxa"/>
            <w:vAlign w:val="bottom"/>
            <w:tcBorders>
              <w:bottom w:val="single" w:sz="8" w:color="auto"/>
            </w:tcBorders>
            <w:shd w:val="clear" w:color="auto" w:fill="F0F5F1"/>
          </w:tcPr>
          <w:p>
            <w:pPr>
              <w:spacing w:after="0"/>
              <w:rPr>
                <w:sz w:val="15"/>
                <w:szCs w:val="15"/>
                <w:color w:val="auto"/>
              </w:rPr>
            </w:pPr>
          </w:p>
        </w:tc>
        <w:tc>
          <w:tcPr>
            <w:tcW w:w="620" w:type="dxa"/>
            <w:vAlign w:val="bottom"/>
            <w:tcBorders>
              <w:bottom w:val="single" w:sz="8" w:color="auto"/>
            </w:tcBorders>
            <w:shd w:val="clear" w:color="auto" w:fill="F0F5F1"/>
          </w:tcPr>
          <w:p>
            <w:pPr>
              <w:spacing w:after="0"/>
              <w:rPr>
                <w:sz w:val="15"/>
                <w:szCs w:val="15"/>
                <w:color w:val="auto"/>
              </w:rPr>
            </w:pPr>
          </w:p>
        </w:tc>
        <w:tc>
          <w:tcPr>
            <w:tcW w:w="1020" w:type="dxa"/>
            <w:vAlign w:val="bottom"/>
            <w:tcBorders>
              <w:bottom w:val="single" w:sz="8" w:color="auto"/>
            </w:tcBorders>
            <w:gridSpan w:val="2"/>
            <w:shd w:val="clear" w:color="auto" w:fill="F0F5F1"/>
          </w:tcPr>
          <w:p>
            <w:pPr>
              <w:ind w:left="40"/>
              <w:spacing w:after="0" w:line="176" w:lineRule="exact"/>
              <w:rPr>
                <w:sz w:val="20"/>
                <w:szCs w:val="20"/>
                <w:color w:val="auto"/>
              </w:rPr>
            </w:pPr>
            <w:r>
              <w:rPr>
                <w:rFonts w:ascii="Arial" w:cs="Arial" w:eastAsia="Arial" w:hAnsi="Arial"/>
                <w:sz w:val="12"/>
                <w:szCs w:val="12"/>
                <w:b w:val="1"/>
                <w:bCs w:val="1"/>
                <w:color w:val="auto"/>
              </w:rPr>
              <w:t>Market Price</w:t>
            </w:r>
            <w:r>
              <w:rPr>
                <w:rFonts w:ascii="Arial" w:cs="Arial" w:eastAsia="Arial" w:hAnsi="Arial"/>
                <w:sz w:val="20"/>
                <w:szCs w:val="20"/>
                <w:b w:val="1"/>
                <w:bCs w:val="1"/>
                <w:color w:val="auto"/>
                <w:vertAlign w:val="superscript"/>
              </w:rPr>
              <w:t>(1)</w:t>
            </w:r>
          </w:p>
        </w:tc>
        <w:tc>
          <w:tcPr>
            <w:tcW w:w="840" w:type="dxa"/>
            <w:vAlign w:val="bottom"/>
            <w:tcBorders>
              <w:bottom w:val="single" w:sz="8" w:color="auto"/>
            </w:tcBorders>
            <w:shd w:val="clear" w:color="auto" w:fill="F0F5F1"/>
          </w:tcPr>
          <w:p>
            <w:pPr>
              <w:spacing w:after="0"/>
              <w:rPr>
                <w:sz w:val="15"/>
                <w:szCs w:val="15"/>
                <w:color w:val="auto"/>
              </w:rPr>
            </w:pPr>
          </w:p>
        </w:tc>
        <w:tc>
          <w:tcPr>
            <w:tcW w:w="240" w:type="dxa"/>
            <w:vAlign w:val="bottom"/>
            <w:tcBorders>
              <w:bottom w:val="single" w:sz="8" w:color="auto"/>
            </w:tcBorders>
            <w:shd w:val="clear" w:color="auto" w:fill="F0F5F1"/>
          </w:tcPr>
          <w:p>
            <w:pPr>
              <w:spacing w:after="0"/>
              <w:rPr>
                <w:sz w:val="15"/>
                <w:szCs w:val="15"/>
                <w:color w:val="auto"/>
              </w:rPr>
            </w:pPr>
          </w:p>
        </w:tc>
        <w:tc>
          <w:tcPr>
            <w:tcW w:w="1580" w:type="dxa"/>
            <w:vAlign w:val="bottom"/>
            <w:tcBorders>
              <w:bottom w:val="single" w:sz="8" w:color="auto"/>
            </w:tcBorders>
            <w:gridSpan w:val="2"/>
            <w:shd w:val="clear" w:color="auto" w:fill="F0F5F1"/>
          </w:tcPr>
          <w:p>
            <w:pPr>
              <w:jc w:val="center"/>
              <w:ind w:left="553"/>
              <w:spacing w:after="0" w:line="176" w:lineRule="exact"/>
              <w:rPr>
                <w:sz w:val="20"/>
                <w:szCs w:val="20"/>
                <w:color w:val="auto"/>
              </w:rPr>
            </w:pPr>
            <w:r>
              <w:rPr>
                <w:rFonts w:ascii="Arial" w:cs="Arial" w:eastAsia="Arial" w:hAnsi="Arial"/>
                <w:sz w:val="12"/>
                <w:szCs w:val="12"/>
                <w:b w:val="1"/>
                <w:bCs w:val="1"/>
                <w:color w:val="auto"/>
              </w:rPr>
              <w:t>Per Share</w:t>
            </w:r>
            <w:r>
              <w:rPr>
                <w:rFonts w:ascii="Arial" w:cs="Arial" w:eastAsia="Arial" w:hAnsi="Arial"/>
                <w:sz w:val="20"/>
                <w:szCs w:val="20"/>
                <w:b w:val="1"/>
                <w:bCs w:val="1"/>
                <w:color w:val="auto"/>
                <w:vertAlign w:val="superscript"/>
              </w:rPr>
              <w:t>(2)</w:t>
            </w:r>
          </w:p>
        </w:tc>
        <w:tc>
          <w:tcPr>
            <w:tcW w:w="1040" w:type="dxa"/>
            <w:vAlign w:val="bottom"/>
            <w:tcBorders>
              <w:bottom w:val="single" w:sz="8" w:color="auto"/>
            </w:tcBorders>
            <w:shd w:val="clear" w:color="auto" w:fill="F0F5F1"/>
          </w:tcPr>
          <w:p>
            <w:pPr>
              <w:spacing w:after="0"/>
              <w:rPr>
                <w:sz w:val="15"/>
                <w:szCs w:val="15"/>
                <w:color w:val="auto"/>
              </w:rPr>
            </w:pPr>
          </w:p>
        </w:tc>
        <w:tc>
          <w:tcPr>
            <w:tcW w:w="640" w:type="dxa"/>
            <w:vAlign w:val="bottom"/>
            <w:tcBorders>
              <w:bottom w:val="single" w:sz="8" w:color="auto"/>
            </w:tcBorders>
            <w:shd w:val="clear" w:color="auto" w:fill="F0F5F1"/>
          </w:tcPr>
          <w:p>
            <w:pPr>
              <w:spacing w:after="0"/>
              <w:rPr>
                <w:sz w:val="15"/>
                <w:szCs w:val="15"/>
                <w:color w:val="auto"/>
              </w:rPr>
            </w:pPr>
          </w:p>
        </w:tc>
        <w:tc>
          <w:tcPr>
            <w:tcW w:w="1380" w:type="dxa"/>
            <w:vAlign w:val="bottom"/>
            <w:tcBorders>
              <w:bottom w:val="single" w:sz="8" w:color="auto"/>
            </w:tcBorders>
            <w:shd w:val="clear" w:color="auto" w:fill="F0F5F1"/>
          </w:tcPr>
          <w:p>
            <w:pPr>
              <w:jc w:val="center"/>
              <w:ind w:right="313"/>
              <w:spacing w:after="0" w:line="176" w:lineRule="exact"/>
              <w:rPr>
                <w:sz w:val="20"/>
                <w:szCs w:val="20"/>
                <w:color w:val="auto"/>
              </w:rPr>
            </w:pPr>
            <w:r>
              <w:rPr>
                <w:rFonts w:ascii="Arial" w:cs="Arial" w:eastAsia="Arial" w:hAnsi="Arial"/>
                <w:sz w:val="12"/>
                <w:szCs w:val="12"/>
                <w:b w:val="1"/>
                <w:bCs w:val="1"/>
                <w:color w:val="auto"/>
              </w:rPr>
              <w:t>Market Price</w:t>
            </w:r>
            <w:r>
              <w:rPr>
                <w:rFonts w:ascii="Arial" w:cs="Arial" w:eastAsia="Arial" w:hAnsi="Arial"/>
                <w:sz w:val="20"/>
                <w:szCs w:val="20"/>
                <w:b w:val="1"/>
                <w:bCs w:val="1"/>
                <w:color w:val="auto"/>
                <w:vertAlign w:val="superscript"/>
              </w:rPr>
              <w:t>(3)</w:t>
            </w:r>
          </w:p>
        </w:tc>
        <w:tc>
          <w:tcPr>
            <w:tcW w:w="540" w:type="dxa"/>
            <w:vAlign w:val="bottom"/>
            <w:tcBorders>
              <w:bottom w:val="single" w:sz="8" w:color="auto"/>
            </w:tcBorders>
            <w:shd w:val="clear" w:color="auto" w:fill="F0F5F1"/>
          </w:tcPr>
          <w:p>
            <w:pPr>
              <w:spacing w:after="0"/>
              <w:rPr>
                <w:sz w:val="15"/>
                <w:szCs w:val="15"/>
                <w:color w:val="auto"/>
              </w:rPr>
            </w:pPr>
          </w:p>
        </w:tc>
        <w:tc>
          <w:tcPr>
            <w:tcW w:w="1300" w:type="dxa"/>
            <w:vAlign w:val="bottom"/>
            <w:tcBorders>
              <w:bottom w:val="single" w:sz="8" w:color="F0F5F1"/>
            </w:tcBorders>
            <w:shd w:val="clear" w:color="auto" w:fill="F0F5F1"/>
          </w:tcPr>
          <w:p>
            <w:pPr>
              <w:jc w:val="right"/>
              <w:ind w:right="375"/>
              <w:spacing w:after="0"/>
              <w:rPr>
                <w:sz w:val="20"/>
                <w:szCs w:val="20"/>
                <w:color w:val="auto"/>
              </w:rPr>
            </w:pPr>
            <w:r>
              <w:rPr>
                <w:rFonts w:ascii="Arial" w:cs="Arial" w:eastAsia="Arial" w:hAnsi="Arial"/>
                <w:sz w:val="11"/>
                <w:szCs w:val="11"/>
                <w:b w:val="1"/>
                <w:bCs w:val="1"/>
                <w:color w:val="auto"/>
              </w:rPr>
              <w:t>Trading</w:t>
            </w:r>
          </w:p>
        </w:tc>
      </w:tr>
      <w:tr>
        <w:trPr>
          <w:trHeight w:val="151"/>
        </w:trPr>
        <w:tc>
          <w:tcPr>
            <w:tcW w:w="1820" w:type="dxa"/>
            <w:vAlign w:val="bottom"/>
            <w:tcBorders>
              <w:bottom w:val="single" w:sz="8" w:color="auto"/>
            </w:tcBorders>
            <w:shd w:val="clear" w:color="auto" w:fill="F0F5F1"/>
          </w:tcPr>
          <w:p>
            <w:pPr>
              <w:ind w:left="100"/>
              <w:spacing w:after="0"/>
              <w:rPr>
                <w:sz w:val="20"/>
                <w:szCs w:val="20"/>
                <w:color w:val="auto"/>
              </w:rPr>
            </w:pPr>
            <w:r>
              <w:rPr>
                <w:rFonts w:ascii="Arial" w:cs="Arial" w:eastAsia="Arial" w:hAnsi="Arial"/>
                <w:sz w:val="13"/>
                <w:szCs w:val="13"/>
                <w:b w:val="1"/>
                <w:bCs w:val="1"/>
                <w:color w:val="auto"/>
              </w:rPr>
              <w:t>Quarter Ended</w:t>
            </w:r>
          </w:p>
        </w:tc>
        <w:tc>
          <w:tcPr>
            <w:tcW w:w="100" w:type="dxa"/>
            <w:vAlign w:val="bottom"/>
            <w:tcBorders>
              <w:bottom w:val="single" w:sz="8" w:color="auto"/>
            </w:tcBorders>
            <w:shd w:val="clear" w:color="auto" w:fill="F0F5F1"/>
          </w:tcPr>
          <w:p>
            <w:pPr>
              <w:spacing w:after="0"/>
              <w:rPr>
                <w:sz w:val="13"/>
                <w:szCs w:val="13"/>
                <w:color w:val="auto"/>
              </w:rPr>
            </w:pPr>
          </w:p>
        </w:tc>
        <w:tc>
          <w:tcPr>
            <w:tcW w:w="120" w:type="dxa"/>
            <w:vAlign w:val="bottom"/>
            <w:tcBorders>
              <w:bottom w:val="single" w:sz="8" w:color="auto"/>
            </w:tcBorders>
            <w:shd w:val="clear" w:color="auto" w:fill="F0F5F1"/>
          </w:tcPr>
          <w:p>
            <w:pPr>
              <w:spacing w:after="0"/>
              <w:rPr>
                <w:sz w:val="13"/>
                <w:szCs w:val="13"/>
                <w:color w:val="auto"/>
              </w:rPr>
            </w:pPr>
          </w:p>
        </w:tc>
        <w:tc>
          <w:tcPr>
            <w:tcW w:w="620" w:type="dxa"/>
            <w:vAlign w:val="bottom"/>
            <w:tcBorders>
              <w:bottom w:val="single" w:sz="8" w:color="auto"/>
            </w:tcBorders>
            <w:shd w:val="clear" w:color="auto" w:fill="F0F5F1"/>
          </w:tcPr>
          <w:p>
            <w:pPr>
              <w:ind w:left="300"/>
              <w:spacing w:after="0"/>
              <w:rPr>
                <w:sz w:val="20"/>
                <w:szCs w:val="20"/>
                <w:color w:val="auto"/>
              </w:rPr>
            </w:pPr>
            <w:r>
              <w:rPr>
                <w:rFonts w:ascii="Arial" w:cs="Arial" w:eastAsia="Arial" w:hAnsi="Arial"/>
                <w:sz w:val="13"/>
                <w:szCs w:val="13"/>
                <w:b w:val="1"/>
                <w:bCs w:val="1"/>
                <w:color w:val="auto"/>
              </w:rPr>
              <w:t>High</w:t>
            </w:r>
          </w:p>
        </w:tc>
        <w:tc>
          <w:tcPr>
            <w:tcW w:w="500" w:type="dxa"/>
            <w:vAlign w:val="bottom"/>
            <w:tcBorders>
              <w:bottom w:val="single" w:sz="8" w:color="auto"/>
            </w:tcBorders>
            <w:shd w:val="clear" w:color="auto" w:fill="F0F5F1"/>
          </w:tcPr>
          <w:p>
            <w:pPr>
              <w:spacing w:after="0"/>
              <w:rPr>
                <w:sz w:val="13"/>
                <w:szCs w:val="13"/>
                <w:color w:val="auto"/>
              </w:rPr>
            </w:pPr>
          </w:p>
        </w:tc>
        <w:tc>
          <w:tcPr>
            <w:tcW w:w="520" w:type="dxa"/>
            <w:vAlign w:val="bottom"/>
            <w:tcBorders>
              <w:bottom w:val="single" w:sz="8" w:color="auto"/>
            </w:tcBorders>
            <w:shd w:val="clear" w:color="auto" w:fill="F0F5F1"/>
          </w:tcPr>
          <w:p>
            <w:pPr>
              <w:spacing w:after="0"/>
              <w:rPr>
                <w:sz w:val="13"/>
                <w:szCs w:val="13"/>
                <w:color w:val="auto"/>
              </w:rPr>
            </w:pPr>
          </w:p>
        </w:tc>
        <w:tc>
          <w:tcPr>
            <w:tcW w:w="840" w:type="dxa"/>
            <w:vAlign w:val="bottom"/>
            <w:tcBorders>
              <w:bottom w:val="single" w:sz="8" w:color="auto"/>
            </w:tcBorders>
            <w:shd w:val="clear" w:color="auto" w:fill="F0F5F1"/>
          </w:tcPr>
          <w:p>
            <w:pPr>
              <w:jc w:val="right"/>
              <w:ind w:right="473"/>
              <w:spacing w:after="0"/>
              <w:rPr>
                <w:sz w:val="20"/>
                <w:szCs w:val="20"/>
                <w:color w:val="auto"/>
              </w:rPr>
            </w:pPr>
            <w:r>
              <w:rPr>
                <w:rFonts w:ascii="Arial" w:cs="Arial" w:eastAsia="Arial" w:hAnsi="Arial"/>
                <w:sz w:val="13"/>
                <w:szCs w:val="13"/>
                <w:b w:val="1"/>
                <w:bCs w:val="1"/>
                <w:color w:val="auto"/>
              </w:rPr>
              <w:t>Low</w:t>
            </w:r>
          </w:p>
        </w:tc>
        <w:tc>
          <w:tcPr>
            <w:tcW w:w="240" w:type="dxa"/>
            <w:vAlign w:val="bottom"/>
            <w:tcBorders>
              <w:bottom w:val="single" w:sz="8" w:color="auto"/>
            </w:tcBorders>
            <w:shd w:val="clear" w:color="auto" w:fill="F0F5F1"/>
          </w:tcPr>
          <w:p>
            <w:pPr>
              <w:spacing w:after="0"/>
              <w:rPr>
                <w:sz w:val="13"/>
                <w:szCs w:val="13"/>
                <w:color w:val="auto"/>
              </w:rPr>
            </w:pPr>
          </w:p>
        </w:tc>
        <w:tc>
          <w:tcPr>
            <w:tcW w:w="1100" w:type="dxa"/>
            <w:vAlign w:val="bottom"/>
            <w:tcBorders>
              <w:bottom w:val="single" w:sz="8" w:color="auto"/>
            </w:tcBorders>
            <w:shd w:val="clear" w:color="auto" w:fill="F0F5F1"/>
          </w:tcPr>
          <w:p>
            <w:pPr>
              <w:ind w:left="300"/>
              <w:spacing w:after="0"/>
              <w:rPr>
                <w:sz w:val="20"/>
                <w:szCs w:val="20"/>
                <w:color w:val="auto"/>
              </w:rPr>
            </w:pPr>
            <w:r>
              <w:rPr>
                <w:rFonts w:ascii="Arial" w:cs="Arial" w:eastAsia="Arial" w:hAnsi="Arial"/>
                <w:sz w:val="13"/>
                <w:szCs w:val="13"/>
                <w:b w:val="1"/>
                <w:bCs w:val="1"/>
                <w:color w:val="auto"/>
              </w:rPr>
              <w:t>High</w:t>
            </w:r>
          </w:p>
        </w:tc>
        <w:tc>
          <w:tcPr>
            <w:tcW w:w="480" w:type="dxa"/>
            <w:vAlign w:val="bottom"/>
            <w:tcBorders>
              <w:bottom w:val="single" w:sz="8" w:color="auto"/>
            </w:tcBorders>
            <w:shd w:val="clear" w:color="auto" w:fill="F0F5F1"/>
          </w:tcPr>
          <w:p>
            <w:pPr>
              <w:spacing w:after="0"/>
              <w:rPr>
                <w:sz w:val="13"/>
                <w:szCs w:val="13"/>
                <w:color w:val="auto"/>
              </w:rPr>
            </w:pPr>
          </w:p>
        </w:tc>
        <w:tc>
          <w:tcPr>
            <w:tcW w:w="1040" w:type="dxa"/>
            <w:vAlign w:val="bottom"/>
            <w:tcBorders>
              <w:bottom w:val="single" w:sz="8" w:color="auto"/>
            </w:tcBorders>
            <w:shd w:val="clear" w:color="auto" w:fill="F0F5F1"/>
          </w:tcPr>
          <w:p>
            <w:pPr>
              <w:jc w:val="right"/>
              <w:ind w:right="653"/>
              <w:spacing w:after="0"/>
              <w:rPr>
                <w:sz w:val="20"/>
                <w:szCs w:val="20"/>
                <w:color w:val="auto"/>
              </w:rPr>
            </w:pPr>
            <w:r>
              <w:rPr>
                <w:rFonts w:ascii="Arial" w:cs="Arial" w:eastAsia="Arial" w:hAnsi="Arial"/>
                <w:sz w:val="13"/>
                <w:szCs w:val="13"/>
                <w:b w:val="1"/>
                <w:bCs w:val="1"/>
                <w:color w:val="auto"/>
              </w:rPr>
              <w:t>Low</w:t>
            </w:r>
          </w:p>
        </w:tc>
        <w:tc>
          <w:tcPr>
            <w:tcW w:w="640" w:type="dxa"/>
            <w:vAlign w:val="bottom"/>
            <w:tcBorders>
              <w:bottom w:val="single" w:sz="8" w:color="auto"/>
            </w:tcBorders>
            <w:shd w:val="clear" w:color="auto" w:fill="F0F5F1"/>
          </w:tcPr>
          <w:p>
            <w:pPr>
              <w:ind w:left="300"/>
              <w:spacing w:after="0"/>
              <w:rPr>
                <w:sz w:val="20"/>
                <w:szCs w:val="20"/>
                <w:color w:val="auto"/>
              </w:rPr>
            </w:pPr>
            <w:r>
              <w:rPr>
                <w:rFonts w:ascii="Arial" w:cs="Arial" w:eastAsia="Arial" w:hAnsi="Arial"/>
                <w:sz w:val="13"/>
                <w:szCs w:val="13"/>
                <w:b w:val="1"/>
                <w:bCs w:val="1"/>
                <w:color w:val="auto"/>
              </w:rPr>
              <w:t>High</w:t>
            </w:r>
          </w:p>
        </w:tc>
        <w:tc>
          <w:tcPr>
            <w:tcW w:w="1380" w:type="dxa"/>
            <w:vAlign w:val="bottom"/>
            <w:tcBorders>
              <w:bottom w:val="single" w:sz="8" w:color="auto"/>
            </w:tcBorders>
            <w:shd w:val="clear" w:color="auto" w:fill="F0F5F1"/>
          </w:tcPr>
          <w:p>
            <w:pPr>
              <w:jc w:val="right"/>
              <w:spacing w:after="0"/>
              <w:rPr>
                <w:sz w:val="20"/>
                <w:szCs w:val="20"/>
                <w:color w:val="auto"/>
              </w:rPr>
            </w:pPr>
            <w:r>
              <w:rPr>
                <w:rFonts w:ascii="Arial" w:cs="Arial" w:eastAsia="Arial" w:hAnsi="Arial"/>
                <w:sz w:val="13"/>
                <w:szCs w:val="13"/>
                <w:b w:val="1"/>
                <w:bCs w:val="1"/>
                <w:color w:val="auto"/>
              </w:rPr>
              <w:t>Low</w:t>
            </w:r>
          </w:p>
        </w:tc>
        <w:tc>
          <w:tcPr>
            <w:tcW w:w="540" w:type="dxa"/>
            <w:vAlign w:val="bottom"/>
            <w:tcBorders>
              <w:bottom w:val="single" w:sz="8" w:color="auto"/>
            </w:tcBorders>
            <w:shd w:val="clear" w:color="auto" w:fill="F0F5F1"/>
          </w:tcPr>
          <w:p>
            <w:pPr>
              <w:spacing w:after="0"/>
              <w:rPr>
                <w:sz w:val="13"/>
                <w:szCs w:val="13"/>
                <w:color w:val="auto"/>
              </w:rPr>
            </w:pPr>
          </w:p>
        </w:tc>
        <w:tc>
          <w:tcPr>
            <w:tcW w:w="1300" w:type="dxa"/>
            <w:vAlign w:val="bottom"/>
            <w:tcBorders>
              <w:bottom w:val="single" w:sz="8" w:color="auto"/>
            </w:tcBorders>
            <w:shd w:val="clear" w:color="auto" w:fill="F0F5F1"/>
          </w:tcPr>
          <w:p>
            <w:pPr>
              <w:jc w:val="right"/>
              <w:ind w:right="255"/>
              <w:spacing w:after="0" w:line="151" w:lineRule="exact"/>
              <w:rPr>
                <w:sz w:val="20"/>
                <w:szCs w:val="20"/>
                <w:color w:val="auto"/>
              </w:rPr>
            </w:pPr>
            <w:r>
              <w:rPr>
                <w:rFonts w:ascii="Arial" w:cs="Arial" w:eastAsia="Arial" w:hAnsi="Arial"/>
                <w:sz w:val="11"/>
                <w:szCs w:val="11"/>
                <w:b w:val="1"/>
                <w:bCs w:val="1"/>
                <w:color w:val="auto"/>
              </w:rPr>
              <w:t>Volume</w:t>
            </w:r>
            <w:r>
              <w:rPr>
                <w:rFonts w:ascii="Arial" w:cs="Arial" w:eastAsia="Arial" w:hAnsi="Arial"/>
                <w:sz w:val="17"/>
                <w:szCs w:val="17"/>
                <w:b w:val="1"/>
                <w:bCs w:val="1"/>
                <w:color w:val="auto"/>
                <w:vertAlign w:val="superscript"/>
              </w:rPr>
              <w:t>(4)</w:t>
            </w:r>
          </w:p>
        </w:tc>
      </w:tr>
      <w:tr>
        <w:trPr>
          <w:trHeight w:val="143"/>
        </w:trPr>
        <w:tc>
          <w:tcPr>
            <w:tcW w:w="1820" w:type="dxa"/>
            <w:vAlign w:val="bottom"/>
            <w:shd w:val="clear" w:color="auto" w:fill="F0F5F1"/>
          </w:tcPr>
          <w:p>
            <w:pPr>
              <w:ind w:left="100"/>
              <w:spacing w:after="0" w:line="144" w:lineRule="exact"/>
              <w:rPr>
                <w:sz w:val="20"/>
                <w:szCs w:val="20"/>
                <w:color w:val="auto"/>
              </w:rPr>
            </w:pPr>
            <w:r>
              <w:rPr>
                <w:rFonts w:ascii="Arial" w:cs="Arial" w:eastAsia="Arial" w:hAnsi="Arial"/>
                <w:sz w:val="13"/>
                <w:szCs w:val="13"/>
                <w:color w:val="auto"/>
              </w:rPr>
              <w:t>March 31, 2023</w:t>
            </w:r>
          </w:p>
        </w:tc>
        <w:tc>
          <w:tcPr>
            <w:tcW w:w="100" w:type="dxa"/>
            <w:vAlign w:val="bottom"/>
            <w:shd w:val="clear" w:color="auto" w:fill="F0F5F1"/>
          </w:tcPr>
          <w:p>
            <w:pPr>
              <w:spacing w:after="0"/>
              <w:rPr>
                <w:sz w:val="12"/>
                <w:szCs w:val="12"/>
                <w:color w:val="auto"/>
              </w:rPr>
            </w:pPr>
          </w:p>
        </w:tc>
        <w:tc>
          <w:tcPr>
            <w:tcW w:w="120" w:type="dxa"/>
            <w:vAlign w:val="bottom"/>
            <w:shd w:val="clear" w:color="auto" w:fill="F0F5F1"/>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2"/>
                <w:szCs w:val="12"/>
                <w:color w:val="auto"/>
              </w:rPr>
            </w:pPr>
          </w:p>
        </w:tc>
        <w:tc>
          <w:tcPr>
            <w:tcW w:w="500" w:type="dxa"/>
            <w:vAlign w:val="bottom"/>
            <w:shd w:val="clear" w:color="auto" w:fill="F0F5F1"/>
          </w:tcPr>
          <w:p>
            <w:pPr>
              <w:ind w:left="60"/>
              <w:spacing w:after="0" w:line="144" w:lineRule="exact"/>
              <w:rPr>
                <w:sz w:val="20"/>
                <w:szCs w:val="20"/>
                <w:color w:val="auto"/>
              </w:rPr>
            </w:pPr>
            <w:r>
              <w:rPr>
                <w:rFonts w:ascii="Arial" w:cs="Arial" w:eastAsia="Arial" w:hAnsi="Arial"/>
                <w:sz w:val="13"/>
                <w:szCs w:val="13"/>
                <w:color w:val="auto"/>
              </w:rPr>
              <w:t>21.12</w:t>
            </w:r>
          </w:p>
        </w:tc>
        <w:tc>
          <w:tcPr>
            <w:tcW w:w="520" w:type="dxa"/>
            <w:vAlign w:val="bottom"/>
            <w:shd w:val="clear" w:color="auto" w:fill="F0F5F1"/>
          </w:tcPr>
          <w:p>
            <w:pPr>
              <w:jc w:val="right"/>
              <w:ind w:right="253"/>
              <w:spacing w:after="0" w:line="144" w:lineRule="exact"/>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line="144" w:lineRule="exact"/>
              <w:rPr>
                <w:sz w:val="20"/>
                <w:szCs w:val="20"/>
                <w:color w:val="auto"/>
              </w:rPr>
            </w:pPr>
            <w:r>
              <w:rPr>
                <w:rFonts w:ascii="Arial" w:cs="Arial" w:eastAsia="Arial" w:hAnsi="Arial"/>
                <w:sz w:val="13"/>
                <w:szCs w:val="13"/>
                <w:color w:val="auto"/>
              </w:rPr>
              <w:t>20.62</w:t>
            </w:r>
          </w:p>
        </w:tc>
        <w:tc>
          <w:tcPr>
            <w:tcW w:w="240" w:type="dxa"/>
            <w:vAlign w:val="bottom"/>
            <w:shd w:val="clear" w:color="auto" w:fill="F0F5F1"/>
          </w:tcPr>
          <w:p>
            <w:pPr>
              <w:jc w:val="right"/>
              <w:spacing w:after="0" w:line="144" w:lineRule="exact"/>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line="144" w:lineRule="exact"/>
              <w:rPr>
                <w:sz w:val="20"/>
                <w:szCs w:val="20"/>
                <w:color w:val="auto"/>
              </w:rPr>
            </w:pPr>
            <w:r>
              <w:rPr>
                <w:rFonts w:ascii="Arial" w:cs="Arial" w:eastAsia="Arial" w:hAnsi="Arial"/>
                <w:sz w:val="13"/>
                <w:szCs w:val="13"/>
                <w:color w:val="auto"/>
              </w:rPr>
              <w:t>19.37</w:t>
            </w:r>
          </w:p>
        </w:tc>
        <w:tc>
          <w:tcPr>
            <w:tcW w:w="480" w:type="dxa"/>
            <w:vAlign w:val="bottom"/>
            <w:shd w:val="clear" w:color="auto" w:fill="F0F5F1"/>
          </w:tcPr>
          <w:p>
            <w:pPr>
              <w:jc w:val="right"/>
              <w:ind w:right="233"/>
              <w:spacing w:after="0" w:line="144" w:lineRule="exact"/>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line="144" w:lineRule="exact"/>
              <w:rPr>
                <w:sz w:val="20"/>
                <w:szCs w:val="20"/>
                <w:color w:val="auto"/>
              </w:rPr>
            </w:pPr>
            <w:r>
              <w:rPr>
                <w:rFonts w:ascii="Arial" w:cs="Arial" w:eastAsia="Arial" w:hAnsi="Arial"/>
                <w:sz w:val="13"/>
                <w:szCs w:val="13"/>
                <w:color w:val="auto"/>
              </w:rPr>
              <w:t>15.20</w:t>
            </w:r>
          </w:p>
        </w:tc>
        <w:tc>
          <w:tcPr>
            <w:tcW w:w="640" w:type="dxa"/>
            <w:vAlign w:val="bottom"/>
            <w:shd w:val="clear" w:color="auto" w:fill="F0F5F1"/>
          </w:tcPr>
          <w:p>
            <w:pPr>
              <w:spacing w:after="0"/>
              <w:rPr>
                <w:sz w:val="12"/>
                <w:szCs w:val="12"/>
                <w:color w:val="auto"/>
              </w:rPr>
            </w:pPr>
          </w:p>
        </w:tc>
        <w:tc>
          <w:tcPr>
            <w:tcW w:w="1380" w:type="dxa"/>
            <w:vAlign w:val="bottom"/>
            <w:shd w:val="clear" w:color="auto" w:fill="F0F5F1"/>
          </w:tcPr>
          <w:p>
            <w:pPr>
              <w:jc w:val="right"/>
              <w:ind w:right="793"/>
              <w:spacing w:after="0" w:line="144" w:lineRule="exact"/>
              <w:rPr>
                <w:sz w:val="20"/>
                <w:szCs w:val="20"/>
                <w:color w:val="auto"/>
              </w:rPr>
            </w:pPr>
            <w:r>
              <w:rPr>
                <w:rFonts w:ascii="Arial" w:cs="Arial" w:eastAsia="Arial" w:hAnsi="Arial"/>
                <w:sz w:val="13"/>
                <w:szCs w:val="13"/>
                <w:color w:val="auto"/>
              </w:rPr>
              <w:t>(8.3)%</w:t>
            </w:r>
          </w:p>
        </w:tc>
        <w:tc>
          <w:tcPr>
            <w:tcW w:w="540" w:type="dxa"/>
            <w:vAlign w:val="bottom"/>
            <w:shd w:val="clear" w:color="auto" w:fill="F0F5F1"/>
          </w:tcPr>
          <w:p>
            <w:pPr>
              <w:jc w:val="right"/>
              <w:spacing w:after="0" w:line="144" w:lineRule="exact"/>
              <w:rPr>
                <w:sz w:val="20"/>
                <w:szCs w:val="20"/>
                <w:color w:val="auto"/>
              </w:rPr>
            </w:pPr>
            <w:r>
              <w:rPr>
                <w:rFonts w:ascii="Arial" w:cs="Arial" w:eastAsia="Arial" w:hAnsi="Arial"/>
                <w:sz w:val="13"/>
                <w:szCs w:val="13"/>
                <w:color w:val="auto"/>
              </w:rPr>
              <w:t>(26.3)%</w:t>
            </w:r>
          </w:p>
        </w:tc>
        <w:tc>
          <w:tcPr>
            <w:tcW w:w="1300" w:type="dxa"/>
            <w:vAlign w:val="bottom"/>
            <w:shd w:val="clear" w:color="auto" w:fill="F0F5F1"/>
          </w:tcPr>
          <w:p>
            <w:pPr>
              <w:jc w:val="right"/>
              <w:ind w:right="35"/>
              <w:spacing w:after="0" w:line="144" w:lineRule="exact"/>
              <w:rPr>
                <w:sz w:val="20"/>
                <w:szCs w:val="20"/>
                <w:color w:val="auto"/>
              </w:rPr>
            </w:pPr>
            <w:r>
              <w:rPr>
                <w:rFonts w:ascii="Arial" w:cs="Arial" w:eastAsia="Arial" w:hAnsi="Arial"/>
                <w:sz w:val="13"/>
                <w:szCs w:val="13"/>
                <w:color w:val="auto"/>
              </w:rPr>
              <w:t>851,252</w:t>
            </w:r>
          </w:p>
        </w:tc>
      </w:tr>
      <w:tr>
        <w:trPr>
          <w:trHeight w:val="151"/>
        </w:trPr>
        <w:tc>
          <w:tcPr>
            <w:tcW w:w="1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June 30, 2023</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ind w:left="60"/>
              <w:spacing w:after="0"/>
              <w:rPr>
                <w:sz w:val="20"/>
                <w:szCs w:val="20"/>
                <w:color w:val="auto"/>
              </w:rPr>
            </w:pPr>
            <w:r>
              <w:rPr>
                <w:rFonts w:ascii="Arial" w:cs="Arial" w:eastAsia="Arial" w:hAnsi="Arial"/>
                <w:sz w:val="13"/>
                <w:szCs w:val="13"/>
                <w:color w:val="auto"/>
              </w:rPr>
              <w:t>21.16</w:t>
            </w:r>
          </w:p>
        </w:tc>
        <w:tc>
          <w:tcPr>
            <w:tcW w:w="520" w:type="dxa"/>
            <w:vAlign w:val="bottom"/>
            <w:shd w:val="clear" w:color="auto" w:fill="F0F5F1"/>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rPr>
                <w:sz w:val="20"/>
                <w:szCs w:val="20"/>
                <w:color w:val="auto"/>
              </w:rPr>
            </w:pPr>
            <w:r>
              <w:rPr>
                <w:rFonts w:ascii="Arial" w:cs="Arial" w:eastAsia="Arial" w:hAnsi="Arial"/>
                <w:sz w:val="13"/>
                <w:szCs w:val="13"/>
                <w:color w:val="auto"/>
              </w:rPr>
              <w:t>21.16</w:t>
            </w:r>
          </w:p>
        </w:tc>
        <w:tc>
          <w:tcPr>
            <w:tcW w:w="2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rPr>
                <w:sz w:val="20"/>
                <w:szCs w:val="20"/>
                <w:color w:val="auto"/>
              </w:rPr>
            </w:pPr>
            <w:r>
              <w:rPr>
                <w:rFonts w:ascii="Arial" w:cs="Arial" w:eastAsia="Arial" w:hAnsi="Arial"/>
                <w:sz w:val="13"/>
                <w:szCs w:val="13"/>
                <w:color w:val="auto"/>
              </w:rPr>
              <w:t>19.26</w:t>
            </w:r>
          </w:p>
        </w:tc>
        <w:tc>
          <w:tcPr>
            <w:tcW w:w="48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13.80</w:t>
            </w: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right"/>
              <w:ind w:right="793"/>
              <w:spacing w:after="0"/>
              <w:rPr>
                <w:sz w:val="20"/>
                <w:szCs w:val="20"/>
                <w:color w:val="auto"/>
              </w:rPr>
            </w:pPr>
            <w:r>
              <w:rPr>
                <w:rFonts w:ascii="Arial" w:cs="Arial" w:eastAsia="Arial" w:hAnsi="Arial"/>
                <w:sz w:val="13"/>
                <w:szCs w:val="13"/>
                <w:color w:val="auto"/>
              </w:rPr>
              <w:t>(9.0)%</w:t>
            </w:r>
          </w:p>
        </w:tc>
        <w:tc>
          <w:tcPr>
            <w:tcW w:w="5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(34.8)%</w:t>
            </w:r>
          </w:p>
        </w:tc>
        <w:tc>
          <w:tcPr>
            <w:tcW w:w="1300" w:type="dxa"/>
            <w:vAlign w:val="bottom"/>
            <w:shd w:val="clear" w:color="auto" w:fill="F0F5F1"/>
          </w:tcPr>
          <w:p>
            <w:pPr>
              <w:jc w:val="right"/>
              <w:ind w:right="35"/>
              <w:spacing w:after="0"/>
              <w:rPr>
                <w:sz w:val="20"/>
                <w:szCs w:val="20"/>
                <w:color w:val="auto"/>
              </w:rPr>
            </w:pPr>
            <w:r>
              <w:rPr>
                <w:rFonts w:ascii="Arial" w:cs="Arial" w:eastAsia="Arial" w:hAnsi="Arial"/>
                <w:sz w:val="13"/>
                <w:szCs w:val="13"/>
                <w:color w:val="auto"/>
              </w:rPr>
              <w:t>1,243,574</w:t>
            </w:r>
          </w:p>
        </w:tc>
      </w:tr>
      <w:tr>
        <w:trPr>
          <w:trHeight w:val="151"/>
        </w:trPr>
        <w:tc>
          <w:tcPr>
            <w:tcW w:w="1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September 30, 2023</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ind w:left="60"/>
              <w:spacing w:after="0"/>
              <w:rPr>
                <w:sz w:val="20"/>
                <w:szCs w:val="20"/>
                <w:color w:val="auto"/>
              </w:rPr>
            </w:pPr>
            <w:r>
              <w:rPr>
                <w:rFonts w:ascii="Arial" w:cs="Arial" w:eastAsia="Arial" w:hAnsi="Arial"/>
                <w:sz w:val="13"/>
                <w:szCs w:val="13"/>
                <w:color w:val="auto"/>
              </w:rPr>
              <w:t>21.59</w:t>
            </w:r>
          </w:p>
        </w:tc>
        <w:tc>
          <w:tcPr>
            <w:tcW w:w="520" w:type="dxa"/>
            <w:vAlign w:val="bottom"/>
            <w:shd w:val="clear" w:color="auto" w:fill="F0F5F1"/>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rPr>
                <w:sz w:val="20"/>
                <w:szCs w:val="20"/>
                <w:color w:val="auto"/>
              </w:rPr>
            </w:pPr>
            <w:r>
              <w:rPr>
                <w:rFonts w:ascii="Arial" w:cs="Arial" w:eastAsia="Arial" w:hAnsi="Arial"/>
                <w:sz w:val="13"/>
                <w:szCs w:val="13"/>
                <w:color w:val="auto"/>
              </w:rPr>
              <w:t>21.29</w:t>
            </w:r>
          </w:p>
        </w:tc>
        <w:tc>
          <w:tcPr>
            <w:tcW w:w="2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rPr>
                <w:sz w:val="20"/>
                <w:szCs w:val="20"/>
                <w:color w:val="auto"/>
              </w:rPr>
            </w:pPr>
            <w:r>
              <w:rPr>
                <w:rFonts w:ascii="Arial" w:cs="Arial" w:eastAsia="Arial" w:hAnsi="Arial"/>
                <w:sz w:val="13"/>
                <w:szCs w:val="13"/>
                <w:color w:val="auto"/>
              </w:rPr>
              <w:t>18.75</w:t>
            </w:r>
          </w:p>
        </w:tc>
        <w:tc>
          <w:tcPr>
            <w:tcW w:w="48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16.07</w:t>
            </w: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right"/>
              <w:ind w:right="793"/>
              <w:spacing w:after="0"/>
              <w:rPr>
                <w:sz w:val="20"/>
                <w:szCs w:val="20"/>
                <w:color w:val="auto"/>
              </w:rPr>
            </w:pPr>
            <w:r>
              <w:rPr>
                <w:rFonts w:ascii="Arial" w:cs="Arial" w:eastAsia="Arial" w:hAnsi="Arial"/>
                <w:sz w:val="13"/>
                <w:szCs w:val="13"/>
                <w:color w:val="auto"/>
              </w:rPr>
              <w:t>(13.2)%</w:t>
            </w:r>
          </w:p>
        </w:tc>
        <w:tc>
          <w:tcPr>
            <w:tcW w:w="5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(24.5)%</w:t>
            </w:r>
          </w:p>
        </w:tc>
        <w:tc>
          <w:tcPr>
            <w:tcW w:w="1300" w:type="dxa"/>
            <w:vAlign w:val="bottom"/>
            <w:shd w:val="clear" w:color="auto" w:fill="F0F5F1"/>
          </w:tcPr>
          <w:p>
            <w:pPr>
              <w:jc w:val="right"/>
              <w:ind w:right="35"/>
              <w:spacing w:after="0"/>
              <w:rPr>
                <w:sz w:val="20"/>
                <w:szCs w:val="20"/>
                <w:color w:val="auto"/>
              </w:rPr>
            </w:pPr>
            <w:r>
              <w:rPr>
                <w:rFonts w:ascii="Arial" w:cs="Arial" w:eastAsia="Arial" w:hAnsi="Arial"/>
                <w:sz w:val="13"/>
                <w:szCs w:val="13"/>
                <w:color w:val="auto"/>
              </w:rPr>
              <w:t>990,214</w:t>
            </w:r>
          </w:p>
        </w:tc>
      </w:tr>
      <w:tr>
        <w:trPr>
          <w:trHeight w:val="151"/>
        </w:trPr>
        <w:tc>
          <w:tcPr>
            <w:tcW w:w="1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December 31, 2023</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ind w:left="60"/>
              <w:spacing w:after="0"/>
              <w:rPr>
                <w:sz w:val="20"/>
                <w:szCs w:val="20"/>
                <w:color w:val="auto"/>
              </w:rPr>
            </w:pPr>
            <w:r>
              <w:rPr>
                <w:rFonts w:ascii="Arial" w:cs="Arial" w:eastAsia="Arial" w:hAnsi="Arial"/>
                <w:sz w:val="13"/>
                <w:szCs w:val="13"/>
                <w:color w:val="auto"/>
              </w:rPr>
              <w:t>21.43</w:t>
            </w:r>
          </w:p>
        </w:tc>
        <w:tc>
          <w:tcPr>
            <w:tcW w:w="520" w:type="dxa"/>
            <w:vAlign w:val="bottom"/>
            <w:shd w:val="clear" w:color="auto" w:fill="F0F5F1"/>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rPr>
                <w:sz w:val="20"/>
                <w:szCs w:val="20"/>
                <w:color w:val="auto"/>
              </w:rPr>
            </w:pPr>
            <w:r>
              <w:rPr>
                <w:rFonts w:ascii="Arial" w:cs="Arial" w:eastAsia="Arial" w:hAnsi="Arial"/>
                <w:sz w:val="13"/>
                <w:szCs w:val="13"/>
                <w:color w:val="auto"/>
              </w:rPr>
              <w:t>21.45</w:t>
            </w:r>
          </w:p>
        </w:tc>
        <w:tc>
          <w:tcPr>
            <w:tcW w:w="2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rPr>
                <w:sz w:val="20"/>
                <w:szCs w:val="20"/>
                <w:color w:val="auto"/>
              </w:rPr>
            </w:pPr>
            <w:r>
              <w:rPr>
                <w:rFonts w:ascii="Arial" w:cs="Arial" w:eastAsia="Arial" w:hAnsi="Arial"/>
                <w:sz w:val="13"/>
                <w:szCs w:val="13"/>
                <w:color w:val="auto"/>
              </w:rPr>
              <w:t>19.15</w:t>
            </w:r>
          </w:p>
        </w:tc>
        <w:tc>
          <w:tcPr>
            <w:tcW w:w="48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16.28</w:t>
            </w: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right"/>
              <w:ind w:right="793"/>
              <w:spacing w:after="0"/>
              <w:rPr>
                <w:sz w:val="20"/>
                <w:szCs w:val="20"/>
                <w:color w:val="auto"/>
              </w:rPr>
            </w:pPr>
            <w:r>
              <w:rPr>
                <w:rFonts w:ascii="Arial" w:cs="Arial" w:eastAsia="Arial" w:hAnsi="Arial"/>
                <w:sz w:val="13"/>
                <w:szCs w:val="13"/>
                <w:color w:val="auto"/>
              </w:rPr>
              <w:t>(10.6)%</w:t>
            </w:r>
          </w:p>
        </w:tc>
        <w:tc>
          <w:tcPr>
            <w:tcW w:w="5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(24.1)%</w:t>
            </w:r>
          </w:p>
        </w:tc>
        <w:tc>
          <w:tcPr>
            <w:tcW w:w="1300" w:type="dxa"/>
            <w:vAlign w:val="bottom"/>
            <w:shd w:val="clear" w:color="auto" w:fill="F0F5F1"/>
          </w:tcPr>
          <w:p>
            <w:pPr>
              <w:jc w:val="right"/>
              <w:ind w:right="35"/>
              <w:spacing w:after="0"/>
              <w:rPr>
                <w:sz w:val="20"/>
                <w:szCs w:val="20"/>
                <w:color w:val="auto"/>
              </w:rPr>
            </w:pPr>
            <w:r>
              <w:rPr>
                <w:rFonts w:ascii="Arial" w:cs="Arial" w:eastAsia="Arial" w:hAnsi="Arial"/>
                <w:sz w:val="13"/>
                <w:szCs w:val="13"/>
                <w:color w:val="auto"/>
              </w:rPr>
              <w:t>2,071,174</w:t>
            </w:r>
          </w:p>
        </w:tc>
      </w:tr>
      <w:tr>
        <w:trPr>
          <w:trHeight w:val="151"/>
        </w:trPr>
        <w:tc>
          <w:tcPr>
            <w:tcW w:w="1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March 31, 2024</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ind w:left="60"/>
              <w:spacing w:after="0"/>
              <w:rPr>
                <w:sz w:val="20"/>
                <w:szCs w:val="20"/>
                <w:color w:val="auto"/>
              </w:rPr>
            </w:pPr>
            <w:r>
              <w:rPr>
                <w:rFonts w:ascii="Arial" w:cs="Arial" w:eastAsia="Arial" w:hAnsi="Arial"/>
                <w:sz w:val="13"/>
                <w:szCs w:val="13"/>
                <w:color w:val="auto"/>
              </w:rPr>
              <w:t>21.24</w:t>
            </w:r>
          </w:p>
        </w:tc>
        <w:tc>
          <w:tcPr>
            <w:tcW w:w="520" w:type="dxa"/>
            <w:vAlign w:val="bottom"/>
            <w:shd w:val="clear" w:color="auto" w:fill="F0F5F1"/>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rPr>
                <w:sz w:val="20"/>
                <w:szCs w:val="20"/>
                <w:color w:val="auto"/>
              </w:rPr>
            </w:pPr>
            <w:r>
              <w:rPr>
                <w:rFonts w:ascii="Arial" w:cs="Arial" w:eastAsia="Arial" w:hAnsi="Arial"/>
                <w:sz w:val="13"/>
                <w:szCs w:val="13"/>
                <w:color w:val="auto"/>
              </w:rPr>
              <w:t>21.32</w:t>
            </w:r>
          </w:p>
        </w:tc>
        <w:tc>
          <w:tcPr>
            <w:tcW w:w="2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rPr>
                <w:sz w:val="20"/>
                <w:szCs w:val="20"/>
                <w:color w:val="auto"/>
              </w:rPr>
            </w:pPr>
            <w:r>
              <w:rPr>
                <w:rFonts w:ascii="Arial" w:cs="Arial" w:eastAsia="Arial" w:hAnsi="Arial"/>
                <w:sz w:val="13"/>
                <w:szCs w:val="13"/>
                <w:color w:val="auto"/>
              </w:rPr>
              <w:t>19.50</w:t>
            </w:r>
          </w:p>
        </w:tc>
        <w:tc>
          <w:tcPr>
            <w:tcW w:w="48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17.81</w:t>
            </w: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right"/>
              <w:ind w:right="793"/>
              <w:spacing w:after="0"/>
              <w:rPr>
                <w:sz w:val="20"/>
                <w:szCs w:val="20"/>
                <w:color w:val="auto"/>
              </w:rPr>
            </w:pPr>
            <w:r>
              <w:rPr>
                <w:rFonts w:ascii="Arial" w:cs="Arial" w:eastAsia="Arial" w:hAnsi="Arial"/>
                <w:sz w:val="13"/>
                <w:szCs w:val="13"/>
                <w:color w:val="auto"/>
              </w:rPr>
              <w:t>(8.2)%</w:t>
            </w:r>
          </w:p>
        </w:tc>
        <w:tc>
          <w:tcPr>
            <w:tcW w:w="5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(16.5)%</w:t>
            </w:r>
          </w:p>
        </w:tc>
        <w:tc>
          <w:tcPr>
            <w:tcW w:w="1300" w:type="dxa"/>
            <w:vAlign w:val="bottom"/>
            <w:shd w:val="clear" w:color="auto" w:fill="F0F5F1"/>
          </w:tcPr>
          <w:p>
            <w:pPr>
              <w:jc w:val="right"/>
              <w:ind w:right="35"/>
              <w:spacing w:after="0"/>
              <w:rPr>
                <w:sz w:val="20"/>
                <w:szCs w:val="20"/>
                <w:color w:val="auto"/>
              </w:rPr>
            </w:pPr>
            <w:r>
              <w:rPr>
                <w:rFonts w:ascii="Arial" w:cs="Arial" w:eastAsia="Arial" w:hAnsi="Arial"/>
                <w:sz w:val="13"/>
                <w:szCs w:val="13"/>
                <w:color w:val="auto"/>
              </w:rPr>
              <w:t>925,364</w:t>
            </w:r>
          </w:p>
        </w:tc>
      </w:tr>
      <w:tr>
        <w:trPr>
          <w:trHeight w:val="151"/>
        </w:trPr>
        <w:tc>
          <w:tcPr>
            <w:tcW w:w="1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June 30, 2024</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ind w:left="60"/>
              <w:spacing w:after="0"/>
              <w:rPr>
                <w:sz w:val="20"/>
                <w:szCs w:val="20"/>
                <w:color w:val="auto"/>
              </w:rPr>
            </w:pPr>
            <w:r>
              <w:rPr>
                <w:rFonts w:ascii="Arial" w:cs="Arial" w:eastAsia="Arial" w:hAnsi="Arial"/>
                <w:sz w:val="13"/>
                <w:szCs w:val="13"/>
                <w:color w:val="auto"/>
              </w:rPr>
              <w:t>21.58</w:t>
            </w:r>
          </w:p>
        </w:tc>
        <w:tc>
          <w:tcPr>
            <w:tcW w:w="520" w:type="dxa"/>
            <w:vAlign w:val="bottom"/>
            <w:shd w:val="clear" w:color="auto" w:fill="F0F5F1"/>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rPr>
                <w:sz w:val="20"/>
                <w:szCs w:val="20"/>
                <w:color w:val="auto"/>
              </w:rPr>
            </w:pPr>
            <w:r>
              <w:rPr>
                <w:rFonts w:ascii="Arial" w:cs="Arial" w:eastAsia="Arial" w:hAnsi="Arial"/>
                <w:sz w:val="13"/>
                <w:szCs w:val="13"/>
                <w:color w:val="auto"/>
              </w:rPr>
              <w:t>21.76</w:t>
            </w:r>
          </w:p>
        </w:tc>
        <w:tc>
          <w:tcPr>
            <w:tcW w:w="2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rPr>
                <w:sz w:val="20"/>
                <w:szCs w:val="20"/>
                <w:color w:val="auto"/>
              </w:rPr>
            </w:pPr>
            <w:r>
              <w:rPr>
                <w:rFonts w:ascii="Arial" w:cs="Arial" w:eastAsia="Arial" w:hAnsi="Arial"/>
                <w:sz w:val="13"/>
                <w:szCs w:val="13"/>
                <w:color w:val="auto"/>
              </w:rPr>
              <w:t>19.20</w:t>
            </w:r>
          </w:p>
        </w:tc>
        <w:tc>
          <w:tcPr>
            <w:tcW w:w="48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17.91</w:t>
            </w: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right"/>
              <w:ind w:right="793"/>
              <w:spacing w:after="0"/>
              <w:rPr>
                <w:sz w:val="20"/>
                <w:szCs w:val="20"/>
                <w:color w:val="auto"/>
              </w:rPr>
            </w:pPr>
            <w:r>
              <w:rPr>
                <w:rFonts w:ascii="Arial" w:cs="Arial" w:eastAsia="Arial" w:hAnsi="Arial"/>
                <w:sz w:val="13"/>
                <w:szCs w:val="13"/>
                <w:color w:val="auto"/>
              </w:rPr>
              <w:t>(11.0)%</w:t>
            </w:r>
          </w:p>
        </w:tc>
        <w:tc>
          <w:tcPr>
            <w:tcW w:w="5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(17.7)%</w:t>
            </w:r>
          </w:p>
        </w:tc>
        <w:tc>
          <w:tcPr>
            <w:tcW w:w="1300" w:type="dxa"/>
            <w:vAlign w:val="bottom"/>
            <w:shd w:val="clear" w:color="auto" w:fill="F0F5F1"/>
          </w:tcPr>
          <w:p>
            <w:pPr>
              <w:jc w:val="right"/>
              <w:ind w:right="35"/>
              <w:spacing w:after="0"/>
              <w:rPr>
                <w:sz w:val="20"/>
                <w:szCs w:val="20"/>
                <w:color w:val="auto"/>
              </w:rPr>
            </w:pPr>
            <w:r>
              <w:rPr>
                <w:rFonts w:ascii="Arial" w:cs="Arial" w:eastAsia="Arial" w:hAnsi="Arial"/>
                <w:sz w:val="13"/>
                <w:szCs w:val="13"/>
                <w:color w:val="auto"/>
              </w:rPr>
              <w:t>1,037,351</w:t>
            </w:r>
          </w:p>
        </w:tc>
      </w:tr>
      <w:tr>
        <w:trPr>
          <w:trHeight w:val="151"/>
        </w:trPr>
        <w:tc>
          <w:tcPr>
            <w:tcW w:w="1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September 30, 2024</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ind w:left="60"/>
              <w:spacing w:after="0"/>
              <w:rPr>
                <w:sz w:val="20"/>
                <w:szCs w:val="20"/>
                <w:color w:val="auto"/>
              </w:rPr>
            </w:pPr>
            <w:r>
              <w:rPr>
                <w:rFonts w:ascii="Arial" w:cs="Arial" w:eastAsia="Arial" w:hAnsi="Arial"/>
                <w:sz w:val="13"/>
                <w:szCs w:val="13"/>
                <w:color w:val="auto"/>
              </w:rPr>
              <w:t>21.73</w:t>
            </w:r>
          </w:p>
        </w:tc>
        <w:tc>
          <w:tcPr>
            <w:tcW w:w="520" w:type="dxa"/>
            <w:vAlign w:val="bottom"/>
            <w:shd w:val="clear" w:color="auto" w:fill="F0F5F1"/>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rPr>
                <w:sz w:val="20"/>
                <w:szCs w:val="20"/>
                <w:color w:val="auto"/>
              </w:rPr>
            </w:pPr>
            <w:r>
              <w:rPr>
                <w:rFonts w:ascii="Arial" w:cs="Arial" w:eastAsia="Arial" w:hAnsi="Arial"/>
                <w:sz w:val="13"/>
                <w:szCs w:val="13"/>
                <w:color w:val="auto"/>
              </w:rPr>
              <w:t>21.58</w:t>
            </w:r>
          </w:p>
        </w:tc>
        <w:tc>
          <w:tcPr>
            <w:tcW w:w="2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rPr>
                <w:sz w:val="20"/>
                <w:szCs w:val="20"/>
                <w:color w:val="auto"/>
              </w:rPr>
            </w:pPr>
            <w:r>
              <w:rPr>
                <w:rFonts w:ascii="Arial" w:cs="Arial" w:eastAsia="Arial" w:hAnsi="Arial"/>
                <w:sz w:val="13"/>
                <w:szCs w:val="13"/>
                <w:color w:val="auto"/>
              </w:rPr>
              <w:t>21.67</w:t>
            </w:r>
          </w:p>
        </w:tc>
        <w:tc>
          <w:tcPr>
            <w:tcW w:w="48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18.40</w:t>
            </w: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right"/>
              <w:ind w:right="793"/>
              <w:spacing w:after="0"/>
              <w:rPr>
                <w:sz w:val="20"/>
                <w:szCs w:val="20"/>
                <w:color w:val="auto"/>
              </w:rPr>
            </w:pPr>
            <w:r>
              <w:rPr>
                <w:rFonts w:ascii="Arial" w:cs="Arial" w:eastAsia="Arial" w:hAnsi="Arial"/>
                <w:sz w:val="13"/>
                <w:szCs w:val="13"/>
                <w:color w:val="auto"/>
              </w:rPr>
              <w:t>(0.3)%</w:t>
            </w:r>
          </w:p>
        </w:tc>
        <w:tc>
          <w:tcPr>
            <w:tcW w:w="5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(14.7)%</w:t>
            </w:r>
          </w:p>
        </w:tc>
        <w:tc>
          <w:tcPr>
            <w:tcW w:w="1300" w:type="dxa"/>
            <w:vAlign w:val="bottom"/>
            <w:shd w:val="clear" w:color="auto" w:fill="F0F5F1"/>
          </w:tcPr>
          <w:p>
            <w:pPr>
              <w:jc w:val="right"/>
              <w:ind w:right="35"/>
              <w:spacing w:after="0"/>
              <w:rPr>
                <w:sz w:val="20"/>
                <w:szCs w:val="20"/>
                <w:color w:val="auto"/>
              </w:rPr>
            </w:pPr>
            <w:r>
              <w:rPr>
                <w:rFonts w:ascii="Arial" w:cs="Arial" w:eastAsia="Arial" w:hAnsi="Arial"/>
                <w:sz w:val="13"/>
                <w:szCs w:val="13"/>
                <w:color w:val="auto"/>
              </w:rPr>
              <w:t>1,312,915</w:t>
            </w:r>
          </w:p>
        </w:tc>
      </w:tr>
      <w:tr>
        <w:trPr>
          <w:trHeight w:val="151"/>
        </w:trPr>
        <w:tc>
          <w:tcPr>
            <w:tcW w:w="1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December 31, 2024</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ind w:left="60"/>
              <w:spacing w:after="0"/>
              <w:rPr>
                <w:sz w:val="20"/>
                <w:szCs w:val="20"/>
                <w:color w:val="auto"/>
              </w:rPr>
            </w:pPr>
            <w:r>
              <w:rPr>
                <w:rFonts w:ascii="Arial" w:cs="Arial" w:eastAsia="Arial" w:hAnsi="Arial"/>
                <w:sz w:val="13"/>
                <w:szCs w:val="13"/>
                <w:color w:val="auto"/>
              </w:rPr>
              <w:t>21.78</w:t>
            </w:r>
          </w:p>
        </w:tc>
        <w:tc>
          <w:tcPr>
            <w:tcW w:w="520" w:type="dxa"/>
            <w:vAlign w:val="bottom"/>
            <w:shd w:val="clear" w:color="auto" w:fill="F0F5F1"/>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rPr>
                <w:sz w:val="20"/>
                <w:szCs w:val="20"/>
                <w:color w:val="auto"/>
              </w:rPr>
            </w:pPr>
            <w:r>
              <w:rPr>
                <w:rFonts w:ascii="Arial" w:cs="Arial" w:eastAsia="Arial" w:hAnsi="Arial"/>
                <w:sz w:val="13"/>
                <w:szCs w:val="13"/>
                <w:color w:val="auto"/>
              </w:rPr>
              <w:t>21.73</w:t>
            </w:r>
          </w:p>
        </w:tc>
        <w:tc>
          <w:tcPr>
            <w:tcW w:w="2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rPr>
                <w:sz w:val="20"/>
                <w:szCs w:val="20"/>
                <w:color w:val="auto"/>
              </w:rPr>
            </w:pPr>
            <w:r>
              <w:rPr>
                <w:rFonts w:ascii="Arial" w:cs="Arial" w:eastAsia="Arial" w:hAnsi="Arial"/>
                <w:sz w:val="13"/>
                <w:szCs w:val="13"/>
                <w:color w:val="auto"/>
              </w:rPr>
              <w:t>21.58</w:t>
            </w:r>
          </w:p>
        </w:tc>
        <w:tc>
          <w:tcPr>
            <w:tcW w:w="48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19.57</w:t>
            </w: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right"/>
              <w:ind w:right="793"/>
              <w:spacing w:after="0"/>
              <w:rPr>
                <w:sz w:val="20"/>
                <w:szCs w:val="20"/>
                <w:color w:val="auto"/>
              </w:rPr>
            </w:pPr>
            <w:r>
              <w:rPr>
                <w:rFonts w:ascii="Arial" w:cs="Arial" w:eastAsia="Arial" w:hAnsi="Arial"/>
                <w:sz w:val="13"/>
                <w:szCs w:val="13"/>
                <w:color w:val="auto"/>
              </w:rPr>
              <w:t>(0.9)%</w:t>
            </w:r>
          </w:p>
        </w:tc>
        <w:tc>
          <w:tcPr>
            <w:tcW w:w="5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(9.9)%</w:t>
            </w:r>
          </w:p>
        </w:tc>
        <w:tc>
          <w:tcPr>
            <w:tcW w:w="1300" w:type="dxa"/>
            <w:vAlign w:val="bottom"/>
            <w:shd w:val="clear" w:color="auto" w:fill="F0F5F1"/>
          </w:tcPr>
          <w:p>
            <w:pPr>
              <w:jc w:val="right"/>
              <w:ind w:right="35"/>
              <w:spacing w:after="0"/>
              <w:rPr>
                <w:sz w:val="20"/>
                <w:szCs w:val="20"/>
                <w:color w:val="auto"/>
              </w:rPr>
            </w:pPr>
            <w:r>
              <w:rPr>
                <w:rFonts w:ascii="Arial" w:cs="Arial" w:eastAsia="Arial" w:hAnsi="Arial"/>
                <w:sz w:val="13"/>
                <w:szCs w:val="13"/>
                <w:color w:val="auto"/>
              </w:rPr>
              <w:t>1,531,140</w:t>
            </w:r>
          </w:p>
        </w:tc>
      </w:tr>
      <w:tr>
        <w:trPr>
          <w:trHeight w:val="151"/>
        </w:trPr>
        <w:tc>
          <w:tcPr>
            <w:tcW w:w="1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March 31, 2025</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ind w:left="60"/>
              <w:spacing w:after="0"/>
              <w:rPr>
                <w:sz w:val="20"/>
                <w:szCs w:val="20"/>
                <w:color w:val="auto"/>
              </w:rPr>
            </w:pPr>
            <w:r>
              <w:rPr>
                <w:rFonts w:ascii="Arial" w:cs="Arial" w:eastAsia="Arial" w:hAnsi="Arial"/>
                <w:sz w:val="13"/>
                <w:szCs w:val="13"/>
                <w:color w:val="auto"/>
              </w:rPr>
              <w:t>21.78</w:t>
            </w:r>
          </w:p>
        </w:tc>
        <w:tc>
          <w:tcPr>
            <w:tcW w:w="520" w:type="dxa"/>
            <w:vAlign w:val="bottom"/>
            <w:shd w:val="clear" w:color="auto" w:fill="F0F5F1"/>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rPr>
                <w:sz w:val="20"/>
                <w:szCs w:val="20"/>
                <w:color w:val="auto"/>
              </w:rPr>
            </w:pPr>
            <w:r>
              <w:rPr>
                <w:rFonts w:ascii="Arial" w:cs="Arial" w:eastAsia="Arial" w:hAnsi="Arial"/>
                <w:sz w:val="13"/>
                <w:szCs w:val="13"/>
                <w:color w:val="auto"/>
              </w:rPr>
              <w:t>21.78</w:t>
            </w:r>
          </w:p>
        </w:tc>
        <w:tc>
          <w:tcPr>
            <w:tcW w:w="2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rPr>
                <w:sz w:val="20"/>
                <w:szCs w:val="20"/>
                <w:color w:val="auto"/>
              </w:rPr>
            </w:pPr>
            <w:r>
              <w:rPr>
                <w:rFonts w:ascii="Arial" w:cs="Arial" w:eastAsia="Arial" w:hAnsi="Arial"/>
                <w:sz w:val="13"/>
                <w:szCs w:val="13"/>
                <w:color w:val="auto"/>
              </w:rPr>
              <w:t>21.52</w:t>
            </w:r>
          </w:p>
        </w:tc>
        <w:tc>
          <w:tcPr>
            <w:tcW w:w="48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20.30</w:t>
            </w: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right"/>
              <w:ind w:right="793"/>
              <w:spacing w:after="0"/>
              <w:rPr>
                <w:sz w:val="20"/>
                <w:szCs w:val="20"/>
                <w:color w:val="auto"/>
              </w:rPr>
            </w:pPr>
            <w:r>
              <w:rPr>
                <w:rFonts w:ascii="Arial" w:cs="Arial" w:eastAsia="Arial" w:hAnsi="Arial"/>
                <w:sz w:val="13"/>
                <w:szCs w:val="13"/>
                <w:color w:val="auto"/>
              </w:rPr>
              <w:t>(1.2)%</w:t>
            </w:r>
          </w:p>
        </w:tc>
        <w:tc>
          <w:tcPr>
            <w:tcW w:w="5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(6.8)%</w:t>
            </w:r>
          </w:p>
        </w:tc>
        <w:tc>
          <w:tcPr>
            <w:tcW w:w="1300" w:type="dxa"/>
            <w:vAlign w:val="bottom"/>
            <w:shd w:val="clear" w:color="auto" w:fill="F0F5F1"/>
          </w:tcPr>
          <w:p>
            <w:pPr>
              <w:jc w:val="right"/>
              <w:ind w:right="35"/>
              <w:spacing w:after="0"/>
              <w:rPr>
                <w:sz w:val="20"/>
                <w:szCs w:val="20"/>
                <w:color w:val="auto"/>
              </w:rPr>
            </w:pPr>
            <w:r>
              <w:rPr>
                <w:rFonts w:ascii="Arial" w:cs="Arial" w:eastAsia="Arial" w:hAnsi="Arial"/>
                <w:sz w:val="13"/>
                <w:szCs w:val="13"/>
                <w:color w:val="auto"/>
              </w:rPr>
              <w:t>1,158,646</w:t>
            </w:r>
          </w:p>
        </w:tc>
      </w:tr>
      <w:tr>
        <w:trPr>
          <w:trHeight w:val="151"/>
        </w:trPr>
        <w:tc>
          <w:tcPr>
            <w:tcW w:w="1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June 30, 2025</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ind w:left="60"/>
              <w:spacing w:after="0"/>
              <w:rPr>
                <w:sz w:val="20"/>
                <w:szCs w:val="20"/>
                <w:color w:val="auto"/>
              </w:rPr>
            </w:pPr>
            <w:r>
              <w:rPr>
                <w:rFonts w:ascii="Arial" w:cs="Arial" w:eastAsia="Arial" w:hAnsi="Arial"/>
                <w:sz w:val="13"/>
                <w:szCs w:val="13"/>
                <w:color w:val="auto"/>
              </w:rPr>
              <w:t>22.22</w:t>
            </w:r>
          </w:p>
        </w:tc>
        <w:tc>
          <w:tcPr>
            <w:tcW w:w="520" w:type="dxa"/>
            <w:vAlign w:val="bottom"/>
            <w:shd w:val="clear" w:color="auto" w:fill="F0F5F1"/>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rPr>
                <w:sz w:val="20"/>
                <w:szCs w:val="20"/>
                <w:color w:val="auto"/>
              </w:rPr>
            </w:pPr>
            <w:r>
              <w:rPr>
                <w:rFonts w:ascii="Arial" w:cs="Arial" w:eastAsia="Arial" w:hAnsi="Arial"/>
                <w:sz w:val="13"/>
                <w:szCs w:val="13"/>
                <w:color w:val="auto"/>
              </w:rPr>
              <w:t>21.78</w:t>
            </w:r>
          </w:p>
        </w:tc>
        <w:tc>
          <w:tcPr>
            <w:tcW w:w="2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rPr>
                <w:sz w:val="20"/>
                <w:szCs w:val="20"/>
                <w:color w:val="auto"/>
              </w:rPr>
            </w:pPr>
            <w:r>
              <w:rPr>
                <w:rFonts w:ascii="Arial" w:cs="Arial" w:eastAsia="Arial" w:hAnsi="Arial"/>
                <w:sz w:val="13"/>
                <w:szCs w:val="13"/>
                <w:color w:val="auto"/>
              </w:rPr>
              <w:t>21.25</w:t>
            </w:r>
          </w:p>
        </w:tc>
        <w:tc>
          <w:tcPr>
            <w:tcW w:w="48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17.99</w:t>
            </w: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right"/>
              <w:ind w:right="793"/>
              <w:spacing w:after="0"/>
              <w:rPr>
                <w:sz w:val="20"/>
                <w:szCs w:val="20"/>
                <w:color w:val="auto"/>
              </w:rPr>
            </w:pPr>
            <w:r>
              <w:rPr>
                <w:rFonts w:ascii="Arial" w:cs="Arial" w:eastAsia="Arial" w:hAnsi="Arial"/>
                <w:sz w:val="13"/>
                <w:szCs w:val="13"/>
                <w:color w:val="auto"/>
              </w:rPr>
              <w:t>(4.4)%</w:t>
            </w:r>
          </w:p>
        </w:tc>
        <w:tc>
          <w:tcPr>
            <w:tcW w:w="5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(17.4)%</w:t>
            </w:r>
          </w:p>
        </w:tc>
        <w:tc>
          <w:tcPr>
            <w:tcW w:w="1300" w:type="dxa"/>
            <w:vAlign w:val="bottom"/>
            <w:shd w:val="clear" w:color="auto" w:fill="F0F5F1"/>
          </w:tcPr>
          <w:p>
            <w:pPr>
              <w:jc w:val="right"/>
              <w:ind w:right="35"/>
              <w:spacing w:after="0"/>
              <w:rPr>
                <w:sz w:val="20"/>
                <w:szCs w:val="20"/>
                <w:color w:val="auto"/>
              </w:rPr>
            </w:pPr>
            <w:r>
              <w:rPr>
                <w:rFonts w:ascii="Arial" w:cs="Arial" w:eastAsia="Arial" w:hAnsi="Arial"/>
                <w:sz w:val="13"/>
                <w:szCs w:val="13"/>
                <w:color w:val="auto"/>
              </w:rPr>
              <w:t>1,346,062</w:t>
            </w:r>
          </w:p>
        </w:tc>
      </w:tr>
      <w:tr>
        <w:trPr>
          <w:trHeight w:val="151"/>
        </w:trPr>
        <w:tc>
          <w:tcPr>
            <w:tcW w:w="1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September 30, 2025</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ind w:left="60"/>
              <w:spacing w:after="0"/>
              <w:rPr>
                <w:sz w:val="20"/>
                <w:szCs w:val="20"/>
                <w:color w:val="auto"/>
              </w:rPr>
            </w:pPr>
            <w:r>
              <w:rPr>
                <w:rFonts w:ascii="Arial" w:cs="Arial" w:eastAsia="Arial" w:hAnsi="Arial"/>
                <w:sz w:val="13"/>
                <w:szCs w:val="13"/>
                <w:color w:val="auto"/>
              </w:rPr>
              <w:t>22.40</w:t>
            </w:r>
          </w:p>
        </w:tc>
        <w:tc>
          <w:tcPr>
            <w:tcW w:w="520" w:type="dxa"/>
            <w:vAlign w:val="bottom"/>
            <w:shd w:val="clear" w:color="auto" w:fill="F0F5F1"/>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rPr>
                <w:sz w:val="20"/>
                <w:szCs w:val="20"/>
                <w:color w:val="auto"/>
              </w:rPr>
            </w:pPr>
            <w:r>
              <w:rPr>
                <w:rFonts w:ascii="Arial" w:cs="Arial" w:eastAsia="Arial" w:hAnsi="Arial"/>
                <w:sz w:val="13"/>
                <w:szCs w:val="13"/>
                <w:color w:val="auto"/>
              </w:rPr>
              <w:t>22.22</w:t>
            </w:r>
          </w:p>
        </w:tc>
        <w:tc>
          <w:tcPr>
            <w:tcW w:w="2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rPr>
                <w:sz w:val="20"/>
                <w:szCs w:val="20"/>
                <w:color w:val="auto"/>
              </w:rPr>
            </w:pPr>
            <w:r>
              <w:rPr>
                <w:rFonts w:ascii="Arial" w:cs="Arial" w:eastAsia="Arial" w:hAnsi="Arial"/>
                <w:sz w:val="13"/>
                <w:szCs w:val="13"/>
                <w:color w:val="auto"/>
              </w:rPr>
              <w:t>23.67</w:t>
            </w:r>
          </w:p>
        </w:tc>
        <w:tc>
          <w:tcPr>
            <w:tcW w:w="48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20.40</w:t>
            </w: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right"/>
              <w:ind w:right="833"/>
              <w:spacing w:after="0"/>
              <w:rPr>
                <w:sz w:val="20"/>
                <w:szCs w:val="20"/>
                <w:color w:val="auto"/>
              </w:rPr>
            </w:pPr>
            <w:r>
              <w:rPr>
                <w:rFonts w:ascii="Arial" w:cs="Arial" w:eastAsia="Arial" w:hAnsi="Arial"/>
                <w:sz w:val="13"/>
                <w:szCs w:val="13"/>
                <w:color w:val="auto"/>
              </w:rPr>
              <w:t>5.7%</w:t>
            </w:r>
          </w:p>
        </w:tc>
        <w:tc>
          <w:tcPr>
            <w:tcW w:w="5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(8.2)%</w:t>
            </w:r>
          </w:p>
        </w:tc>
        <w:tc>
          <w:tcPr>
            <w:tcW w:w="1300" w:type="dxa"/>
            <w:vAlign w:val="bottom"/>
            <w:shd w:val="clear" w:color="auto" w:fill="F0F5F1"/>
          </w:tcPr>
          <w:p>
            <w:pPr>
              <w:jc w:val="right"/>
              <w:ind w:right="35"/>
              <w:spacing w:after="0"/>
              <w:rPr>
                <w:sz w:val="20"/>
                <w:szCs w:val="20"/>
                <w:color w:val="auto"/>
              </w:rPr>
            </w:pPr>
            <w:r>
              <w:rPr>
                <w:rFonts w:ascii="Arial" w:cs="Arial" w:eastAsia="Arial" w:hAnsi="Arial"/>
                <w:sz w:val="13"/>
                <w:szCs w:val="13"/>
                <w:color w:val="auto"/>
              </w:rPr>
              <w:t>1,171,622</w:t>
            </w:r>
          </w:p>
        </w:tc>
      </w:tr>
      <w:tr>
        <w:trPr>
          <w:trHeight w:val="151"/>
        </w:trPr>
        <w:tc>
          <w:tcPr>
            <w:tcW w:w="1820" w:type="dxa"/>
            <w:vAlign w:val="bottom"/>
            <w:shd w:val="clear" w:color="auto" w:fill="F0F5F1"/>
          </w:tcPr>
          <w:p>
            <w:pPr>
              <w:ind w:left="100"/>
              <w:spacing w:after="0"/>
              <w:rPr>
                <w:sz w:val="20"/>
                <w:szCs w:val="20"/>
                <w:color w:val="auto"/>
              </w:rPr>
            </w:pPr>
            <w:r>
              <w:rPr>
                <w:rFonts w:ascii="Arial" w:cs="Arial" w:eastAsia="Arial" w:hAnsi="Arial"/>
                <w:sz w:val="13"/>
                <w:szCs w:val="13"/>
                <w:color w:val="auto"/>
              </w:rPr>
              <w:t>December 31, 2025</w:t>
            </w:r>
          </w:p>
        </w:tc>
        <w:tc>
          <w:tcPr>
            <w:tcW w:w="100" w:type="dxa"/>
            <w:vAlign w:val="bottom"/>
            <w:shd w:val="clear" w:color="auto" w:fill="F0F5F1"/>
          </w:tcPr>
          <w:p>
            <w:pPr>
              <w:spacing w:after="0"/>
              <w:rPr>
                <w:sz w:val="13"/>
                <w:szCs w:val="13"/>
                <w:color w:val="auto"/>
              </w:rPr>
            </w:pPr>
          </w:p>
        </w:tc>
        <w:tc>
          <w:tcPr>
            <w:tcW w:w="120" w:type="dxa"/>
            <w:vAlign w:val="bottom"/>
            <w:shd w:val="clear" w:color="auto" w:fill="F0F5F1"/>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F0F5F1"/>
          </w:tcPr>
          <w:p>
            <w:pPr>
              <w:spacing w:after="0"/>
              <w:rPr>
                <w:sz w:val="13"/>
                <w:szCs w:val="13"/>
                <w:color w:val="auto"/>
              </w:rPr>
            </w:pPr>
          </w:p>
        </w:tc>
        <w:tc>
          <w:tcPr>
            <w:tcW w:w="500" w:type="dxa"/>
            <w:vAlign w:val="bottom"/>
            <w:shd w:val="clear" w:color="auto" w:fill="F0F5F1"/>
          </w:tcPr>
          <w:p>
            <w:pPr>
              <w:ind w:left="60"/>
              <w:spacing w:after="0"/>
              <w:rPr>
                <w:sz w:val="20"/>
                <w:szCs w:val="20"/>
                <w:color w:val="auto"/>
              </w:rPr>
            </w:pPr>
            <w:r>
              <w:rPr>
                <w:rFonts w:ascii="Arial" w:cs="Arial" w:eastAsia="Arial" w:hAnsi="Arial"/>
                <w:sz w:val="13"/>
                <w:szCs w:val="13"/>
                <w:color w:val="auto"/>
              </w:rPr>
              <w:t>21.96</w:t>
            </w:r>
          </w:p>
        </w:tc>
        <w:tc>
          <w:tcPr>
            <w:tcW w:w="520" w:type="dxa"/>
            <w:vAlign w:val="bottom"/>
            <w:shd w:val="clear" w:color="auto" w:fill="F0F5F1"/>
          </w:tcPr>
          <w:p>
            <w:pPr>
              <w:jc w:val="right"/>
              <w:ind w:right="253"/>
              <w:spacing w:after="0"/>
              <w:rPr>
                <w:sz w:val="20"/>
                <w:szCs w:val="20"/>
                <w:color w:val="auto"/>
              </w:rPr>
            </w:pPr>
            <w:r>
              <w:rPr>
                <w:rFonts w:ascii="Arial" w:cs="Arial" w:eastAsia="Arial" w:hAnsi="Arial"/>
                <w:sz w:val="13"/>
                <w:szCs w:val="13"/>
                <w:color w:val="auto"/>
              </w:rPr>
              <w:t>$</w:t>
            </w:r>
          </w:p>
        </w:tc>
        <w:tc>
          <w:tcPr>
            <w:tcW w:w="840" w:type="dxa"/>
            <w:vAlign w:val="bottom"/>
            <w:shd w:val="clear" w:color="auto" w:fill="F0F5F1"/>
          </w:tcPr>
          <w:p>
            <w:pPr>
              <w:jc w:val="right"/>
              <w:ind w:right="33"/>
              <w:spacing w:after="0"/>
              <w:rPr>
                <w:sz w:val="20"/>
                <w:szCs w:val="20"/>
                <w:color w:val="auto"/>
              </w:rPr>
            </w:pPr>
            <w:r>
              <w:rPr>
                <w:rFonts w:ascii="Arial" w:cs="Arial" w:eastAsia="Arial" w:hAnsi="Arial"/>
                <w:sz w:val="13"/>
                <w:szCs w:val="13"/>
                <w:color w:val="auto"/>
              </w:rPr>
              <w:t>22.41</w:t>
            </w:r>
          </w:p>
        </w:tc>
        <w:tc>
          <w:tcPr>
            <w:tcW w:w="2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5F1"/>
          </w:tcPr>
          <w:p>
            <w:pPr>
              <w:ind w:left="680"/>
              <w:spacing w:after="0"/>
              <w:rPr>
                <w:sz w:val="20"/>
                <w:szCs w:val="20"/>
                <w:color w:val="auto"/>
              </w:rPr>
            </w:pPr>
            <w:r>
              <w:rPr>
                <w:rFonts w:ascii="Arial" w:cs="Arial" w:eastAsia="Arial" w:hAnsi="Arial"/>
                <w:sz w:val="13"/>
                <w:szCs w:val="13"/>
                <w:color w:val="auto"/>
              </w:rPr>
              <w:t>22.50</w:t>
            </w:r>
          </w:p>
        </w:tc>
        <w:tc>
          <w:tcPr>
            <w:tcW w:w="48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F0F5F1"/>
          </w:tcPr>
          <w:p>
            <w:pPr>
              <w:jc w:val="right"/>
              <w:ind w:right="233"/>
              <w:spacing w:after="0"/>
              <w:rPr>
                <w:sz w:val="20"/>
                <w:szCs w:val="20"/>
                <w:color w:val="auto"/>
              </w:rPr>
            </w:pPr>
            <w:r>
              <w:rPr>
                <w:rFonts w:ascii="Arial" w:cs="Arial" w:eastAsia="Arial" w:hAnsi="Arial"/>
                <w:sz w:val="13"/>
                <w:szCs w:val="13"/>
                <w:color w:val="auto"/>
              </w:rPr>
              <w:t>20.89</w:t>
            </w:r>
          </w:p>
        </w:tc>
        <w:tc>
          <w:tcPr>
            <w:tcW w:w="640" w:type="dxa"/>
            <w:vAlign w:val="bottom"/>
            <w:shd w:val="clear" w:color="auto" w:fill="F0F5F1"/>
          </w:tcPr>
          <w:p>
            <w:pPr>
              <w:spacing w:after="0"/>
              <w:rPr>
                <w:sz w:val="13"/>
                <w:szCs w:val="13"/>
                <w:color w:val="auto"/>
              </w:rPr>
            </w:pPr>
          </w:p>
        </w:tc>
        <w:tc>
          <w:tcPr>
            <w:tcW w:w="1380" w:type="dxa"/>
            <w:vAlign w:val="bottom"/>
            <w:shd w:val="clear" w:color="auto" w:fill="F0F5F1"/>
          </w:tcPr>
          <w:p>
            <w:pPr>
              <w:jc w:val="right"/>
              <w:ind w:right="833"/>
              <w:spacing w:after="0"/>
              <w:rPr>
                <w:sz w:val="20"/>
                <w:szCs w:val="20"/>
                <w:color w:val="auto"/>
              </w:rPr>
            </w:pPr>
            <w:r>
              <w:rPr>
                <w:rFonts w:ascii="Arial" w:cs="Arial" w:eastAsia="Arial" w:hAnsi="Arial"/>
                <w:sz w:val="13"/>
                <w:szCs w:val="13"/>
                <w:color w:val="auto"/>
              </w:rPr>
              <w:t>2.5%</w:t>
            </w:r>
          </w:p>
        </w:tc>
        <w:tc>
          <w:tcPr>
            <w:tcW w:w="540" w:type="dxa"/>
            <w:vAlign w:val="bottom"/>
            <w:shd w:val="clear" w:color="auto" w:fill="F0F5F1"/>
          </w:tcPr>
          <w:p>
            <w:pPr>
              <w:jc w:val="right"/>
              <w:spacing w:after="0"/>
              <w:rPr>
                <w:sz w:val="20"/>
                <w:szCs w:val="20"/>
                <w:color w:val="auto"/>
              </w:rPr>
            </w:pPr>
            <w:r>
              <w:rPr>
                <w:rFonts w:ascii="Arial" w:cs="Arial" w:eastAsia="Arial" w:hAnsi="Arial"/>
                <w:sz w:val="13"/>
                <w:szCs w:val="13"/>
                <w:color w:val="auto"/>
              </w:rPr>
              <w:t>(6.8)%</w:t>
            </w:r>
          </w:p>
        </w:tc>
        <w:tc>
          <w:tcPr>
            <w:tcW w:w="1300" w:type="dxa"/>
            <w:vAlign w:val="bottom"/>
            <w:shd w:val="clear" w:color="auto" w:fill="F0F5F1"/>
          </w:tcPr>
          <w:p>
            <w:pPr>
              <w:jc w:val="right"/>
              <w:ind w:right="35"/>
              <w:spacing w:after="0"/>
              <w:rPr>
                <w:sz w:val="20"/>
                <w:szCs w:val="20"/>
                <w:color w:val="auto"/>
              </w:rPr>
            </w:pPr>
            <w:r>
              <w:rPr>
                <w:rFonts w:ascii="Arial" w:cs="Arial" w:eastAsia="Arial" w:hAnsi="Arial"/>
                <w:sz w:val="13"/>
                <w:szCs w:val="13"/>
                <w:color w:val="auto"/>
              </w:rPr>
              <w:t>1,076,801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1787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10" w:lineRule="exact"/>
        <w:rPr>
          <w:sz w:val="20"/>
          <w:szCs w:val="20"/>
          <w:color w:val="auto"/>
        </w:rPr>
      </w:pPr>
    </w:p>
    <w:p>
      <w:pPr>
        <w:ind w:left="260" w:hanging="259"/>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6"/>
          <w:szCs w:val="16"/>
          <w:color w:val="auto"/>
        </w:rPr>
        <w:t>Based on our computations.</w:t>
      </w:r>
    </w:p>
    <w:p>
      <w:pPr>
        <w:spacing w:after="0" w:line="25" w:lineRule="exact"/>
        <w:rPr>
          <w:rFonts w:ascii="Arial" w:cs="Arial" w:eastAsia="Arial" w:hAnsi="Arial"/>
          <w:sz w:val="13"/>
          <w:szCs w:val="13"/>
          <w:color w:val="auto"/>
        </w:rPr>
      </w:pPr>
    </w:p>
    <w:p>
      <w:pPr>
        <w:ind w:left="260" w:hanging="259"/>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6"/>
          <w:szCs w:val="16"/>
          <w:color w:val="auto"/>
        </w:rPr>
        <w:t>Source: The NASDAQ Global Select Market.</w:t>
      </w:r>
    </w:p>
    <w:p>
      <w:pPr>
        <w:spacing w:after="0" w:line="17" w:lineRule="exact"/>
        <w:rPr>
          <w:rFonts w:ascii="Arial" w:cs="Arial" w:eastAsia="Arial" w:hAnsi="Arial"/>
          <w:sz w:val="13"/>
          <w:szCs w:val="13"/>
          <w:color w:val="auto"/>
        </w:rPr>
      </w:pPr>
    </w:p>
    <w:p>
      <w:pPr>
        <w:ind w:left="260" w:hanging="259"/>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6"/>
          <w:szCs w:val="16"/>
          <w:color w:val="auto"/>
        </w:rPr>
        <w:t>Based on our computations.</w:t>
      </w:r>
    </w:p>
    <w:p>
      <w:pPr>
        <w:spacing w:after="0" w:line="17" w:lineRule="exact"/>
        <w:rPr>
          <w:rFonts w:ascii="Arial" w:cs="Arial" w:eastAsia="Arial" w:hAnsi="Arial"/>
          <w:sz w:val="13"/>
          <w:szCs w:val="13"/>
          <w:color w:val="auto"/>
        </w:rPr>
      </w:pPr>
    </w:p>
    <w:p>
      <w:pPr>
        <w:ind w:left="260" w:hanging="259"/>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6"/>
          <w:szCs w:val="16"/>
          <w:color w:val="auto"/>
        </w:rPr>
        <w:t>Source: Bloomberg.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On December 31, 2025, our per share NAV was $21.96 and our per share market price was $21.82, representing a 0.64% discount to such NAV.</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cannot predict whether our common stock will trade at a premium or discount to NAV in the future. Our issuance of common stock may have an adverse effect on prices for our common stock in the secondary market by increasing the number of common shares available, which may put downward pressure on the market price for our common stock.</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Shares of closed-end funds frequently trade at a market price that is less than the value of the net assets attributable to those shares (a “discount”). The possibility that our shares will trade at a discount from NAV is a risk separate and distinct from the risk that our NAV will decrease. The risk of purchasing shares of a closed-end fund that might trade at a discount or unsustainable premium is more pronounced for investors who wish to sell their shares in a relatively short period of time after purchasing them because, for those investors, realization of a gain or loss on their investments is likely to be more dependent upon the existence of a premium or discount than upon portfolio performance. Our shares are not redeemable at the request of stockholders. We may repurchase our shares in the open market or in private transactions, although we have no present intention to do so. Stockholders desiring liquidity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00" w:type="dxa"/>
            <w:vAlign w:val="bottom"/>
          </w:tcPr>
          <w:p>
            <w:pPr>
              <w:ind w:left="8080"/>
              <w:spacing w:after="0"/>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p>
        </w:tc>
        <w:tc>
          <w:tcPr>
            <w:tcW w:w="340" w:type="dxa"/>
            <w:vAlign w:val="bottom"/>
          </w:tcPr>
          <w:p>
            <w:pPr>
              <w:jc w:val="right"/>
              <w:spacing w:after="0"/>
              <w:rPr>
                <w:sz w:val="20"/>
                <w:szCs w:val="20"/>
                <w:color w:val="auto"/>
              </w:rPr>
            </w:pPr>
            <w:r>
              <w:rPr>
                <w:rFonts w:ascii="Arial" w:cs="Arial" w:eastAsia="Arial" w:hAnsi="Arial"/>
                <w:sz w:val="13"/>
                <w:szCs w:val="13"/>
                <w:color w:val="296B38"/>
              </w:rPr>
              <w:t>36</w:t>
            </w:r>
          </w:p>
        </w:tc>
      </w:tr>
      <w:tr>
        <w:trPr>
          <w:trHeight w:val="390"/>
        </w:trPr>
        <w:tc>
          <w:tcPr>
            <w:tcW w:w="10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1" w:name="page42"/>
    <w:bookmarkEnd w:id="41"/>
    <w:p>
      <w:pPr>
        <w:spacing w:after="0" w:line="263" w:lineRule="auto"/>
        <w:rPr>
          <w:sz w:val="20"/>
          <w:szCs w:val="20"/>
          <w:color w:val="auto"/>
        </w:rPr>
      </w:pPr>
      <w:r>
        <w:rPr>
          <w:rFonts w:ascii="Arial" w:cs="Arial" w:eastAsia="Arial" w:hAnsi="Arial"/>
          <w:sz w:val="17"/>
          <w:szCs w:val="17"/>
          <w:color w:val="auto"/>
        </w:rPr>
        <w:t>may, subject to applicable securities laws, trade their shares on the NASDAQ Global Select or other markets on which such shares may trade at the then current market value, which may differ from the then current NAV.</w:t>
      </w:r>
    </w:p>
    <w:p>
      <w:pPr>
        <w:spacing w:after="0" w:line="144" w:lineRule="exact"/>
        <w:rPr>
          <w:sz w:val="20"/>
          <w:szCs w:val="20"/>
          <w:color w:val="auto"/>
        </w:rPr>
      </w:pPr>
    </w:p>
    <w:p>
      <w:pPr>
        <w:ind w:left="580" w:hanging="579"/>
        <w:spacing w:after="0"/>
        <w:tabs>
          <w:tab w:leader="none" w:pos="580" w:val="left"/>
        </w:tabs>
        <w:numPr>
          <w:ilvl w:val="0"/>
          <w:numId w:val="27"/>
        </w:numPr>
        <w:rPr>
          <w:rFonts w:ascii="Arial" w:cs="Arial" w:eastAsia="Arial" w:hAnsi="Arial"/>
          <w:sz w:val="13"/>
          <w:szCs w:val="13"/>
          <w:color w:val="286B38"/>
        </w:rPr>
      </w:pPr>
      <w:r>
        <w:rPr>
          <w:rFonts w:ascii="Arial" w:cs="Arial" w:eastAsia="Arial" w:hAnsi="Arial"/>
          <w:sz w:val="13"/>
          <w:szCs w:val="13"/>
          <w:color w:val="296B38"/>
        </w:rPr>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200660</wp:posOffset>
            </wp:positionV>
            <wp:extent cx="6694805" cy="9493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694805" cy="949325"/>
                    </a:xfrm>
                    <a:prstGeom prst="rect">
                      <a:avLst/>
                    </a:prstGeom>
                    <a:noFill/>
                  </pic:spPr>
                </pic:pic>
              </a:graphicData>
            </a:graphic>
          </wp:anchor>
        </w:drawing>
      </w:r>
    </w:p>
    <w:p>
      <w:pPr>
        <w:spacing w:after="0" w:line="363"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 xml:space="preserve">The following table is intended to assist you in understanding the costs and expenses that an investor in shares of our common stock will bear, directly or indirectly. Other expenses are estimated and may vary. Except where the context suggests otherwise, whenever the Company's prospectus contains a reference to fees or expenses paid by “you” or “us” or that “we” will pay fees or expenses, stockholders will indirectly bear such fees or expenses. </w:t>
      </w:r>
      <w:r>
        <w:rPr>
          <w:rFonts w:ascii="Arial" w:cs="Arial" w:eastAsia="Arial" w:hAnsi="Arial"/>
          <w:sz w:val="16"/>
          <w:szCs w:val="16"/>
          <w:b w:val="1"/>
          <w:bCs w:val="1"/>
          <w:color w:val="auto"/>
        </w:rPr>
        <w:t>We caution</w:t>
      </w:r>
      <w:r>
        <w:rPr>
          <w:rFonts w:ascii="Arial" w:cs="Arial" w:eastAsia="Arial" w:hAnsi="Arial"/>
          <w:sz w:val="16"/>
          <w:szCs w:val="16"/>
          <w:color w:val="auto"/>
        </w:rPr>
        <w:t xml:space="preserve"> </w:t>
      </w:r>
      <w:r>
        <w:rPr>
          <w:rFonts w:ascii="Arial" w:cs="Arial" w:eastAsia="Arial" w:hAnsi="Arial"/>
          <w:sz w:val="16"/>
          <w:szCs w:val="16"/>
          <w:b w:val="1"/>
          <w:bCs w:val="1"/>
          <w:color w:val="auto"/>
        </w:rPr>
        <w:t>you that certain of the indicated percentages in the table below indicating annual expenses are estimates and may vary.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662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845" cy="662305"/>
                    </a:xfrm>
                    <a:prstGeom prst="rect">
                      <a:avLst/>
                    </a:prstGeom>
                    <a:noFill/>
                  </pic:spPr>
                </pic:pic>
              </a:graphicData>
            </a:graphic>
          </wp:anchor>
        </w:drawing>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Stockholder Transaction Expenses (as a percentage of offering price):</w:t>
      </w:r>
    </w:p>
    <w:tbl>
      <w:tblPr>
        <w:tblLayout w:type="fixed"/>
        <w:tblInd w:w="0" w:type="dxa"/>
        <w:tblCellMar>
          <w:top w:w="0" w:type="dxa"/>
          <w:left w:w="0" w:type="dxa"/>
          <w:bottom w:w="0" w:type="dxa"/>
          <w:right w:w="0" w:type="dxa"/>
        </w:tblCellMar>
      </w:tblPr>
      <w:tr>
        <w:trPr>
          <w:trHeight w:val="216"/>
        </w:trPr>
        <w:tc>
          <w:tcPr>
            <w:tcW w:w="10580" w:type="dxa"/>
            <w:vAlign w:val="bottom"/>
            <w:gridSpan w:val="2"/>
          </w:tcPr>
          <w:p>
            <w:pPr>
              <w:ind w:left="100"/>
              <w:spacing w:after="0" w:line="216" w:lineRule="exact"/>
              <w:rPr>
                <w:sz w:val="20"/>
                <w:szCs w:val="20"/>
                <w:color w:val="auto"/>
              </w:rPr>
            </w:pPr>
            <w:r>
              <w:rPr>
                <w:rFonts w:ascii="Arial" w:cs="Arial" w:eastAsia="Arial" w:hAnsi="Arial"/>
                <w:sz w:val="14"/>
                <w:szCs w:val="14"/>
                <w:color w:val="auto"/>
              </w:rPr>
              <w:t>Sales Load</w:t>
            </w:r>
            <w:r>
              <w:rPr>
                <w:rFonts w:ascii="Arial" w:cs="Arial" w:eastAsia="Arial" w:hAnsi="Arial"/>
                <w:sz w:val="23"/>
                <w:szCs w:val="23"/>
                <w:color w:val="auto"/>
                <w:vertAlign w:val="superscript"/>
              </w:rPr>
              <w:t>(1)</w:t>
            </w:r>
          </w:p>
        </w:tc>
        <w:tc>
          <w:tcPr>
            <w:tcW w:w="660" w:type="dxa"/>
            <w:vAlign w:val="bottom"/>
            <w:shd w:val="clear" w:color="auto" w:fill="F0F5F1"/>
          </w:tcPr>
          <w:p>
            <w:pPr>
              <w:jc w:val="center"/>
              <w:ind w:right="109"/>
              <w:spacing w:after="0"/>
              <w:rPr>
                <w:sz w:val="20"/>
                <w:szCs w:val="20"/>
                <w:color w:val="auto"/>
              </w:rPr>
            </w:pPr>
            <w:r>
              <w:rPr>
                <w:rFonts w:ascii="Arial" w:cs="Arial" w:eastAsia="Arial" w:hAnsi="Arial"/>
                <w:sz w:val="14"/>
                <w:szCs w:val="14"/>
                <w:color w:val="auto"/>
              </w:rPr>
              <w:t> −  − </w:t>
            </w:r>
          </w:p>
        </w:tc>
      </w:tr>
      <w:tr>
        <w:trPr>
          <w:trHeight w:val="201"/>
        </w:trPr>
        <w:tc>
          <w:tcPr>
            <w:tcW w:w="10580" w:type="dxa"/>
            <w:vAlign w:val="bottom"/>
            <w:gridSpan w:val="2"/>
          </w:tcPr>
          <w:p>
            <w:pPr>
              <w:ind w:left="100"/>
              <w:spacing w:after="0" w:line="201" w:lineRule="exact"/>
              <w:rPr>
                <w:sz w:val="20"/>
                <w:szCs w:val="20"/>
                <w:color w:val="auto"/>
              </w:rPr>
            </w:pPr>
            <w:r>
              <w:rPr>
                <w:rFonts w:ascii="Arial" w:cs="Arial" w:eastAsia="Arial" w:hAnsi="Arial"/>
                <w:sz w:val="14"/>
                <w:szCs w:val="14"/>
                <w:color w:val="auto"/>
              </w:rPr>
              <w:t>Offering Expenses</w:t>
            </w:r>
            <w:r>
              <w:rPr>
                <w:rFonts w:ascii="Arial" w:cs="Arial" w:eastAsia="Arial" w:hAnsi="Arial"/>
                <w:sz w:val="23"/>
                <w:szCs w:val="23"/>
                <w:color w:val="auto"/>
                <w:vertAlign w:val="superscript"/>
              </w:rPr>
              <w:t>(2)</w:t>
            </w:r>
          </w:p>
        </w:tc>
        <w:tc>
          <w:tcPr>
            <w:tcW w:w="660" w:type="dxa"/>
            <w:vAlign w:val="bottom"/>
            <w:shd w:val="clear" w:color="auto" w:fill="F0F5F1"/>
          </w:tcPr>
          <w:p>
            <w:pPr>
              <w:jc w:val="center"/>
              <w:ind w:right="109"/>
              <w:spacing w:after="0"/>
              <w:rPr>
                <w:sz w:val="20"/>
                <w:szCs w:val="20"/>
                <w:color w:val="auto"/>
              </w:rPr>
            </w:pPr>
            <w:r>
              <w:rPr>
                <w:rFonts w:ascii="Arial" w:cs="Arial" w:eastAsia="Arial" w:hAnsi="Arial"/>
                <w:sz w:val="14"/>
                <w:szCs w:val="14"/>
                <w:color w:val="auto"/>
              </w:rPr>
              <w:t> −  − </w:t>
            </w:r>
          </w:p>
        </w:tc>
      </w:tr>
      <w:tr>
        <w:trPr>
          <w:trHeight w:val="193"/>
        </w:trPr>
        <w:tc>
          <w:tcPr>
            <w:tcW w:w="10580" w:type="dxa"/>
            <w:vAlign w:val="bottom"/>
            <w:gridSpan w:val="2"/>
          </w:tcPr>
          <w:p>
            <w:pPr>
              <w:ind w:left="100"/>
              <w:spacing w:after="0" w:line="192" w:lineRule="exact"/>
              <w:rPr>
                <w:sz w:val="20"/>
                <w:szCs w:val="20"/>
                <w:color w:val="auto"/>
              </w:rPr>
            </w:pPr>
            <w:r>
              <w:rPr>
                <w:rFonts w:ascii="Arial" w:cs="Arial" w:eastAsia="Arial" w:hAnsi="Arial"/>
                <w:sz w:val="14"/>
                <w:szCs w:val="14"/>
                <w:color w:val="auto"/>
              </w:rPr>
              <w:t>Dividend Reinvestment Plan Expenses</w:t>
            </w:r>
            <w:r>
              <w:rPr>
                <w:rFonts w:ascii="Arial" w:cs="Arial" w:eastAsia="Arial" w:hAnsi="Arial"/>
                <w:sz w:val="22"/>
                <w:szCs w:val="22"/>
                <w:color w:val="auto"/>
                <w:vertAlign w:val="superscript"/>
              </w:rPr>
              <w:t>(3)</w:t>
            </w:r>
          </w:p>
        </w:tc>
        <w:tc>
          <w:tcPr>
            <w:tcW w:w="660" w:type="dxa"/>
            <w:vAlign w:val="bottom"/>
            <w:tcBorders>
              <w:bottom w:val="single" w:sz="8" w:color="auto"/>
            </w:tcBorders>
            <w:shd w:val="clear" w:color="auto" w:fill="F0F5F1"/>
          </w:tcPr>
          <w:p>
            <w:pPr>
              <w:ind w:left="80"/>
              <w:spacing w:after="0"/>
              <w:rPr>
                <w:sz w:val="20"/>
                <w:szCs w:val="20"/>
                <w:color w:val="auto"/>
              </w:rPr>
            </w:pPr>
            <w:r>
              <w:rPr>
                <w:rFonts w:ascii="Arial" w:cs="Arial" w:eastAsia="Arial" w:hAnsi="Arial"/>
                <w:sz w:val="14"/>
                <w:szCs w:val="14"/>
                <w:color w:val="auto"/>
              </w:rPr>
              <w:t>None</w:t>
            </w:r>
          </w:p>
        </w:tc>
      </w:tr>
      <w:tr>
        <w:trPr>
          <w:trHeight w:val="168"/>
        </w:trPr>
        <w:tc>
          <w:tcPr>
            <w:tcW w:w="105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Stockholder Transaction Expenses</w:t>
            </w:r>
          </w:p>
        </w:tc>
        <w:tc>
          <w:tcPr>
            <w:tcW w:w="660" w:type="dxa"/>
            <w:vAlign w:val="bottom"/>
            <w:shd w:val="clear" w:color="auto" w:fill="F0F5F1"/>
          </w:tcPr>
          <w:p>
            <w:pPr>
              <w:jc w:val="center"/>
              <w:ind w:right="109"/>
              <w:spacing w:after="0"/>
              <w:rPr>
                <w:sz w:val="20"/>
                <w:szCs w:val="20"/>
                <w:color w:val="auto"/>
              </w:rPr>
            </w:pPr>
            <w:r>
              <w:rPr>
                <w:rFonts w:ascii="Arial" w:cs="Arial" w:eastAsia="Arial" w:hAnsi="Arial"/>
                <w:sz w:val="14"/>
                <w:szCs w:val="14"/>
                <w:b w:val="1"/>
                <w:bCs w:val="1"/>
                <w:color w:val="auto"/>
              </w:rPr>
              <w:t> −  − </w:t>
            </w:r>
          </w:p>
        </w:tc>
      </w:tr>
      <w:tr>
        <w:trPr>
          <w:trHeight w:val="163"/>
        </w:trPr>
        <w:tc>
          <w:tcPr>
            <w:tcW w:w="10500" w:type="dxa"/>
            <w:vAlign w:val="bottom"/>
            <w:shd w:val="clear" w:color="auto" w:fill="F0F5F1"/>
          </w:tcPr>
          <w:p>
            <w:pPr>
              <w:ind w:left="100"/>
              <w:spacing w:after="0"/>
              <w:rPr>
                <w:sz w:val="20"/>
                <w:szCs w:val="20"/>
                <w:color w:val="auto"/>
              </w:rPr>
            </w:pPr>
            <w:r>
              <w:rPr>
                <w:rFonts w:ascii="Arial" w:cs="Arial" w:eastAsia="Arial" w:hAnsi="Arial"/>
                <w:sz w:val="14"/>
                <w:szCs w:val="14"/>
                <w:b w:val="1"/>
                <w:bCs w:val="1"/>
                <w:color w:val="auto"/>
              </w:rPr>
              <w:t>Annual Expenses (as a percentage of net assets attributable to common stock):</w:t>
            </w:r>
          </w:p>
        </w:tc>
        <w:tc>
          <w:tcPr>
            <w:tcW w:w="80" w:type="dxa"/>
            <w:vAlign w:val="bottom"/>
            <w:shd w:val="clear" w:color="auto" w:fill="F0F5F1"/>
          </w:tcPr>
          <w:p>
            <w:pPr>
              <w:spacing w:after="0"/>
              <w:rPr>
                <w:sz w:val="14"/>
                <w:szCs w:val="14"/>
                <w:color w:val="auto"/>
              </w:rPr>
            </w:pPr>
          </w:p>
        </w:tc>
        <w:tc>
          <w:tcPr>
            <w:tcW w:w="660" w:type="dxa"/>
            <w:vAlign w:val="bottom"/>
            <w:shd w:val="clear" w:color="auto" w:fill="F0F5F1"/>
          </w:tcPr>
          <w:p>
            <w:pPr>
              <w:spacing w:after="0"/>
              <w:rPr>
                <w:sz w:val="14"/>
                <w:szCs w:val="14"/>
                <w:color w:val="auto"/>
              </w:rPr>
            </w:pPr>
          </w:p>
        </w:tc>
      </w:tr>
      <w:tr>
        <w:trPr>
          <w:trHeight w:val="209"/>
        </w:trPr>
        <w:tc>
          <w:tcPr>
            <w:tcW w:w="10500" w:type="dxa"/>
            <w:vAlign w:val="bottom"/>
            <w:shd w:val="clear" w:color="auto" w:fill="F0F5F1"/>
          </w:tcPr>
          <w:p>
            <w:pPr>
              <w:ind w:left="100"/>
              <w:spacing w:after="0" w:line="209" w:lineRule="exact"/>
              <w:rPr>
                <w:sz w:val="20"/>
                <w:szCs w:val="20"/>
                <w:color w:val="auto"/>
              </w:rPr>
            </w:pPr>
            <w:r>
              <w:rPr>
                <w:rFonts w:ascii="Arial" w:cs="Arial" w:eastAsia="Arial" w:hAnsi="Arial"/>
                <w:sz w:val="14"/>
                <w:szCs w:val="14"/>
                <w:color w:val="auto"/>
              </w:rPr>
              <w:t>Management Fees</w:t>
            </w:r>
            <w:r>
              <w:rPr>
                <w:rFonts w:ascii="Arial" w:cs="Arial" w:eastAsia="Arial" w:hAnsi="Arial"/>
                <w:sz w:val="23"/>
                <w:szCs w:val="23"/>
                <w:color w:val="auto"/>
                <w:vertAlign w:val="superscript"/>
              </w:rPr>
              <w:t>(4)</w:t>
            </w:r>
          </w:p>
        </w:tc>
        <w:tc>
          <w:tcPr>
            <w:tcW w:w="80" w:type="dxa"/>
            <w:vAlign w:val="bottom"/>
            <w:shd w:val="clear" w:color="auto" w:fill="F0F5F1"/>
          </w:tcPr>
          <w:p>
            <w:pPr>
              <w:spacing w:after="0"/>
              <w:rPr>
                <w:sz w:val="18"/>
                <w:szCs w:val="18"/>
                <w:color w:val="auto"/>
              </w:rPr>
            </w:pPr>
          </w:p>
        </w:tc>
        <w:tc>
          <w:tcPr>
            <w:tcW w:w="660" w:type="dxa"/>
            <w:vAlign w:val="bottom"/>
            <w:shd w:val="clear" w:color="auto" w:fill="F0F5F1"/>
          </w:tcPr>
          <w:p>
            <w:pPr>
              <w:jc w:val="center"/>
              <w:ind w:right="129"/>
              <w:spacing w:after="0"/>
              <w:rPr>
                <w:sz w:val="20"/>
                <w:szCs w:val="20"/>
                <w:color w:val="auto"/>
              </w:rPr>
            </w:pPr>
            <w:r>
              <w:rPr>
                <w:rFonts w:ascii="Arial" w:cs="Arial" w:eastAsia="Arial" w:hAnsi="Arial"/>
                <w:sz w:val="14"/>
                <w:szCs w:val="14"/>
                <w:color w:val="auto"/>
              </w:rPr>
              <w:t>2.53%</w:t>
            </w:r>
          </w:p>
        </w:tc>
      </w:tr>
      <w:tr>
        <w:trPr>
          <w:trHeight w:val="201"/>
        </w:trPr>
        <w:tc>
          <w:tcPr>
            <w:tcW w:w="10500" w:type="dxa"/>
            <w:vAlign w:val="bottom"/>
            <w:shd w:val="clear" w:color="auto" w:fill="F0F5F1"/>
          </w:tcPr>
          <w:p>
            <w:pPr>
              <w:ind w:left="100"/>
              <w:spacing w:after="0" w:line="201" w:lineRule="exact"/>
              <w:rPr>
                <w:sz w:val="20"/>
                <w:szCs w:val="20"/>
                <w:color w:val="auto"/>
              </w:rPr>
            </w:pPr>
            <w:r>
              <w:rPr>
                <w:rFonts w:ascii="Arial" w:cs="Arial" w:eastAsia="Arial" w:hAnsi="Arial"/>
                <w:sz w:val="14"/>
                <w:szCs w:val="14"/>
                <w:color w:val="auto"/>
              </w:rPr>
              <w:t>Interest payments on borrowed funds</w:t>
            </w:r>
            <w:r>
              <w:rPr>
                <w:rFonts w:ascii="Arial" w:cs="Arial" w:eastAsia="Arial" w:hAnsi="Arial"/>
                <w:sz w:val="23"/>
                <w:szCs w:val="23"/>
                <w:color w:val="auto"/>
                <w:vertAlign w:val="superscript"/>
              </w:rPr>
              <w:t>(5)</w:t>
            </w:r>
          </w:p>
        </w:tc>
        <w:tc>
          <w:tcPr>
            <w:tcW w:w="80" w:type="dxa"/>
            <w:vAlign w:val="bottom"/>
            <w:shd w:val="clear" w:color="auto" w:fill="F0F5F1"/>
          </w:tcPr>
          <w:p>
            <w:pPr>
              <w:spacing w:after="0"/>
              <w:rPr>
                <w:sz w:val="17"/>
                <w:szCs w:val="17"/>
                <w:color w:val="auto"/>
              </w:rPr>
            </w:pPr>
          </w:p>
        </w:tc>
        <w:tc>
          <w:tcPr>
            <w:tcW w:w="660" w:type="dxa"/>
            <w:vAlign w:val="bottom"/>
            <w:shd w:val="clear" w:color="auto" w:fill="F0F5F1"/>
          </w:tcPr>
          <w:p>
            <w:pPr>
              <w:jc w:val="center"/>
              <w:ind w:right="129"/>
              <w:spacing w:after="0"/>
              <w:rPr>
                <w:sz w:val="20"/>
                <w:szCs w:val="20"/>
                <w:color w:val="auto"/>
              </w:rPr>
            </w:pPr>
            <w:r>
              <w:rPr>
                <w:rFonts w:ascii="Arial" w:cs="Arial" w:eastAsia="Arial" w:hAnsi="Arial"/>
                <w:sz w:val="14"/>
                <w:szCs w:val="14"/>
                <w:color w:val="auto"/>
              </w:rPr>
              <w:t>2.65%</w:t>
            </w:r>
          </w:p>
        </w:tc>
      </w:tr>
      <w:tr>
        <w:trPr>
          <w:trHeight w:val="193"/>
        </w:trPr>
        <w:tc>
          <w:tcPr>
            <w:tcW w:w="10500" w:type="dxa"/>
            <w:vAlign w:val="bottom"/>
            <w:tcBorders>
              <w:bottom w:val="single" w:sz="8" w:color="F0F5F1"/>
            </w:tcBorders>
            <w:shd w:val="clear" w:color="auto" w:fill="F0F5F1"/>
          </w:tcPr>
          <w:p>
            <w:pPr>
              <w:ind w:left="100"/>
              <w:spacing w:after="0" w:line="192" w:lineRule="exact"/>
              <w:rPr>
                <w:sz w:val="20"/>
                <w:szCs w:val="20"/>
                <w:color w:val="auto"/>
              </w:rPr>
            </w:pPr>
            <w:r>
              <w:rPr>
                <w:rFonts w:ascii="Arial" w:cs="Arial" w:eastAsia="Arial" w:hAnsi="Arial"/>
                <w:sz w:val="14"/>
                <w:szCs w:val="14"/>
                <w:color w:val="auto"/>
              </w:rPr>
              <w:t>Other Expenses (estimated for the current fiscal year)</w:t>
            </w:r>
            <w:r>
              <w:rPr>
                <w:rFonts w:ascii="Arial" w:cs="Arial" w:eastAsia="Arial" w:hAnsi="Arial"/>
                <w:sz w:val="22"/>
                <w:szCs w:val="22"/>
                <w:color w:val="auto"/>
                <w:vertAlign w:val="superscript"/>
              </w:rPr>
              <w:t>(6)</w:t>
            </w:r>
          </w:p>
        </w:tc>
        <w:tc>
          <w:tcPr>
            <w:tcW w:w="80" w:type="dxa"/>
            <w:vAlign w:val="bottom"/>
            <w:tcBorders>
              <w:bottom w:val="single" w:sz="8" w:color="auto"/>
            </w:tcBorders>
            <w:shd w:val="clear" w:color="auto" w:fill="F0F5F1"/>
          </w:tcPr>
          <w:p>
            <w:pPr>
              <w:spacing w:after="0"/>
              <w:rPr>
                <w:sz w:val="16"/>
                <w:szCs w:val="16"/>
                <w:color w:val="auto"/>
              </w:rPr>
            </w:pPr>
          </w:p>
        </w:tc>
        <w:tc>
          <w:tcPr>
            <w:tcW w:w="660" w:type="dxa"/>
            <w:vAlign w:val="bottom"/>
            <w:tcBorders>
              <w:bottom w:val="single" w:sz="8" w:color="auto"/>
            </w:tcBorders>
            <w:shd w:val="clear" w:color="auto" w:fill="F0F5F1"/>
          </w:tcPr>
          <w:p>
            <w:pPr>
              <w:jc w:val="center"/>
              <w:ind w:right="129"/>
              <w:spacing w:after="0"/>
              <w:rPr>
                <w:sz w:val="20"/>
                <w:szCs w:val="20"/>
                <w:color w:val="auto"/>
              </w:rPr>
            </w:pPr>
            <w:r>
              <w:rPr>
                <w:rFonts w:ascii="Arial" w:cs="Arial" w:eastAsia="Arial" w:hAnsi="Arial"/>
                <w:sz w:val="14"/>
                <w:szCs w:val="14"/>
                <w:color w:val="auto"/>
              </w:rPr>
              <w:t>1.83%</w:t>
            </w:r>
          </w:p>
        </w:tc>
      </w:tr>
      <w:tr>
        <w:trPr>
          <w:trHeight w:val="194"/>
        </w:trPr>
        <w:tc>
          <w:tcPr>
            <w:tcW w:w="10500" w:type="dxa"/>
            <w:vAlign w:val="bottom"/>
            <w:shd w:val="clear" w:color="auto" w:fill="F0F5F1"/>
          </w:tcPr>
          <w:p>
            <w:pPr>
              <w:ind w:left="100"/>
              <w:spacing w:after="0" w:line="193" w:lineRule="exact"/>
              <w:rPr>
                <w:sz w:val="20"/>
                <w:szCs w:val="20"/>
                <w:color w:val="auto"/>
              </w:rPr>
            </w:pPr>
            <w:r>
              <w:rPr>
                <w:rFonts w:ascii="Arial" w:cs="Arial" w:eastAsia="Arial" w:hAnsi="Arial"/>
                <w:sz w:val="14"/>
                <w:szCs w:val="14"/>
                <w:b w:val="1"/>
                <w:bCs w:val="1"/>
                <w:color w:val="auto"/>
              </w:rPr>
              <w:t>Total Annual Expenses</w:t>
            </w:r>
            <w:r>
              <w:rPr>
                <w:rFonts w:ascii="Arial" w:cs="Arial" w:eastAsia="Arial" w:hAnsi="Arial"/>
                <w:sz w:val="22"/>
                <w:szCs w:val="22"/>
                <w:b w:val="1"/>
                <w:bCs w:val="1"/>
                <w:color w:val="auto"/>
                <w:vertAlign w:val="superscript"/>
              </w:rPr>
              <w:t>(7)</w:t>
            </w:r>
          </w:p>
        </w:tc>
        <w:tc>
          <w:tcPr>
            <w:tcW w:w="80" w:type="dxa"/>
            <w:vAlign w:val="bottom"/>
            <w:shd w:val="clear" w:color="auto" w:fill="F0F5F1"/>
          </w:tcPr>
          <w:p>
            <w:pPr>
              <w:spacing w:after="0"/>
              <w:rPr>
                <w:sz w:val="16"/>
                <w:szCs w:val="16"/>
                <w:color w:val="auto"/>
              </w:rPr>
            </w:pPr>
          </w:p>
        </w:tc>
        <w:tc>
          <w:tcPr>
            <w:tcW w:w="660" w:type="dxa"/>
            <w:vAlign w:val="bottom"/>
            <w:shd w:val="clear" w:color="auto" w:fill="F0F5F1"/>
          </w:tcPr>
          <w:p>
            <w:pPr>
              <w:jc w:val="center"/>
              <w:ind w:right="149"/>
              <w:spacing w:after="0"/>
              <w:rPr>
                <w:sz w:val="20"/>
                <w:szCs w:val="20"/>
                <w:color w:val="auto"/>
              </w:rPr>
            </w:pPr>
            <w:r>
              <w:rPr>
                <w:rFonts w:ascii="Arial" w:cs="Arial" w:eastAsia="Arial" w:hAnsi="Arial"/>
                <w:sz w:val="14"/>
                <w:szCs w:val="14"/>
                <w:b w:val="1"/>
                <w:bCs w:val="1"/>
                <w:color w:val="auto"/>
              </w:rPr>
              <w:t>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1787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335" w:lineRule="exact"/>
        <w:rPr>
          <w:sz w:val="20"/>
          <w:szCs w:val="20"/>
          <w:color w:val="auto"/>
        </w:rPr>
      </w:pPr>
    </w:p>
    <w:p>
      <w:pPr>
        <w:ind w:left="260" w:right="480" w:hanging="259"/>
        <w:spacing w:after="0" w:line="248" w:lineRule="auto"/>
        <w:tabs>
          <w:tab w:leader="none" w:pos="260" w:val="left"/>
        </w:tabs>
        <w:numPr>
          <w:ilvl w:val="0"/>
          <w:numId w:val="28"/>
        </w:numPr>
        <w:rPr>
          <w:rFonts w:ascii="Arial" w:cs="Arial" w:eastAsia="Arial" w:hAnsi="Arial"/>
          <w:sz w:val="13"/>
          <w:szCs w:val="13"/>
          <w:color w:val="auto"/>
        </w:rPr>
      </w:pPr>
      <w:r>
        <w:rPr>
          <w:rFonts w:ascii="Arial" w:cs="Arial" w:eastAsia="Arial" w:hAnsi="Arial"/>
          <w:sz w:val="16"/>
          <w:szCs w:val="16"/>
          <w:color w:val="auto"/>
        </w:rPr>
        <w:t>In the event that the Company sells its securities to or through underwriters or agents, the applicable sales load will be disclosed in the corresponding prospectus and/or prospectus supplement.</w:t>
      </w:r>
    </w:p>
    <w:p>
      <w:pPr>
        <w:ind w:left="260" w:right="140" w:hanging="259"/>
        <w:spacing w:after="0" w:line="234" w:lineRule="auto"/>
        <w:tabs>
          <w:tab w:leader="none" w:pos="260" w:val="left"/>
        </w:tabs>
        <w:numPr>
          <w:ilvl w:val="0"/>
          <w:numId w:val="28"/>
        </w:numPr>
        <w:rPr>
          <w:rFonts w:ascii="Arial" w:cs="Arial" w:eastAsia="Arial" w:hAnsi="Arial"/>
          <w:sz w:val="13"/>
          <w:szCs w:val="13"/>
          <w:color w:val="auto"/>
        </w:rPr>
      </w:pPr>
      <w:r>
        <w:rPr>
          <w:rFonts w:ascii="Arial" w:cs="Arial" w:eastAsia="Arial" w:hAnsi="Arial"/>
          <w:sz w:val="16"/>
          <w:szCs w:val="16"/>
          <w:color w:val="auto"/>
        </w:rPr>
        <w:t>In the event that the Company sells or offers its securities, the estimated amount of total offering expenses (which may include offering expenses borne by third parties on the Company's behalf), the offering price and the offering expenses born by the Company as a percentage of the offering price will be disclosed in the corresponding prospectus and/or prospectus supplement.</w:t>
      </w:r>
    </w:p>
    <w:p>
      <w:pPr>
        <w:spacing w:after="0" w:line="2" w:lineRule="exact"/>
        <w:rPr>
          <w:rFonts w:ascii="Arial" w:cs="Arial" w:eastAsia="Arial" w:hAnsi="Arial"/>
          <w:sz w:val="13"/>
          <w:szCs w:val="13"/>
          <w:color w:val="auto"/>
        </w:rPr>
      </w:pPr>
    </w:p>
    <w:p>
      <w:pPr>
        <w:ind w:left="260" w:right="660" w:hanging="259"/>
        <w:spacing w:after="0" w:line="233" w:lineRule="auto"/>
        <w:tabs>
          <w:tab w:leader="none" w:pos="260" w:val="left"/>
        </w:tabs>
        <w:numPr>
          <w:ilvl w:val="0"/>
          <w:numId w:val="28"/>
        </w:numPr>
        <w:rPr>
          <w:rFonts w:ascii="Arial" w:cs="Arial" w:eastAsia="Arial" w:hAnsi="Arial"/>
          <w:sz w:val="13"/>
          <w:szCs w:val="13"/>
          <w:color w:val="auto"/>
        </w:rPr>
      </w:pPr>
      <w:r>
        <w:rPr>
          <w:rFonts w:ascii="Arial" w:cs="Arial" w:eastAsia="Arial" w:hAnsi="Arial"/>
          <w:sz w:val="16"/>
          <w:szCs w:val="16"/>
          <w:color w:val="auto"/>
        </w:rPr>
        <w:t>The expenses associated with the administration of our dividend reinvestment plan are included in “Other Expenses.” Participants in the dividend reinvestment plan that instruct the plan administrator to sell shares obtained under the plan may be accessed a $15 transaction fee by the plan administrator and the proceeds of such sale will be net of brokerage commissions, fees and transaction costs. For more details about the plan, see “Dividend Reinvestment Plan".</w:t>
      </w:r>
    </w:p>
    <w:p>
      <w:pPr>
        <w:spacing w:after="0" w:line="1" w:lineRule="exact"/>
        <w:rPr>
          <w:rFonts w:ascii="Arial" w:cs="Arial" w:eastAsia="Arial" w:hAnsi="Arial"/>
          <w:sz w:val="13"/>
          <w:szCs w:val="13"/>
          <w:color w:val="auto"/>
        </w:rPr>
      </w:pPr>
    </w:p>
    <w:p>
      <w:pPr>
        <w:ind w:left="260" w:right="40" w:hanging="259"/>
        <w:spacing w:after="0" w:line="237" w:lineRule="auto"/>
        <w:tabs>
          <w:tab w:leader="none" w:pos="260" w:val="left"/>
        </w:tabs>
        <w:numPr>
          <w:ilvl w:val="0"/>
          <w:numId w:val="28"/>
        </w:numPr>
        <w:rPr>
          <w:rFonts w:ascii="Arial" w:cs="Arial" w:eastAsia="Arial" w:hAnsi="Arial"/>
          <w:sz w:val="13"/>
          <w:szCs w:val="13"/>
          <w:color w:val="auto"/>
        </w:rPr>
      </w:pPr>
      <w:r>
        <w:rPr>
          <w:rFonts w:ascii="Arial" w:cs="Arial" w:eastAsia="Arial" w:hAnsi="Arial"/>
          <w:sz w:val="16"/>
          <w:szCs w:val="16"/>
          <w:color w:val="auto"/>
        </w:rPr>
        <w:t>For the purposes of calculating our expenses, we have assumed the maximum contractual management fee of 1.75% of Managed Assets. See “Investment Advisory Fee and Other Fee Arrangements.” see note 3</w:t>
      </w:r>
    </w:p>
    <w:p>
      <w:pPr>
        <w:spacing w:after="0" w:line="1" w:lineRule="exact"/>
        <w:rPr>
          <w:rFonts w:ascii="Arial" w:cs="Arial" w:eastAsia="Arial" w:hAnsi="Arial"/>
          <w:sz w:val="13"/>
          <w:szCs w:val="13"/>
          <w:color w:val="auto"/>
        </w:rPr>
      </w:pPr>
    </w:p>
    <w:p>
      <w:pPr>
        <w:ind w:left="260" w:right="40" w:hanging="259"/>
        <w:spacing w:after="0" w:line="233" w:lineRule="auto"/>
        <w:tabs>
          <w:tab w:leader="none" w:pos="260" w:val="left"/>
        </w:tabs>
        <w:numPr>
          <w:ilvl w:val="0"/>
          <w:numId w:val="28"/>
        </w:numPr>
        <w:rPr>
          <w:rFonts w:ascii="Arial" w:cs="Arial" w:eastAsia="Arial" w:hAnsi="Arial"/>
          <w:sz w:val="13"/>
          <w:szCs w:val="13"/>
          <w:color w:val="auto"/>
        </w:rPr>
      </w:pPr>
      <w:r>
        <w:rPr>
          <w:rFonts w:ascii="Arial" w:cs="Arial" w:eastAsia="Arial" w:hAnsi="Arial"/>
          <w:sz w:val="16"/>
          <w:szCs w:val="16"/>
          <w:color w:val="auto"/>
        </w:rPr>
        <w:t>We entered into a revolving credit agreement on June 9, 2014. Interest expense assumes that leverage will represent approximately 30% of our Managed Assets (as defined under “Management—Management Agreement — Management Fee”) - see note 7, and charge interest or involve payment at a rate set by an interest rate transaction at the rate of 6.40% as of December 31, 2025. We have assumed for purposes of these expense estimates that we will utilize leverage for the entire year.</w:t>
      </w:r>
    </w:p>
    <w:p>
      <w:pPr>
        <w:spacing w:after="0" w:line="1" w:lineRule="exact"/>
        <w:rPr>
          <w:rFonts w:ascii="Arial" w:cs="Arial" w:eastAsia="Arial" w:hAnsi="Arial"/>
          <w:sz w:val="13"/>
          <w:szCs w:val="13"/>
          <w:color w:val="auto"/>
        </w:rPr>
      </w:pPr>
    </w:p>
    <w:p>
      <w:pPr>
        <w:ind w:left="260" w:right="80" w:hanging="259"/>
        <w:spacing w:after="0" w:line="232" w:lineRule="auto"/>
        <w:tabs>
          <w:tab w:leader="none" w:pos="260" w:val="left"/>
        </w:tabs>
        <w:numPr>
          <w:ilvl w:val="0"/>
          <w:numId w:val="28"/>
        </w:numPr>
        <w:rPr>
          <w:rFonts w:ascii="Arial" w:cs="Arial" w:eastAsia="Arial" w:hAnsi="Arial"/>
          <w:sz w:val="13"/>
          <w:szCs w:val="13"/>
          <w:color w:val="auto"/>
        </w:rPr>
      </w:pPr>
      <w:r>
        <w:rPr>
          <w:rFonts w:ascii="Arial" w:cs="Arial" w:eastAsia="Arial" w:hAnsi="Arial"/>
          <w:sz w:val="16"/>
          <w:szCs w:val="16"/>
          <w:color w:val="auto"/>
        </w:rPr>
        <w:t>Pursuant to the management agreement, our Advisor furnishes us, or arranges for the furnishing of office facilities and clerical and administrative services necessary for our operation (other than services provided by our custodian, accounting agent, administrator, dividend and interest paying agent and other service providers). We bear all expenses incurred in our operations, and we will bear the expenses related to any future offering. “Other Expenses” above includes all such costs not borne by our Advisor, which may include but are not limited to overhead costs of our business, commissions, fees and expenses connected with our investments and auditing, accounting and legal expenses, and Acquired Fund Fees and Expenses.</w:t>
      </w:r>
    </w:p>
    <w:p>
      <w:pPr>
        <w:spacing w:after="0" w:line="2" w:lineRule="exact"/>
        <w:rPr>
          <w:rFonts w:ascii="Arial" w:cs="Arial" w:eastAsia="Arial" w:hAnsi="Arial"/>
          <w:sz w:val="13"/>
          <w:szCs w:val="13"/>
          <w:color w:val="auto"/>
        </w:rPr>
      </w:pPr>
    </w:p>
    <w:p>
      <w:pPr>
        <w:ind w:left="260" w:right="140" w:hanging="259"/>
        <w:spacing w:after="0" w:line="259" w:lineRule="auto"/>
        <w:tabs>
          <w:tab w:leader="none" w:pos="260" w:val="left"/>
        </w:tabs>
        <w:numPr>
          <w:ilvl w:val="0"/>
          <w:numId w:val="28"/>
        </w:numPr>
        <w:rPr>
          <w:rFonts w:ascii="Arial" w:cs="Arial" w:eastAsia="Arial" w:hAnsi="Arial"/>
          <w:sz w:val="12"/>
          <w:szCs w:val="12"/>
          <w:color w:val="auto"/>
        </w:rPr>
      </w:pPr>
      <w:r>
        <w:rPr>
          <w:rFonts w:ascii="Arial" w:cs="Arial" w:eastAsia="Arial" w:hAnsi="Arial"/>
          <w:sz w:val="15"/>
          <w:szCs w:val="15"/>
          <w:color w:val="auto"/>
        </w:rPr>
        <w:t>Total Annual Expenses may not correlate to the ratio of expenses to average net assets disclosed in the Company’s annual and semi-annual reports to stockholders in the financial highlights table, which reflects operating expenses of the Company and does not include “Acquired Fund” fees and expenses. For the year ended December 31, 2025, the Advisor voluntarily reimbursed the Fund $149,992 for expenses related to Investor Relations Fees.</w:t>
      </w:r>
    </w:p>
    <w:p>
      <w:pPr>
        <w:spacing w:after="0" w:line="14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r>
        <w:rPr>
          <w:rFonts w:ascii="Arial" w:cs="Arial" w:eastAsia="Arial" w:hAnsi="Arial"/>
          <w:sz w:val="13"/>
          <w:szCs w:val="13"/>
          <w:b w:val="1"/>
          <w:bCs w:val="1"/>
          <w:color w:val="296B38"/>
        </w:rPr>
        <w:t>.</w:t>
      </w:r>
      <w:r>
        <w:rPr>
          <w:sz w:val="20"/>
          <w:szCs w:val="20"/>
          <w:color w:val="auto"/>
        </w:rPr>
        <w:tab/>
      </w:r>
      <w:r>
        <w:rPr>
          <w:rFonts w:ascii="Arial" w:cs="Arial" w:eastAsia="Arial" w:hAnsi="Arial"/>
          <w:sz w:val="12"/>
          <w:szCs w:val="12"/>
          <w:color w:val="296B38"/>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254000</wp:posOffset>
            </wp:positionV>
            <wp:extent cx="71418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Example</w:t>
      </w:r>
    </w:p>
    <w:p>
      <w:pPr>
        <w:spacing w:after="0" w:line="168"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following example demonstrates the hypothetical dollar amount of total cumulative expenses that would be incurred over various periods with respect to a hypothetical investment in our common stock. These amounts are based upon the assumption that our annual operating expenses remain at the levels set forth in the table above and that the annual return on investments before fees and expenses is 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760" w:type="dxa"/>
            <w:vAlign w:val="bottom"/>
            <w:tcBorders>
              <w:bottom w:val="single" w:sz="8" w:color="auto"/>
            </w:tcBorders>
            <w:shd w:val="clear" w:color="auto" w:fill="F0F5F1"/>
          </w:tcPr>
          <w:p>
            <w:pPr>
              <w:spacing w:after="0"/>
              <w:rPr>
                <w:sz w:val="24"/>
                <w:szCs w:val="24"/>
                <w:color w:val="auto"/>
              </w:rPr>
            </w:pPr>
          </w:p>
        </w:tc>
        <w:tc>
          <w:tcPr>
            <w:tcW w:w="110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6"/>
                <w:szCs w:val="16"/>
                <w:b w:val="1"/>
                <w:bCs w:val="1"/>
                <w:color w:val="auto"/>
                <w:w w:val="95"/>
              </w:rPr>
              <w:t>1 Year</w:t>
            </w:r>
          </w:p>
        </w:tc>
        <w:tc>
          <w:tcPr>
            <w:tcW w:w="116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6"/>
                <w:szCs w:val="16"/>
                <w:b w:val="1"/>
                <w:bCs w:val="1"/>
                <w:color w:val="auto"/>
                <w:w w:val="98"/>
              </w:rPr>
              <w:t>3 Years</w:t>
            </w:r>
          </w:p>
        </w:tc>
        <w:tc>
          <w:tcPr>
            <w:tcW w:w="108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6"/>
                <w:szCs w:val="16"/>
                <w:b w:val="1"/>
                <w:bCs w:val="1"/>
                <w:color w:val="auto"/>
                <w:w w:val="94"/>
              </w:rPr>
              <w:t>5 Years</w:t>
            </w:r>
          </w:p>
        </w:tc>
        <w:tc>
          <w:tcPr>
            <w:tcW w:w="114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6"/>
                <w:szCs w:val="16"/>
                <w:b w:val="1"/>
                <w:bCs w:val="1"/>
                <w:color w:val="auto"/>
              </w:rPr>
              <w:t>10 Years</w:t>
            </w:r>
          </w:p>
        </w:tc>
      </w:tr>
      <w:tr>
        <w:trPr>
          <w:trHeight w:val="194"/>
        </w:trPr>
        <w:tc>
          <w:tcPr>
            <w:tcW w:w="6760" w:type="dxa"/>
            <w:vAlign w:val="bottom"/>
            <w:shd w:val="clear" w:color="auto" w:fill="F0F5F1"/>
          </w:tcPr>
          <w:p>
            <w:pPr>
              <w:ind w:left="100"/>
              <w:spacing w:after="0"/>
              <w:rPr>
                <w:sz w:val="20"/>
                <w:szCs w:val="20"/>
                <w:color w:val="auto"/>
              </w:rPr>
            </w:pPr>
            <w:r>
              <w:rPr>
                <w:rFonts w:ascii="Arial" w:cs="Arial" w:eastAsia="Arial" w:hAnsi="Arial"/>
                <w:sz w:val="16"/>
                <w:szCs w:val="16"/>
                <w:color w:val="auto"/>
              </w:rPr>
              <w:t>You would pay the following expenses on a $1,000 investment, assuming a 5% annual return:</w:t>
            </w:r>
          </w:p>
        </w:tc>
        <w:tc>
          <w:tcPr>
            <w:tcW w:w="1100" w:type="dxa"/>
            <w:vAlign w:val="bottom"/>
            <w:shd w:val="clear" w:color="auto" w:fill="F0F5F1"/>
          </w:tcPr>
          <w:p>
            <w:pPr>
              <w:jc w:val="right"/>
              <w:ind w:right="340"/>
              <w:spacing w:after="0"/>
              <w:rPr>
                <w:sz w:val="20"/>
                <w:szCs w:val="20"/>
                <w:color w:val="auto"/>
              </w:rPr>
            </w:pPr>
            <w:r>
              <w:rPr>
                <w:rFonts w:ascii="Arial" w:cs="Arial" w:eastAsia="Arial" w:hAnsi="Arial"/>
                <w:sz w:val="16"/>
                <w:szCs w:val="16"/>
                <w:color w:val="auto"/>
              </w:rPr>
              <w:t>$69</w:t>
            </w:r>
          </w:p>
        </w:tc>
        <w:tc>
          <w:tcPr>
            <w:tcW w:w="1160" w:type="dxa"/>
            <w:vAlign w:val="bottom"/>
            <w:shd w:val="clear" w:color="auto" w:fill="F0F5F1"/>
          </w:tcPr>
          <w:p>
            <w:pPr>
              <w:jc w:val="right"/>
              <w:ind w:right="320"/>
              <w:spacing w:after="0"/>
              <w:rPr>
                <w:sz w:val="20"/>
                <w:szCs w:val="20"/>
                <w:color w:val="auto"/>
              </w:rPr>
            </w:pPr>
            <w:r>
              <w:rPr>
                <w:rFonts w:ascii="Arial" w:cs="Arial" w:eastAsia="Arial" w:hAnsi="Arial"/>
                <w:sz w:val="16"/>
                <w:szCs w:val="16"/>
                <w:color w:val="auto"/>
              </w:rPr>
              <w:t>$204</w:t>
            </w:r>
          </w:p>
        </w:tc>
        <w:tc>
          <w:tcPr>
            <w:tcW w:w="1080" w:type="dxa"/>
            <w:vAlign w:val="bottom"/>
            <w:shd w:val="clear" w:color="auto" w:fill="F0F5F1"/>
          </w:tcPr>
          <w:p>
            <w:pPr>
              <w:jc w:val="right"/>
              <w:ind w:right="280"/>
              <w:spacing w:after="0"/>
              <w:rPr>
                <w:sz w:val="20"/>
                <w:szCs w:val="20"/>
                <w:color w:val="auto"/>
              </w:rPr>
            </w:pPr>
            <w:r>
              <w:rPr>
                <w:rFonts w:ascii="Arial" w:cs="Arial" w:eastAsia="Arial" w:hAnsi="Arial"/>
                <w:sz w:val="16"/>
                <w:szCs w:val="16"/>
                <w:color w:val="auto"/>
              </w:rPr>
              <w:t>$333</w:t>
            </w:r>
          </w:p>
        </w:tc>
        <w:tc>
          <w:tcPr>
            <w:tcW w:w="1140" w:type="dxa"/>
            <w:vAlign w:val="bottom"/>
            <w:shd w:val="clear" w:color="auto" w:fill="F0F5F1"/>
          </w:tcPr>
          <w:p>
            <w:pPr>
              <w:jc w:val="right"/>
              <w:ind w:right="320"/>
              <w:spacing w:after="0"/>
              <w:rPr>
                <w:sz w:val="20"/>
                <w:szCs w:val="20"/>
                <w:color w:val="auto"/>
              </w:rPr>
            </w:pPr>
            <w:r>
              <w:rPr>
                <w:rFonts w:ascii="Arial" w:cs="Arial" w:eastAsia="Arial" w:hAnsi="Arial"/>
                <w:sz w:val="16"/>
                <w:szCs w:val="16"/>
                <w:color w:val="auto"/>
              </w:rPr>
              <w:t>$634</w:t>
            </w:r>
          </w:p>
        </w:tc>
      </w:tr>
    </w:tbl>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purpose of the table and example above is to assist you in understanding the various costs and expenses that an investor in any future offering will bear directly or indirectly. The example and the expenses in the tables above should not be considered a representation of our future expenses, and actual expenses may be greater or less than those shown.</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6"/>
          <w:szCs w:val="16"/>
          <w:color w:val="auto"/>
        </w:rPr>
        <w:t>Moreover, while the example assumes, as required by the SEC, a 5% annual return, our performance will vary and may result in a return greater or less than 5%. In addition, while the example assumes reinvestment of all distributions at NAV, participants in our dividend reinvestment plan may receive common stock valued at the market price in effect at that time. This price may be at, above or below NAV. See “Dividend Reinvestment Plan” for additional information regarding our dividend reinvestment plan.</w:t>
      </w:r>
    </w:p>
    <w:p>
      <w:pPr>
        <w:spacing w:after="0" w:line="156"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296B38"/>
        </w:rPr>
        <w:t>39</w:t>
        <w:tab/>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246380</wp:posOffset>
            </wp:positionV>
            <wp:extent cx="71418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520065</wp:posOffset>
            </wp:positionV>
            <wp:extent cx="6703060" cy="933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703060" cy="93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60"/>
        <w:spacing w:after="0" w:line="263" w:lineRule="auto"/>
        <w:rPr>
          <w:sz w:val="20"/>
          <w:szCs w:val="20"/>
          <w:color w:val="auto"/>
        </w:rPr>
      </w:pPr>
      <w:r>
        <w:rPr>
          <w:rFonts w:ascii="Arial" w:cs="Arial" w:eastAsia="Arial" w:hAnsi="Arial"/>
          <w:sz w:val="16"/>
          <w:szCs w:val="16"/>
          <w:color w:val="auto"/>
        </w:rPr>
        <w:t>For federal income tax purposes, the following information is furnished with respect to the distributions of the Company, if any, paid during its taxable year ended December 31, 2025.</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None of the ordinary income dividends paid qualify for the corporate dividends-received deduction.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Under the Jobs and Growth Tax Relief Reconciliation Act of 2003 (the “Act”), none of the ordinary dividends paid during the fiscal year ended December 31, 2025 are designated as "qualified dividend income,” as defined in the Act, and are subject to reduced tax rates.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Eligible shareholders were mailed a 2025 Form 1099-DIV in early 2026. This reflected the tax character of all distributions paid in calendar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120650</wp:posOffset>
            </wp:positionV>
            <wp:extent cx="6703060" cy="821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03060" cy="82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Quarterly Schedule of Investments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Company files their complete schedule of portfolio holdings with the SEC for the first and third quarters of each fiscal year on Form N-PORT. The Company’s Form N-PORT is available on the SEC’s website at http://www.sec.gov. The Company’s Form N-PORT may also be obtained upon request and without charge by calling Investor Relations (877) 855-3434 or on the Company’s website at ir.arrowmarkfinancialcorp.com.</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Proxy Voting Policies and Procedures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 description of the policies and procedures that the Company uses to determine how to vote proxies relating to portfolio securities is available (1) without charge, upon request, by calling Investor Relations (877) 855-3434; (2) at ir.arrowmarkfinancialcorp.com; and (3) on the SEC’s website at http://www.sec.gov.</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Proxy Voting Record</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Information about how the Company voted proxies relating to securities held in the Company’s portfolio during the Annual period ended June 30 is available upon request and without charge (1) at ir.arrowmarkfinancialcorp.com or by calling Investor Relations (877) 855-3434 and (2) on the SEC’s website at http://www.sec.gov.</w:t>
      </w:r>
    </w:p>
    <w:p>
      <w:pPr>
        <w:spacing w:after="0" w:line="15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r>
        <w:rPr>
          <w:rFonts w:ascii="Arial" w:cs="Arial" w:eastAsia="Arial" w:hAnsi="Arial"/>
          <w:sz w:val="13"/>
          <w:szCs w:val="13"/>
          <w:b w:val="1"/>
          <w:bCs w:val="1"/>
          <w:color w:val="296B38"/>
        </w:rPr>
        <w:t>.</w:t>
      </w:r>
      <w:r>
        <w:rPr>
          <w:sz w:val="20"/>
          <w:szCs w:val="20"/>
          <w:color w:val="auto"/>
        </w:rPr>
        <w:tab/>
      </w:r>
      <w:r>
        <w:rPr>
          <w:rFonts w:ascii="Arial" w:cs="Arial" w:eastAsia="Arial" w:hAnsi="Arial"/>
          <w:sz w:val="12"/>
          <w:szCs w:val="12"/>
          <w:color w:val="296B38"/>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246380</wp:posOffset>
            </wp:positionV>
            <wp:extent cx="71418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426720</wp:posOffset>
            </wp:positionH>
            <wp:positionV relativeFrom="page">
              <wp:posOffset>520065</wp:posOffset>
            </wp:positionV>
            <wp:extent cx="6703060" cy="8299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703060" cy="82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Annual Meeting of Stockholders of ArrowMark Financial Corp. was held on June 11, 2025, for the purpose of considering and voting upon the proposal presented at the Meeting. The following table provides information concerning the matter voted upon at the Meeting:</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1:</w:t>
      </w:r>
    </w:p>
    <w:p>
      <w:pPr>
        <w:spacing w:after="0" w:line="168"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To elect two Class III Directors of the Company, to serve for a term ending at the 2028 Annual Meeting of Stockholders of ArrowMark Financial Corp. and when his successor is duly elected and qualified.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760" w:type="dxa"/>
            <w:vAlign w:val="bottom"/>
            <w:tcBorders>
              <w:bottom w:val="single" w:sz="8" w:color="auto"/>
            </w:tcBorders>
            <w:shd w:val="clear" w:color="auto" w:fill="F0F5F1"/>
          </w:tcPr>
          <w:p>
            <w:pPr>
              <w:spacing w:after="0"/>
              <w:rPr>
                <w:sz w:val="21"/>
                <w:szCs w:val="21"/>
                <w:color w:val="auto"/>
              </w:rPr>
            </w:pPr>
          </w:p>
        </w:tc>
        <w:tc>
          <w:tcPr>
            <w:tcW w:w="2360" w:type="dxa"/>
            <w:vAlign w:val="bottom"/>
            <w:tcBorders>
              <w:bottom w:val="single" w:sz="8" w:color="auto"/>
            </w:tcBorders>
            <w:shd w:val="clear" w:color="auto" w:fill="F0F5F1"/>
          </w:tcPr>
          <w:p>
            <w:pPr>
              <w:jc w:val="center"/>
              <w:spacing w:after="0"/>
              <w:rPr>
                <w:sz w:val="20"/>
                <w:szCs w:val="20"/>
                <w:color w:val="auto"/>
              </w:rPr>
            </w:pPr>
            <w:r>
              <w:rPr>
                <w:rFonts w:ascii="Arial" w:cs="Arial" w:eastAsia="Arial" w:hAnsi="Arial"/>
                <w:sz w:val="13"/>
                <w:szCs w:val="13"/>
                <w:color w:val="auto"/>
              </w:rPr>
              <w:t>Voted For</w:t>
            </w:r>
          </w:p>
        </w:tc>
        <w:tc>
          <w:tcPr>
            <w:tcW w:w="2120" w:type="dxa"/>
            <w:vAlign w:val="bottom"/>
            <w:tcBorders>
              <w:bottom w:val="single" w:sz="8" w:color="auto"/>
            </w:tcBorders>
            <w:shd w:val="clear" w:color="auto" w:fill="F0F5F1"/>
          </w:tcPr>
          <w:p>
            <w:pPr>
              <w:ind w:left="680"/>
              <w:spacing w:after="0"/>
              <w:rPr>
                <w:sz w:val="20"/>
                <w:szCs w:val="20"/>
                <w:color w:val="auto"/>
              </w:rPr>
            </w:pPr>
            <w:r>
              <w:rPr>
                <w:rFonts w:ascii="Arial" w:cs="Arial" w:eastAsia="Arial" w:hAnsi="Arial"/>
                <w:sz w:val="13"/>
                <w:szCs w:val="13"/>
                <w:color w:val="auto"/>
              </w:rPr>
              <w:t>Votes Withheld</w:t>
            </w:r>
          </w:p>
        </w:tc>
      </w:tr>
      <w:tr>
        <w:trPr>
          <w:trHeight w:val="194"/>
        </w:trPr>
        <w:tc>
          <w:tcPr>
            <w:tcW w:w="6760" w:type="dxa"/>
            <w:vAlign w:val="bottom"/>
            <w:shd w:val="clear" w:color="auto" w:fill="F0F5F1"/>
          </w:tcPr>
          <w:p>
            <w:pPr>
              <w:ind w:left="100"/>
              <w:spacing w:after="0"/>
              <w:rPr>
                <w:sz w:val="20"/>
                <w:szCs w:val="20"/>
                <w:color w:val="auto"/>
              </w:rPr>
            </w:pPr>
            <w:r>
              <w:rPr>
                <w:rFonts w:ascii="Arial" w:cs="Arial" w:eastAsia="Arial" w:hAnsi="Arial"/>
                <w:sz w:val="16"/>
                <w:szCs w:val="16"/>
                <w:color w:val="auto"/>
              </w:rPr>
              <w:t>John S. Emrich</w:t>
            </w:r>
          </w:p>
        </w:tc>
        <w:tc>
          <w:tcPr>
            <w:tcW w:w="2360" w:type="dxa"/>
            <w:vAlign w:val="bottom"/>
            <w:shd w:val="clear" w:color="auto" w:fill="F0F5F1"/>
          </w:tcPr>
          <w:p>
            <w:pPr>
              <w:jc w:val="center"/>
              <w:spacing w:after="0"/>
              <w:rPr>
                <w:sz w:val="20"/>
                <w:szCs w:val="20"/>
                <w:color w:val="auto"/>
              </w:rPr>
            </w:pPr>
            <w:r>
              <w:rPr>
                <w:rFonts w:ascii="Arial" w:cs="Arial" w:eastAsia="Arial" w:hAnsi="Arial"/>
                <w:sz w:val="16"/>
                <w:szCs w:val="16"/>
                <w:color w:val="auto"/>
                <w:w w:val="99"/>
              </w:rPr>
              <w:t>4,969,832.746</w:t>
            </w:r>
          </w:p>
        </w:tc>
        <w:tc>
          <w:tcPr>
            <w:tcW w:w="2120" w:type="dxa"/>
            <w:vAlign w:val="bottom"/>
            <w:shd w:val="clear" w:color="auto" w:fill="F0F5F1"/>
          </w:tcPr>
          <w:p>
            <w:pPr>
              <w:ind w:left="700"/>
              <w:spacing w:after="0"/>
              <w:rPr>
                <w:sz w:val="20"/>
                <w:szCs w:val="20"/>
                <w:color w:val="auto"/>
              </w:rPr>
            </w:pPr>
            <w:r>
              <w:rPr>
                <w:rFonts w:ascii="Arial" w:cs="Arial" w:eastAsia="Arial" w:hAnsi="Arial"/>
                <w:sz w:val="16"/>
                <w:szCs w:val="16"/>
                <w:color w:val="auto"/>
              </w:rPr>
              <w:t>526,349.000</w:t>
            </w:r>
          </w:p>
        </w:tc>
      </w:tr>
      <w:tr>
        <w:trPr>
          <w:trHeight w:val="188"/>
        </w:trPr>
        <w:tc>
          <w:tcPr>
            <w:tcW w:w="6760" w:type="dxa"/>
            <w:vAlign w:val="bottom"/>
            <w:shd w:val="clear" w:color="auto" w:fill="F0F5F1"/>
          </w:tcPr>
          <w:p>
            <w:pPr>
              <w:ind w:left="100"/>
              <w:spacing w:after="0"/>
              <w:rPr>
                <w:sz w:val="20"/>
                <w:szCs w:val="20"/>
                <w:color w:val="auto"/>
              </w:rPr>
            </w:pPr>
            <w:r>
              <w:rPr>
                <w:rFonts w:ascii="Arial" w:cs="Arial" w:eastAsia="Arial" w:hAnsi="Arial"/>
                <w:sz w:val="16"/>
                <w:szCs w:val="16"/>
                <w:color w:val="auto"/>
              </w:rPr>
              <w:t>Sanjai Bhonsle</w:t>
            </w:r>
          </w:p>
        </w:tc>
        <w:tc>
          <w:tcPr>
            <w:tcW w:w="2360" w:type="dxa"/>
            <w:vAlign w:val="bottom"/>
            <w:shd w:val="clear" w:color="auto" w:fill="F0F5F1"/>
          </w:tcPr>
          <w:p>
            <w:pPr>
              <w:jc w:val="center"/>
              <w:spacing w:after="0"/>
              <w:rPr>
                <w:sz w:val="20"/>
                <w:szCs w:val="20"/>
                <w:color w:val="auto"/>
              </w:rPr>
            </w:pPr>
            <w:r>
              <w:rPr>
                <w:rFonts w:ascii="Arial" w:cs="Arial" w:eastAsia="Arial" w:hAnsi="Arial"/>
                <w:sz w:val="16"/>
                <w:szCs w:val="16"/>
                <w:color w:val="auto"/>
                <w:w w:val="99"/>
              </w:rPr>
              <w:t>4,969,870.746</w:t>
            </w:r>
          </w:p>
        </w:tc>
        <w:tc>
          <w:tcPr>
            <w:tcW w:w="2120" w:type="dxa"/>
            <w:vAlign w:val="bottom"/>
            <w:shd w:val="clear" w:color="auto" w:fill="F0F5F1"/>
          </w:tcPr>
          <w:p>
            <w:pPr>
              <w:ind w:left="700"/>
              <w:spacing w:after="0"/>
              <w:rPr>
                <w:sz w:val="20"/>
                <w:szCs w:val="20"/>
                <w:color w:val="auto"/>
              </w:rPr>
            </w:pPr>
            <w:r>
              <w:rPr>
                <w:rFonts w:ascii="Arial" w:cs="Arial" w:eastAsia="Arial" w:hAnsi="Arial"/>
                <w:sz w:val="16"/>
                <w:szCs w:val="16"/>
                <w:color w:val="auto"/>
              </w:rPr>
              <w:t>526,311.000</w:t>
            </w:r>
          </w:p>
        </w:tc>
      </w:tr>
    </w:tbl>
    <w:p>
      <w:pPr>
        <w:spacing w:after="0" w:line="166"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296B38"/>
        </w:rPr>
        <w:t>41</w:t>
        <w:tab/>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246380</wp:posOffset>
            </wp:positionV>
            <wp:extent cx="71418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426720</wp:posOffset>
            </wp:positionH>
            <wp:positionV relativeFrom="page">
              <wp:posOffset>520065</wp:posOffset>
            </wp:positionV>
            <wp:extent cx="6703060" cy="798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703060" cy="79819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December 11, 2025 the Company’s Board of Directors (the “Board”), including a majority of those Directors who are not “interested persons” as such term is defined in the Investment Company Act of 1940 (“Independent Directors”), approved the continuation of the management agreement (the “Management Agreement”) between the Company and its investment advisor, ArrowMark Asset Management, LLC (the “Advisor” or “ArrowMark”) for an additional one-year period.</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6"/>
          <w:szCs w:val="16"/>
          <w:color w:val="auto"/>
        </w:rPr>
        <w:t>Prior to approval of the continuation of the Management Agreement, the Directors requested from the Advisor, and received and evaluated, materials and information relating to the Advisor and the performance of its obligations under the Management Agreement. In an executive session of the Independent Directors, the Independent Directors reviewed the proposed continuation of the Management Agreement with counsel who is independent of the Advisor, who advised on the relevant legal standards.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color w:val="auto"/>
        </w:rPr>
        <w:t xml:space="preserve">Nature, Quality and Extent of Services. </w:t>
      </w:r>
      <w:r>
        <w:rPr>
          <w:rFonts w:ascii="Arial" w:cs="Arial" w:eastAsia="Arial" w:hAnsi="Arial"/>
          <w:sz w:val="16"/>
          <w:szCs w:val="16"/>
          <w:color w:val="auto"/>
        </w:rPr>
        <w:t>Based on the information provided by the Advisor, the Independent Directors concluded that (i) the nature, extent and</w:t>
      </w:r>
      <w:r>
        <w:rPr>
          <w:rFonts w:ascii="Arial" w:cs="Arial" w:eastAsia="Arial" w:hAnsi="Arial"/>
          <w:sz w:val="16"/>
          <w:szCs w:val="16"/>
          <w:b w:val="1"/>
          <w:bCs w:val="1"/>
          <w:color w:val="auto"/>
        </w:rPr>
        <w:t xml:space="preserve"> </w:t>
      </w:r>
      <w:r>
        <w:rPr>
          <w:rFonts w:ascii="Arial" w:cs="Arial" w:eastAsia="Arial" w:hAnsi="Arial"/>
          <w:sz w:val="16"/>
          <w:szCs w:val="16"/>
          <w:color w:val="auto"/>
        </w:rPr>
        <w:t>quality of the services provided by the Advisor are appropriate and consistent with the terms of the Management Agreement, (ii) the quality of those services has been consistent with industry norms, (iii) the Company is likely to benefit from the continued provision of those services by the Advisor, (iv) the Advisor has sufficient personnel, with the appropriate education and experience, to serve the Company effectively and has demonstrated its continuing ability to attract and retain qualified personnel, and (v) the satisfactory nature, extent, and quality of services currently provided to the Company and its stockholders is likely to continue. In addition, the Board noted the Advisor’s expertise in, and numerous relationships with investment professionals within, the banking industry in which the Company concentrates its investment activity, is likely to benefit the Company and its stockholders.</w:t>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Investment Performance. </w:t>
      </w:r>
      <w:r>
        <w:rPr>
          <w:rFonts w:ascii="Arial" w:cs="Arial" w:eastAsia="Arial" w:hAnsi="Arial"/>
          <w:sz w:val="16"/>
          <w:szCs w:val="16"/>
          <w:color w:val="auto"/>
        </w:rPr>
        <w:t>The Independent Directors reviewed and considered the Company’s performance based on market price and net asset value versus</w:t>
      </w:r>
      <w:r>
        <w:rPr>
          <w:rFonts w:ascii="Arial" w:cs="Arial" w:eastAsia="Arial" w:hAnsi="Arial"/>
          <w:sz w:val="16"/>
          <w:szCs w:val="16"/>
          <w:b w:val="1"/>
          <w:bCs w:val="1"/>
          <w:color w:val="auto"/>
        </w:rPr>
        <w:t xml:space="preserve"> </w:t>
      </w:r>
      <w:r>
        <w:rPr>
          <w:rFonts w:ascii="Arial" w:cs="Arial" w:eastAsia="Arial" w:hAnsi="Arial"/>
          <w:sz w:val="16"/>
          <w:szCs w:val="16"/>
          <w:color w:val="auto"/>
        </w:rPr>
        <w:t>the performance of the (1) Bloomberg Barclays U.S. Aggregate Total Return Value Bond Index (the “Aggregate Total Return Value Bond Index”) and (2) the Bloomberg Barclays US High Yield 2% Issuer Capped Index (the “U.S. High Yield Index”) since March 31, 2020, the quarter end nearest to the date ArrowMark’s engagement as the Company’s manager commenced) (“inception”) through September 30, 2025, the nine months ended September 30, 2025, the 12 months ended December 31, 2024, and the three years ended September 30, 2025. They also reviewed market price performance for the period February 12, 2020, to September 30, 2025.</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Independent Directors noted that the indices were selected by the Advisor for comparison purposes because the indices’ constituents had similar characteristics to those securities in which the Company may invest but acknowledged that no index was likely to correspond to the Company’s holdings in light of the Company’s unique investment strategy.</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Independent Directors noted that: (a) based on net asset value, the Company outperformed the Aggregate Total Return Value Bond Index and the U.S. High Yield Index for the nine month period ended September 30, 2025, the three-year period ended September 30, 2025 and since inception through September 30, 2025; and (b) based on market price, the Company outperformed the Aggregate Total Return Value Bond Index and the U.S. High Yield Index for the nine month period ending September 30, 2025, the one-year period ended September 30, 2025, the three year period ending September 30, 2025, and the period since inception ending September 30, 2025.</w:t>
      </w:r>
    </w:p>
    <w:p>
      <w:pPr>
        <w:spacing w:after="0" w:line="15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r>
        <w:rPr>
          <w:rFonts w:ascii="Arial" w:cs="Arial" w:eastAsia="Arial" w:hAnsi="Arial"/>
          <w:sz w:val="13"/>
          <w:szCs w:val="13"/>
          <w:b w:val="1"/>
          <w:bCs w:val="1"/>
          <w:color w:val="296B38"/>
        </w:rPr>
        <w:t>.</w:t>
      </w:r>
      <w:r>
        <w:rPr>
          <w:sz w:val="20"/>
          <w:szCs w:val="20"/>
          <w:color w:val="auto"/>
        </w:rPr>
        <w:tab/>
      </w:r>
      <w:r>
        <w:rPr>
          <w:rFonts w:ascii="Arial" w:cs="Arial" w:eastAsia="Arial" w:hAnsi="Arial"/>
          <w:sz w:val="12"/>
          <w:szCs w:val="12"/>
          <w:color w:val="296B38"/>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246380</wp:posOffset>
            </wp:positionV>
            <wp:extent cx="71418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jc w:val="both"/>
        <w:spacing w:after="0" w:line="238" w:lineRule="auto"/>
        <w:rPr>
          <w:sz w:val="20"/>
          <w:szCs w:val="20"/>
          <w:color w:val="auto"/>
        </w:rPr>
      </w:pPr>
      <w:r>
        <w:rPr>
          <w:rFonts w:ascii="Arial" w:cs="Arial" w:eastAsia="Arial" w:hAnsi="Arial"/>
          <w:sz w:val="16"/>
          <w:szCs w:val="16"/>
          <w:color w:val="auto"/>
        </w:rPr>
        <w:t>The Independent Directors considered the overall investment performance of the Advisor and the Company since the Advisor was appointed the Company’s investment advisor in February 2020. The Independent Directors reviewed and considered the Company’s performance relative to a comparative peer group (the “Peer Group”), consisting of both business development companies (“BDCs”) and registered closed-end investment companies (“CEICs”) that operate in a similar manner as the Company noting, however, the limited usefulness of such information in light of the Company’s unique investment strategy and industry focus.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Independent Directors also noted their review and evaluation of the Company’s investment performance on an on-going basis throughout the year. The Independent Directors considered the consistency of performance results and the short-term and long-term performance of the Company and recognized that such performance was affected by, among other things, issuer prepayment and calls and the time lag required for the initial deployment and subsequent redeployment of assets. The Board concluded that the performance of the Company and the Advisor represented satisfactory performance in light of the Company’s investment objective and strategy.</w:t>
      </w:r>
    </w:p>
    <w:p>
      <w:pPr>
        <w:spacing w:after="0" w:line="14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b w:val="1"/>
          <w:bCs w:val="1"/>
          <w:color w:val="auto"/>
        </w:rPr>
        <w:t xml:space="preserve">Cost of Services. </w:t>
      </w:r>
      <w:r>
        <w:rPr>
          <w:rFonts w:ascii="Arial" w:cs="Arial" w:eastAsia="Arial" w:hAnsi="Arial"/>
          <w:sz w:val="16"/>
          <w:szCs w:val="16"/>
          <w:color w:val="auto"/>
        </w:rPr>
        <w:t>The Independent Directors considered the costs of the services provided by the Advisor, the compensation and benefits received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Advisor in providing services to the Company, as well as the Advisor’s profitability. The Independent Directors were provided with and had reviewed the certain unaudited financial information of the Advisor for the six months ended June 30, 2025, and the year ended December 31, 2024. The Independent Directors concluded that the Advisor’s fees and profits derived from its relationship with the Company in light of the Company’s expenses were reasonable in relation to the nature and quality of the services provided, taking into account the fees charged by other investment advisors of CEICs and BDCs in the Peer Group. The Independent Directors noted that the Company’s management fee was equal to median of the peer group, and below the median management fees charged by the Company’s peer group when taking into consideration performance fees charged by certain BDCs in the peer group. The Board noted that for the fiscal year ended December 31, 2024, the Company’s expense ratio was lower than the median and average expense ratios of the peer group. The Independent Directors concluded that the overall expense ratio was reasonable, taking into account the size of the Company, the quality of services provided by the Advisor, and the investment performance of the Company. On the basis of these considerations, together, with the other information they considered, the Independent Directors determined that the advisory fee is reasonable in light of the services provided under the Management Agreement.</w:t>
      </w:r>
    </w:p>
    <w:p>
      <w:pPr>
        <w:spacing w:after="0" w:line="14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color w:val="auto"/>
        </w:rPr>
        <w:t xml:space="preserve">Economies of Scale. </w:t>
      </w:r>
      <w:r>
        <w:rPr>
          <w:rFonts w:ascii="Arial" w:cs="Arial" w:eastAsia="Arial" w:hAnsi="Arial"/>
          <w:sz w:val="16"/>
          <w:szCs w:val="16"/>
          <w:color w:val="auto"/>
        </w:rPr>
        <w:t>The Independent Directors discussed and considered the extent to which economies of scale would be realized as the Company grows,</w:t>
      </w:r>
      <w:r>
        <w:rPr>
          <w:rFonts w:ascii="Arial" w:cs="Arial" w:eastAsia="Arial" w:hAnsi="Arial"/>
          <w:sz w:val="16"/>
          <w:szCs w:val="16"/>
          <w:b w:val="1"/>
          <w:bCs w:val="1"/>
          <w:color w:val="auto"/>
        </w:rPr>
        <w:t xml:space="preserve"> </w:t>
      </w:r>
      <w:r>
        <w:rPr>
          <w:rFonts w:ascii="Arial" w:cs="Arial" w:eastAsia="Arial" w:hAnsi="Arial"/>
          <w:sz w:val="16"/>
          <w:szCs w:val="16"/>
          <w:color w:val="auto"/>
        </w:rPr>
        <w:t>and whether the advisory fee levels currently reflect economies of scale for the benefit of stockholders. The Independent Directors determined that economies of scale could be achieved at higher asset levels for the Company to the benefit of Company stockholders as fixed expenses are spread over a larger asset base. The Independent Directors noted that the while the Company has an effective shelf registration statement in place, opportunities for asset growth by CEICs can be limited.</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Independent Directors also noted the high level of diligence the Independent Directors exercised throughout the year in evaluating the Advisor, and the extensive information provided with respect to the Advisor’s performance and the Company’s expenses on a quarterly basis. The Independent Directors considered whether any events have occurred that would constitute a reason for the Independent Directors not to renew the Management Agreement and determined that there were none.</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After the executive session of the Independent Directors, the Independent Directors reviewed with the Board as a whole each of the determinations made by the Independent Directors during the executive session. The Board concluded that the investment advisory fee rate under the Management Agreement is reasonable in relation to the services provided and that continuation of the Management Agreement</w:t>
      </w:r>
    </w:p>
    <w:p>
      <w:pPr>
        <w:spacing w:after="0" w:line="150"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296B38"/>
        </w:rPr>
        <w:t>43</w:t>
        <w:tab/>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jc w:val="both"/>
        <w:spacing w:after="0"/>
        <w:rPr>
          <w:sz w:val="20"/>
          <w:szCs w:val="20"/>
          <w:color w:val="auto"/>
        </w:rPr>
      </w:pPr>
      <w:r>
        <w:rPr>
          <w:rFonts w:ascii="Arial" w:cs="Arial" w:eastAsia="Arial" w:hAnsi="Arial"/>
          <w:sz w:val="16"/>
          <w:szCs w:val="16"/>
          <w:color w:val="auto"/>
        </w:rPr>
        <w:t>is in the best interests of the stockholders of the Company. The Directors also concluded that the investment advisory fees are at acceptable levels in light of the quality of services provided to the Company. On these bases, the Directors concluded that the investment advisory fees for the Company under the Management Agreement are reasonable. In arriving at their decision, the Directors did not identify any single matter as controlling, but made their determination in light of all the circumstances.</w:t>
      </w:r>
    </w:p>
    <w:p>
      <w:pPr>
        <w:spacing w:after="0" w:line="16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r>
        <w:rPr>
          <w:rFonts w:ascii="Arial" w:cs="Arial" w:eastAsia="Arial" w:hAnsi="Arial"/>
          <w:sz w:val="13"/>
          <w:szCs w:val="13"/>
          <w:b w:val="1"/>
          <w:bCs w:val="1"/>
          <w:color w:val="296B38"/>
        </w:rPr>
        <w:t>.</w:t>
      </w:r>
      <w:r>
        <w:rPr>
          <w:sz w:val="20"/>
          <w:szCs w:val="20"/>
          <w:color w:val="auto"/>
        </w:rPr>
        <w:tab/>
      </w:r>
      <w:r>
        <w:rPr>
          <w:rFonts w:ascii="Arial" w:cs="Arial" w:eastAsia="Arial" w:hAnsi="Arial"/>
          <w:sz w:val="12"/>
          <w:szCs w:val="12"/>
          <w:color w:val="296B38"/>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381635</wp:posOffset>
            </wp:positionV>
            <wp:extent cx="71418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527685</wp:posOffset>
            </wp:positionV>
            <wp:extent cx="6782435" cy="869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782435" cy="86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and Executive Officers</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Our business and affairs are managed under the direction of the board of directors. Accordingly, the board of directors provides broad supervision over our affairs, including supervision of the duties performed by the Advisor. The Advisor is responsible for our day-to-day operations. The names, ages and addresses of our directors and officers and specified employees of the Advisor, together with their principal occupations and other affiliations during the past five years, are set forth below. Each director and officer will hold office for the term to which he or she is elected and until his or her successor is duly elected and qualifies, or until he or she resigns or is removed in the manner provided by law. Unless otherwise indicated, the address of each director is c/o ArrowMark Financial Corp., 100 Fillmore Street, Suite 325, Denver, CO 80206. The board of directors will initially consist of three directors who are not “interested persons” (as defined in the Investment Company Act) of the Advisor or its affiliates and two directors who are “interested persons" as further discussed below. The directors who are not interested persons are also independent pursuant to the NASDAQ stock exchange listing standards, and we refer to them as “independent directors.” We refer to the directors who are “interested persons” (as defined in the Investment Company Act) are referred to below as “interested directors.” Under our certificate of incorporation, the board is divided into three classes. Each class of directors will hold office for a three-year term. However, the initial members of the three classes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and until their successors are duly elected and qualified.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Interested Directors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Position(s) Held with</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5"/>
              </w:rPr>
              <w:t>Term</w:t>
            </w: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Term</w:t>
            </w:r>
          </w:p>
        </w:tc>
        <w:tc>
          <w:tcPr>
            <w:tcW w:w="25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Principal</w:t>
            </w:r>
          </w:p>
        </w:tc>
        <w:tc>
          <w:tcPr>
            <w:tcW w:w="2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Other Directorships</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vMerge w:val="restart"/>
          </w:tcPr>
          <w:p>
            <w:pPr>
              <w:spacing w:after="0"/>
              <w:rPr>
                <w:sz w:val="10"/>
                <w:szCs w:val="10"/>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Age</w:t>
            </w:r>
          </w:p>
        </w:tc>
        <w:tc>
          <w:tcPr>
            <w:tcW w:w="100" w:type="dxa"/>
            <w:vAlign w:val="bottom"/>
            <w:vMerge w:val="restart"/>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56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w w:val="96"/>
              </w:rPr>
              <w:t>Occupation(s)</w:t>
            </w: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Company</w:t>
            </w:r>
          </w:p>
        </w:tc>
        <w:tc>
          <w:tcPr>
            <w:tcW w:w="100" w:type="dxa"/>
            <w:vAlign w:val="bottom"/>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Served</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2"/>
                <w:szCs w:val="12"/>
                <w:b w:val="1"/>
                <w:bCs w:val="1"/>
                <w:color w:val="auto"/>
              </w:rPr>
              <w:t>End</w:t>
            </w:r>
          </w:p>
        </w:tc>
        <w:tc>
          <w:tcPr>
            <w:tcW w:w="120" w:type="dxa"/>
            <w:vAlign w:val="bottom"/>
          </w:tcPr>
          <w:p>
            <w:pPr>
              <w:spacing w:after="0"/>
              <w:rPr>
                <w:sz w:val="12"/>
                <w:szCs w:val="12"/>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Last 5 Years</w:t>
            </w:r>
          </w:p>
        </w:tc>
        <w:tc>
          <w:tcPr>
            <w:tcW w:w="100" w:type="dxa"/>
            <w:vAlign w:val="bottom"/>
          </w:tcPr>
          <w:p>
            <w:pPr>
              <w:spacing w:after="0"/>
              <w:rPr>
                <w:sz w:val="12"/>
                <w:szCs w:val="12"/>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Last 5 Years</w:t>
            </w:r>
          </w:p>
        </w:tc>
        <w:tc>
          <w:tcPr>
            <w:tcW w:w="0" w:type="dxa"/>
            <w:vAlign w:val="bottom"/>
          </w:tcPr>
          <w:p>
            <w:pPr>
              <w:spacing w:after="0"/>
              <w:rPr>
                <w:sz w:val="1"/>
                <w:szCs w:val="1"/>
                <w:color w:val="auto"/>
              </w:rPr>
            </w:pPr>
          </w:p>
        </w:tc>
      </w:tr>
      <w:tr>
        <w:trPr>
          <w:trHeight w:val="161"/>
        </w:trPr>
        <w:tc>
          <w:tcPr>
            <w:tcW w:w="1360" w:type="dxa"/>
            <w:vAlign w:val="bottom"/>
            <w:gridSpan w:val="2"/>
          </w:tcPr>
          <w:p>
            <w:pPr>
              <w:spacing w:after="0"/>
              <w:rPr>
                <w:sz w:val="20"/>
                <w:szCs w:val="20"/>
                <w:color w:val="auto"/>
              </w:rPr>
            </w:pPr>
            <w:r>
              <w:rPr>
                <w:rFonts w:ascii="Arial" w:cs="Arial" w:eastAsia="Arial" w:hAnsi="Arial"/>
                <w:sz w:val="13"/>
                <w:szCs w:val="13"/>
                <w:color w:val="auto"/>
              </w:rPr>
              <w:t>Sanjai Bhonsle</w:t>
            </w:r>
          </w:p>
        </w:tc>
        <w:tc>
          <w:tcPr>
            <w:tcW w:w="460" w:type="dxa"/>
            <w:vAlign w:val="bottom"/>
          </w:tcPr>
          <w:p>
            <w:pPr>
              <w:jc w:val="right"/>
              <w:ind w:right="216"/>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3"/>
                <w:szCs w:val="13"/>
                <w:color w:val="auto"/>
              </w:rPr>
            </w:pPr>
          </w:p>
        </w:tc>
        <w:tc>
          <w:tcPr>
            <w:tcW w:w="1920" w:type="dxa"/>
            <w:vAlign w:val="bottom"/>
            <w:gridSpan w:val="2"/>
          </w:tcPr>
          <w:p>
            <w:pPr>
              <w:ind w:left="40"/>
              <w:spacing w:after="0"/>
              <w:rPr>
                <w:sz w:val="20"/>
                <w:szCs w:val="20"/>
                <w:color w:val="auto"/>
              </w:rPr>
            </w:pPr>
            <w:r>
              <w:rPr>
                <w:rFonts w:ascii="Arial" w:cs="Arial" w:eastAsia="Arial" w:hAnsi="Arial"/>
                <w:sz w:val="13"/>
                <w:szCs w:val="13"/>
                <w:color w:val="auto"/>
              </w:rPr>
              <w:t>Cheif Executive Officer and</w:t>
            </w:r>
          </w:p>
        </w:tc>
        <w:tc>
          <w:tcPr>
            <w:tcW w:w="1700" w:type="dxa"/>
            <w:vAlign w:val="bottom"/>
            <w:gridSpan w:val="2"/>
          </w:tcPr>
          <w:p>
            <w:pPr>
              <w:ind w:left="40"/>
              <w:spacing w:after="0"/>
              <w:rPr>
                <w:sz w:val="20"/>
                <w:szCs w:val="20"/>
                <w:color w:val="auto"/>
              </w:rPr>
            </w:pPr>
            <w:r>
              <w:rPr>
                <w:rFonts w:ascii="Arial" w:cs="Arial" w:eastAsia="Arial" w:hAnsi="Arial"/>
                <w:sz w:val="13"/>
                <w:szCs w:val="13"/>
                <w:color w:val="auto"/>
              </w:rPr>
              <w:t>Since February 2020</w:t>
            </w:r>
          </w:p>
        </w:tc>
        <w:tc>
          <w:tcPr>
            <w:tcW w:w="560" w:type="dxa"/>
            <w:vAlign w:val="bottom"/>
          </w:tcPr>
          <w:p>
            <w:pPr>
              <w:jc w:val="right"/>
              <w:ind w:right="157"/>
              <w:spacing w:after="0"/>
              <w:rPr>
                <w:sz w:val="20"/>
                <w:szCs w:val="20"/>
                <w:color w:val="auto"/>
              </w:rPr>
            </w:pPr>
            <w:r>
              <w:rPr>
                <w:rFonts w:ascii="Arial" w:cs="Arial" w:eastAsia="Arial" w:hAnsi="Arial"/>
                <w:sz w:val="13"/>
                <w:szCs w:val="13"/>
                <w:color w:val="auto"/>
              </w:rPr>
              <w:t>2028</w:t>
            </w:r>
          </w:p>
        </w:tc>
        <w:tc>
          <w:tcPr>
            <w:tcW w:w="120" w:type="dxa"/>
            <w:vAlign w:val="bottom"/>
          </w:tcPr>
          <w:p>
            <w:pPr>
              <w:spacing w:after="0"/>
              <w:rPr>
                <w:sz w:val="13"/>
                <w:szCs w:val="13"/>
                <w:color w:val="auto"/>
              </w:rPr>
            </w:pPr>
          </w:p>
        </w:tc>
        <w:tc>
          <w:tcPr>
            <w:tcW w:w="2560" w:type="dxa"/>
            <w:vAlign w:val="bottom"/>
            <w:gridSpan w:val="2"/>
          </w:tcPr>
          <w:p>
            <w:pPr>
              <w:ind w:left="40"/>
              <w:spacing w:after="0"/>
              <w:rPr>
                <w:sz w:val="20"/>
                <w:szCs w:val="20"/>
                <w:color w:val="auto"/>
              </w:rPr>
            </w:pPr>
            <w:r>
              <w:rPr>
                <w:rFonts w:ascii="Arial" w:cs="Arial" w:eastAsia="Arial" w:hAnsi="Arial"/>
                <w:sz w:val="13"/>
                <w:szCs w:val="13"/>
                <w:color w:val="auto"/>
              </w:rPr>
              <w:t>Partner and Portfolio Manager of</w:t>
            </w:r>
          </w:p>
        </w:tc>
        <w:tc>
          <w:tcPr>
            <w:tcW w:w="2460" w:type="dxa"/>
            <w:vAlign w:val="bottom"/>
          </w:tcPr>
          <w:p>
            <w:pPr>
              <w:ind w:left="4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ind w:left="180"/>
              <w:spacing w:after="0"/>
              <w:rPr>
                <w:sz w:val="20"/>
                <w:szCs w:val="20"/>
                <w:color w:val="auto"/>
              </w:rPr>
            </w:pPr>
            <w:r>
              <w:rPr>
                <w:rFonts w:ascii="Arial" w:cs="Arial" w:eastAsia="Arial" w:hAnsi="Arial"/>
                <w:sz w:val="13"/>
                <w:szCs w:val="13"/>
                <w:color w:val="auto"/>
              </w:rPr>
              <w:t>Chairman, Class III</w:t>
            </w: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2"/>
          </w:tcPr>
          <w:p>
            <w:pPr>
              <w:ind w:left="160"/>
              <w:spacing w:after="0"/>
              <w:rPr>
                <w:sz w:val="20"/>
                <w:szCs w:val="20"/>
                <w:color w:val="auto"/>
              </w:rPr>
            </w:pPr>
            <w:r>
              <w:rPr>
                <w:rFonts w:ascii="Arial" w:cs="Arial" w:eastAsia="Arial" w:hAnsi="Arial"/>
                <w:sz w:val="13"/>
                <w:szCs w:val="13"/>
                <w:color w:val="auto"/>
              </w:rPr>
              <w:t>ArrowMark Partners, 2012 to Present</w:t>
            </w: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Arial" w:cs="Arial" w:eastAsia="Arial" w:hAnsi="Arial"/>
                <w:sz w:val="13"/>
                <w:szCs w:val="13"/>
                <w:color w:val="auto"/>
              </w:rPr>
              <w:t>Director</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360" w:type="dxa"/>
            <w:vAlign w:val="bottom"/>
            <w:gridSpan w:val="2"/>
          </w:tcPr>
          <w:p>
            <w:pPr>
              <w:spacing w:after="0"/>
              <w:rPr>
                <w:sz w:val="20"/>
                <w:szCs w:val="20"/>
                <w:color w:val="auto"/>
              </w:rPr>
            </w:pPr>
            <w:r>
              <w:rPr>
                <w:rFonts w:ascii="Arial" w:cs="Arial" w:eastAsia="Arial" w:hAnsi="Arial"/>
                <w:sz w:val="13"/>
                <w:szCs w:val="13"/>
                <w:color w:val="auto"/>
              </w:rPr>
              <w:t>Karen Reidy, CFA</w:t>
            </w:r>
          </w:p>
        </w:tc>
        <w:tc>
          <w:tcPr>
            <w:tcW w:w="460" w:type="dxa"/>
            <w:vAlign w:val="bottom"/>
          </w:tcPr>
          <w:p>
            <w:pPr>
              <w:jc w:val="right"/>
              <w:ind w:right="216"/>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3"/>
                <w:szCs w:val="13"/>
                <w:color w:val="auto"/>
              </w:rPr>
            </w:pPr>
          </w:p>
        </w:tc>
        <w:tc>
          <w:tcPr>
            <w:tcW w:w="1920" w:type="dxa"/>
            <w:vAlign w:val="bottom"/>
            <w:gridSpan w:val="2"/>
          </w:tcPr>
          <w:p>
            <w:pPr>
              <w:ind w:left="40"/>
              <w:spacing w:after="0"/>
              <w:rPr>
                <w:sz w:val="20"/>
                <w:szCs w:val="20"/>
                <w:color w:val="auto"/>
              </w:rPr>
            </w:pPr>
            <w:r>
              <w:rPr>
                <w:rFonts w:ascii="Arial" w:cs="Arial" w:eastAsia="Arial" w:hAnsi="Arial"/>
                <w:sz w:val="13"/>
                <w:szCs w:val="13"/>
                <w:color w:val="auto"/>
              </w:rPr>
              <w:t>Class I Director</w:t>
            </w:r>
          </w:p>
        </w:tc>
        <w:tc>
          <w:tcPr>
            <w:tcW w:w="1700" w:type="dxa"/>
            <w:vAlign w:val="bottom"/>
            <w:gridSpan w:val="2"/>
          </w:tcPr>
          <w:p>
            <w:pPr>
              <w:ind w:left="40"/>
              <w:spacing w:after="0"/>
              <w:rPr>
                <w:sz w:val="20"/>
                <w:szCs w:val="20"/>
                <w:color w:val="auto"/>
              </w:rPr>
            </w:pPr>
            <w:r>
              <w:rPr>
                <w:rFonts w:ascii="Arial" w:cs="Arial" w:eastAsia="Arial" w:hAnsi="Arial"/>
                <w:sz w:val="13"/>
                <w:szCs w:val="13"/>
                <w:color w:val="auto"/>
              </w:rPr>
              <w:t>Since February 2020</w:t>
            </w:r>
          </w:p>
        </w:tc>
        <w:tc>
          <w:tcPr>
            <w:tcW w:w="560" w:type="dxa"/>
            <w:vAlign w:val="bottom"/>
          </w:tcPr>
          <w:p>
            <w:pPr>
              <w:jc w:val="right"/>
              <w:ind w:right="157"/>
              <w:spacing w:after="0"/>
              <w:rPr>
                <w:sz w:val="20"/>
                <w:szCs w:val="20"/>
                <w:color w:val="auto"/>
              </w:rPr>
            </w:pPr>
            <w:r>
              <w:rPr>
                <w:rFonts w:ascii="Arial" w:cs="Arial" w:eastAsia="Arial" w:hAnsi="Arial"/>
                <w:sz w:val="13"/>
                <w:szCs w:val="13"/>
                <w:color w:val="auto"/>
              </w:rPr>
              <w:t>2026</w:t>
            </w:r>
          </w:p>
        </w:tc>
        <w:tc>
          <w:tcPr>
            <w:tcW w:w="120" w:type="dxa"/>
            <w:vAlign w:val="bottom"/>
          </w:tcPr>
          <w:p>
            <w:pPr>
              <w:spacing w:after="0"/>
              <w:rPr>
                <w:sz w:val="13"/>
                <w:szCs w:val="13"/>
                <w:color w:val="auto"/>
              </w:rPr>
            </w:pPr>
          </w:p>
        </w:tc>
        <w:tc>
          <w:tcPr>
            <w:tcW w:w="2560" w:type="dxa"/>
            <w:vAlign w:val="bottom"/>
            <w:gridSpan w:val="2"/>
          </w:tcPr>
          <w:p>
            <w:pPr>
              <w:ind w:left="40"/>
              <w:spacing w:after="0"/>
              <w:rPr>
                <w:sz w:val="20"/>
                <w:szCs w:val="20"/>
                <w:color w:val="auto"/>
              </w:rPr>
            </w:pPr>
            <w:r>
              <w:rPr>
                <w:rFonts w:ascii="Arial" w:cs="Arial" w:eastAsia="Arial" w:hAnsi="Arial"/>
                <w:sz w:val="13"/>
                <w:szCs w:val="13"/>
                <w:color w:val="auto"/>
              </w:rPr>
              <w:t>Partner and Portfolio Manager at</w:t>
            </w:r>
          </w:p>
        </w:tc>
        <w:tc>
          <w:tcPr>
            <w:tcW w:w="2460" w:type="dxa"/>
            <w:vAlign w:val="bottom"/>
          </w:tcPr>
          <w:p>
            <w:pPr>
              <w:ind w:left="4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2"/>
          </w:tcPr>
          <w:p>
            <w:pPr>
              <w:ind w:left="160"/>
              <w:spacing w:after="0"/>
              <w:rPr>
                <w:sz w:val="20"/>
                <w:szCs w:val="20"/>
                <w:color w:val="auto"/>
              </w:rPr>
            </w:pPr>
            <w:r>
              <w:rPr>
                <w:rFonts w:ascii="Arial" w:cs="Arial" w:eastAsia="Arial" w:hAnsi="Arial"/>
                <w:sz w:val="13"/>
                <w:szCs w:val="13"/>
                <w:color w:val="auto"/>
              </w:rPr>
              <w:t>ArrowMark Partners from 2008–</w:t>
            </w: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2"/>
          </w:tcPr>
          <w:p>
            <w:pPr>
              <w:ind w:left="160"/>
              <w:spacing w:after="0"/>
              <w:rPr>
                <w:sz w:val="20"/>
                <w:szCs w:val="20"/>
                <w:color w:val="auto"/>
              </w:rPr>
            </w:pPr>
            <w:r>
              <w:rPr>
                <w:rFonts w:ascii="Arial" w:cs="Arial" w:eastAsia="Arial" w:hAnsi="Arial"/>
                <w:sz w:val="13"/>
                <w:szCs w:val="13"/>
                <w:color w:val="auto"/>
              </w:rPr>
              <w:t>Present</w:t>
            </w: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296B38"/>
        </w:rPr>
        <w:t>45</w:t>
        <w:tab/>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381635</wp:posOffset>
            </wp:positionV>
            <wp:extent cx="71418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color w:val="auto"/>
        </w:rPr>
        <w:t>Independent Directors</w:t>
      </w:r>
    </w:p>
    <w:p>
      <w:pPr>
        <w:sectPr>
          <w:pgSz w:w="11900" w:h="16838" w:orient="portrait"/>
          <w:cols w:equalWidth="0" w:num="1">
            <w:col w:w="11240"/>
          </w:cols>
          <w:pgMar w:left="320" w:top="809" w:right="339" w:bottom="1440" w:gutter="0" w:footer="0" w:header="0"/>
        </w:sect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Position(s) Held with</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5"/>
              </w:rPr>
              <w:t>Term</w:t>
            </w: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Term</w:t>
            </w:r>
          </w:p>
        </w:tc>
        <w:tc>
          <w:tcPr>
            <w:tcW w:w="2460" w:type="dxa"/>
            <w:vAlign w:val="bottom"/>
          </w:tcPr>
          <w:p>
            <w:pPr>
              <w:jc w:val="center"/>
              <w:spacing w:after="0"/>
              <w:rPr>
                <w:sz w:val="20"/>
                <w:szCs w:val="20"/>
                <w:color w:val="auto"/>
              </w:rPr>
            </w:pPr>
            <w:r>
              <w:rPr>
                <w:rFonts w:ascii="Arial" w:cs="Arial" w:eastAsia="Arial" w:hAnsi="Arial"/>
                <w:sz w:val="12"/>
                <w:szCs w:val="12"/>
                <w:b w:val="1"/>
                <w:bCs w:val="1"/>
                <w:color w:val="auto"/>
                <w:w w:val="98"/>
              </w:rPr>
              <w:t>Principal</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vMerge w:val="restart"/>
          </w:tcPr>
          <w:p>
            <w:pPr>
              <w:spacing w:after="0"/>
              <w:rPr>
                <w:sz w:val="10"/>
                <w:szCs w:val="10"/>
                <w:color w:val="auto"/>
              </w:rPr>
            </w:pPr>
          </w:p>
        </w:tc>
        <w:tc>
          <w:tcPr>
            <w:tcW w:w="460" w:type="dxa"/>
            <w:vAlign w:val="bottom"/>
            <w:vMerge w:val="restart"/>
          </w:tcPr>
          <w:p>
            <w:pPr>
              <w:jc w:val="right"/>
              <w:ind w:right="55"/>
              <w:spacing w:after="0"/>
              <w:rPr>
                <w:sz w:val="20"/>
                <w:szCs w:val="20"/>
                <w:color w:val="auto"/>
              </w:rPr>
            </w:pPr>
            <w:r>
              <w:rPr>
                <w:rFonts w:ascii="Arial" w:cs="Arial" w:eastAsia="Arial" w:hAnsi="Arial"/>
                <w:sz w:val="12"/>
                <w:szCs w:val="12"/>
                <w:b w:val="1"/>
                <w:bCs w:val="1"/>
                <w:color w:val="auto"/>
              </w:rPr>
              <w:t>Age</w:t>
            </w:r>
          </w:p>
        </w:tc>
        <w:tc>
          <w:tcPr>
            <w:tcW w:w="100" w:type="dxa"/>
            <w:vAlign w:val="bottom"/>
            <w:vMerge w:val="restart"/>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4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Occupation(s)</w:t>
            </w:r>
          </w:p>
        </w:tc>
        <w:tc>
          <w:tcPr>
            <w:tcW w:w="0" w:type="dxa"/>
            <w:vAlign w:val="bottom"/>
          </w:tcPr>
          <w:p>
            <w:pPr>
              <w:spacing w:after="0"/>
              <w:rPr>
                <w:sz w:val="1"/>
                <w:szCs w:val="1"/>
                <w:color w:val="auto"/>
              </w:rPr>
            </w:pPr>
          </w:p>
        </w:tc>
      </w:tr>
      <w:tr>
        <w:trPr>
          <w:trHeight w:val="143"/>
        </w:trPr>
        <w:tc>
          <w:tcPr>
            <w:tcW w:w="12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Company</w:t>
            </w:r>
          </w:p>
        </w:tc>
        <w:tc>
          <w:tcPr>
            <w:tcW w:w="100" w:type="dxa"/>
            <w:vAlign w:val="bottom"/>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Served</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2"/>
                <w:szCs w:val="12"/>
                <w:b w:val="1"/>
                <w:bCs w:val="1"/>
                <w:color w:val="auto"/>
              </w:rPr>
              <w:t>End</w:t>
            </w:r>
          </w:p>
        </w:tc>
        <w:tc>
          <w:tcPr>
            <w:tcW w:w="120" w:type="dxa"/>
            <w:vAlign w:val="bottom"/>
          </w:tcPr>
          <w:p>
            <w:pPr>
              <w:spacing w:after="0"/>
              <w:rPr>
                <w:sz w:val="12"/>
                <w:szCs w:val="12"/>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Last 5 Years</w:t>
            </w:r>
          </w:p>
        </w:tc>
        <w:tc>
          <w:tcPr>
            <w:tcW w:w="0" w:type="dxa"/>
            <w:vAlign w:val="bottom"/>
          </w:tcPr>
          <w:p>
            <w:pPr>
              <w:spacing w:after="0"/>
              <w:rPr>
                <w:sz w:val="1"/>
                <w:szCs w:val="1"/>
                <w:color w:val="auto"/>
              </w:rPr>
            </w:pPr>
          </w:p>
        </w:tc>
      </w:tr>
      <w:tr>
        <w:trPr>
          <w:trHeight w:val="161"/>
        </w:trPr>
        <w:tc>
          <w:tcPr>
            <w:tcW w:w="1360" w:type="dxa"/>
            <w:vAlign w:val="bottom"/>
            <w:gridSpan w:val="2"/>
          </w:tcPr>
          <w:p>
            <w:pPr>
              <w:spacing w:after="0"/>
              <w:rPr>
                <w:sz w:val="20"/>
                <w:szCs w:val="20"/>
                <w:color w:val="auto"/>
              </w:rPr>
            </w:pPr>
            <w:r>
              <w:rPr>
                <w:rFonts w:ascii="Arial" w:cs="Arial" w:eastAsia="Arial" w:hAnsi="Arial"/>
                <w:sz w:val="13"/>
                <w:szCs w:val="13"/>
                <w:color w:val="auto"/>
              </w:rPr>
              <w:t>Emil Henry</w:t>
            </w:r>
          </w:p>
        </w:tc>
        <w:tc>
          <w:tcPr>
            <w:tcW w:w="460" w:type="dxa"/>
            <w:vAlign w:val="bottom"/>
          </w:tcPr>
          <w:p>
            <w:pPr>
              <w:jc w:val="right"/>
              <w:ind w:right="215"/>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1920" w:type="dxa"/>
            <w:vAlign w:val="bottom"/>
            <w:gridSpan w:val="2"/>
          </w:tcPr>
          <w:p>
            <w:pPr>
              <w:ind w:left="40"/>
              <w:spacing w:after="0"/>
              <w:rPr>
                <w:sz w:val="20"/>
                <w:szCs w:val="20"/>
                <w:color w:val="auto"/>
              </w:rPr>
            </w:pPr>
            <w:r>
              <w:rPr>
                <w:rFonts w:ascii="Arial" w:cs="Arial" w:eastAsia="Arial" w:hAnsi="Arial"/>
                <w:sz w:val="13"/>
                <w:szCs w:val="13"/>
                <w:color w:val="auto"/>
              </w:rPr>
              <w:t>Class I Director, Lead</w:t>
            </w:r>
          </w:p>
        </w:tc>
        <w:tc>
          <w:tcPr>
            <w:tcW w:w="1700" w:type="dxa"/>
            <w:vAlign w:val="bottom"/>
            <w:gridSpan w:val="2"/>
          </w:tcPr>
          <w:p>
            <w:pPr>
              <w:ind w:left="40"/>
              <w:spacing w:after="0"/>
              <w:rPr>
                <w:sz w:val="20"/>
                <w:szCs w:val="20"/>
                <w:color w:val="auto"/>
              </w:rPr>
            </w:pPr>
            <w:r>
              <w:rPr>
                <w:rFonts w:ascii="Arial" w:cs="Arial" w:eastAsia="Arial" w:hAnsi="Arial"/>
                <w:sz w:val="13"/>
                <w:szCs w:val="13"/>
                <w:color w:val="auto"/>
              </w:rPr>
              <w:t>Since November 2013</w:t>
            </w:r>
          </w:p>
        </w:tc>
        <w:tc>
          <w:tcPr>
            <w:tcW w:w="560" w:type="dxa"/>
            <w:vAlign w:val="bottom"/>
          </w:tcPr>
          <w:p>
            <w:pPr>
              <w:jc w:val="right"/>
              <w:ind w:right="156"/>
              <w:spacing w:after="0"/>
              <w:rPr>
                <w:sz w:val="20"/>
                <w:szCs w:val="20"/>
                <w:color w:val="auto"/>
              </w:rPr>
            </w:pPr>
            <w:r>
              <w:rPr>
                <w:rFonts w:ascii="Arial" w:cs="Arial" w:eastAsia="Arial" w:hAnsi="Arial"/>
                <w:sz w:val="13"/>
                <w:szCs w:val="13"/>
                <w:color w:val="auto"/>
              </w:rPr>
              <w:t>2026</w:t>
            </w:r>
          </w:p>
        </w:tc>
        <w:tc>
          <w:tcPr>
            <w:tcW w:w="120" w:type="dxa"/>
            <w:vAlign w:val="bottom"/>
          </w:tcPr>
          <w:p>
            <w:pPr>
              <w:spacing w:after="0"/>
              <w:rPr>
                <w:sz w:val="13"/>
                <w:szCs w:val="13"/>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CEO and Founder of Tiger</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Arial" w:cs="Arial" w:eastAsia="Arial" w:hAnsi="Arial"/>
                <w:sz w:val="13"/>
                <w:szCs w:val="13"/>
                <w:color w:val="auto"/>
              </w:rPr>
              <w:t>Independent Director</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Pr>
          <w:p>
            <w:pPr>
              <w:ind w:left="160"/>
              <w:spacing w:after="0"/>
              <w:rPr>
                <w:sz w:val="20"/>
                <w:szCs w:val="20"/>
                <w:color w:val="auto"/>
              </w:rPr>
            </w:pPr>
            <w:r>
              <w:rPr>
                <w:rFonts w:ascii="Arial" w:cs="Arial" w:eastAsia="Arial" w:hAnsi="Arial"/>
                <w:sz w:val="13"/>
                <w:szCs w:val="13"/>
                <w:color w:val="auto"/>
              </w:rPr>
              <w:t>Infrastructure Partners</w:t>
            </w:r>
          </w:p>
        </w:tc>
        <w:tc>
          <w:tcPr>
            <w:tcW w:w="0" w:type="dxa"/>
            <w:vAlign w:val="bottom"/>
          </w:tcPr>
          <w:p>
            <w:pPr>
              <w:spacing w:after="0"/>
              <w:rPr>
                <w:sz w:val="1"/>
                <w:szCs w:val="1"/>
                <w:color w:val="auto"/>
              </w:rPr>
            </w:pPr>
          </w:p>
        </w:tc>
      </w:tr>
      <w:tr>
        <w:trPr>
          <w:trHeight w:val="453"/>
        </w:trPr>
        <w:tc>
          <w:tcPr>
            <w:tcW w:w="1360" w:type="dxa"/>
            <w:vAlign w:val="bottom"/>
            <w:gridSpan w:val="2"/>
          </w:tcPr>
          <w:p>
            <w:pPr>
              <w:spacing w:after="0"/>
              <w:rPr>
                <w:sz w:val="20"/>
                <w:szCs w:val="20"/>
                <w:color w:val="auto"/>
              </w:rPr>
            </w:pPr>
            <w:r>
              <w:rPr>
                <w:rFonts w:ascii="Arial" w:cs="Arial" w:eastAsia="Arial" w:hAnsi="Arial"/>
                <w:sz w:val="13"/>
                <w:szCs w:val="13"/>
                <w:color w:val="auto"/>
              </w:rPr>
              <w:t>John S. Emrich</w:t>
            </w:r>
          </w:p>
        </w:tc>
        <w:tc>
          <w:tcPr>
            <w:tcW w:w="460" w:type="dxa"/>
            <w:vAlign w:val="bottom"/>
          </w:tcPr>
          <w:p>
            <w:pPr>
              <w:jc w:val="right"/>
              <w:ind w:right="215"/>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4"/>
                <w:szCs w:val="24"/>
                <w:color w:val="auto"/>
              </w:rPr>
            </w:pPr>
          </w:p>
        </w:tc>
        <w:tc>
          <w:tcPr>
            <w:tcW w:w="1920" w:type="dxa"/>
            <w:vAlign w:val="bottom"/>
            <w:gridSpan w:val="2"/>
          </w:tcPr>
          <w:p>
            <w:pPr>
              <w:ind w:left="40"/>
              <w:spacing w:after="0"/>
              <w:rPr>
                <w:sz w:val="20"/>
                <w:szCs w:val="20"/>
                <w:color w:val="auto"/>
              </w:rPr>
            </w:pPr>
            <w:r>
              <w:rPr>
                <w:rFonts w:ascii="Arial" w:cs="Arial" w:eastAsia="Arial" w:hAnsi="Arial"/>
                <w:sz w:val="13"/>
                <w:szCs w:val="13"/>
                <w:color w:val="auto"/>
              </w:rPr>
              <w:t>Class III Director, Chairman</w:t>
            </w:r>
          </w:p>
        </w:tc>
        <w:tc>
          <w:tcPr>
            <w:tcW w:w="1700" w:type="dxa"/>
            <w:vAlign w:val="bottom"/>
            <w:gridSpan w:val="2"/>
          </w:tcPr>
          <w:p>
            <w:pPr>
              <w:ind w:left="40"/>
              <w:spacing w:after="0"/>
              <w:rPr>
                <w:sz w:val="20"/>
                <w:szCs w:val="20"/>
                <w:color w:val="auto"/>
              </w:rPr>
            </w:pPr>
            <w:r>
              <w:rPr>
                <w:rFonts w:ascii="Arial" w:cs="Arial" w:eastAsia="Arial" w:hAnsi="Arial"/>
                <w:sz w:val="13"/>
                <w:szCs w:val="13"/>
                <w:color w:val="auto"/>
              </w:rPr>
              <w:t>Since February 2020</w:t>
            </w:r>
          </w:p>
        </w:tc>
        <w:tc>
          <w:tcPr>
            <w:tcW w:w="560" w:type="dxa"/>
            <w:vAlign w:val="bottom"/>
          </w:tcPr>
          <w:p>
            <w:pPr>
              <w:jc w:val="right"/>
              <w:ind w:right="156"/>
              <w:spacing w:after="0"/>
              <w:rPr>
                <w:sz w:val="20"/>
                <w:szCs w:val="20"/>
                <w:color w:val="auto"/>
              </w:rPr>
            </w:pPr>
            <w:r>
              <w:rPr>
                <w:rFonts w:ascii="Arial" w:cs="Arial" w:eastAsia="Arial" w:hAnsi="Arial"/>
                <w:sz w:val="13"/>
                <w:szCs w:val="13"/>
                <w:color w:val="auto"/>
              </w:rPr>
              <w:t>2028</w:t>
            </w:r>
          </w:p>
        </w:tc>
        <w:tc>
          <w:tcPr>
            <w:tcW w:w="12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Director of Meridian Funds from 2010–</w:t>
            </w:r>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ind w:left="180"/>
              <w:spacing w:after="0"/>
              <w:rPr>
                <w:sz w:val="20"/>
                <w:szCs w:val="20"/>
                <w:color w:val="auto"/>
              </w:rPr>
            </w:pPr>
            <w:r>
              <w:rPr>
                <w:rFonts w:ascii="Arial" w:cs="Arial" w:eastAsia="Arial" w:hAnsi="Arial"/>
                <w:sz w:val="13"/>
                <w:szCs w:val="13"/>
                <w:color w:val="auto"/>
              </w:rPr>
              <w:t>of Audit Committee</w:t>
            </w: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ind w:left="160"/>
              <w:spacing w:after="0"/>
              <w:rPr>
                <w:sz w:val="20"/>
                <w:szCs w:val="20"/>
                <w:color w:val="auto"/>
              </w:rPr>
            </w:pPr>
            <w:r>
              <w:rPr>
                <w:rFonts w:ascii="Arial" w:cs="Arial" w:eastAsia="Arial" w:hAnsi="Arial"/>
                <w:sz w:val="13"/>
                <w:szCs w:val="13"/>
                <w:color w:val="auto"/>
              </w:rPr>
              <w:t>Present; Director of Destra Funds</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Pr>
          <w:p>
            <w:pPr>
              <w:ind w:left="160"/>
              <w:spacing w:after="0"/>
              <w:rPr>
                <w:sz w:val="20"/>
                <w:szCs w:val="20"/>
                <w:color w:val="auto"/>
              </w:rPr>
            </w:pPr>
            <w:r>
              <w:rPr>
                <w:rFonts w:ascii="Arial" w:cs="Arial" w:eastAsia="Arial" w:hAnsi="Arial"/>
                <w:sz w:val="13"/>
                <w:szCs w:val="13"/>
                <w:color w:val="auto"/>
              </w:rPr>
              <w:t>from 2015–Present</w:t>
            </w:r>
          </w:p>
        </w:tc>
        <w:tc>
          <w:tcPr>
            <w:tcW w:w="0" w:type="dxa"/>
            <w:vAlign w:val="bottom"/>
          </w:tcPr>
          <w:p>
            <w:pPr>
              <w:spacing w:after="0"/>
              <w:rPr>
                <w:sz w:val="1"/>
                <w:szCs w:val="1"/>
                <w:color w:val="auto"/>
              </w:rPr>
            </w:pPr>
          </w:p>
        </w:tc>
      </w:tr>
      <w:tr>
        <w:trPr>
          <w:trHeight w:val="151"/>
        </w:trPr>
        <w:tc>
          <w:tcPr>
            <w:tcW w:w="1360" w:type="dxa"/>
            <w:vAlign w:val="bottom"/>
            <w:gridSpan w:val="2"/>
          </w:tcPr>
          <w:p>
            <w:pPr>
              <w:spacing w:after="0"/>
              <w:rPr>
                <w:sz w:val="20"/>
                <w:szCs w:val="20"/>
                <w:color w:val="auto"/>
              </w:rPr>
            </w:pPr>
            <w:r>
              <w:rPr>
                <w:rFonts w:ascii="Arial" w:cs="Arial" w:eastAsia="Arial" w:hAnsi="Arial"/>
                <w:sz w:val="13"/>
                <w:szCs w:val="13"/>
                <w:color w:val="auto"/>
              </w:rPr>
              <w:t>Melissa Marano</w:t>
            </w:r>
          </w:p>
        </w:tc>
        <w:tc>
          <w:tcPr>
            <w:tcW w:w="460" w:type="dxa"/>
            <w:vAlign w:val="bottom"/>
          </w:tcPr>
          <w:p>
            <w:pPr>
              <w:jc w:val="right"/>
              <w:ind w:right="215"/>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1920" w:type="dxa"/>
            <w:vAlign w:val="bottom"/>
            <w:gridSpan w:val="2"/>
          </w:tcPr>
          <w:p>
            <w:pPr>
              <w:ind w:left="40"/>
              <w:spacing w:after="0"/>
              <w:rPr>
                <w:sz w:val="20"/>
                <w:szCs w:val="20"/>
                <w:color w:val="auto"/>
              </w:rPr>
            </w:pPr>
            <w:r>
              <w:rPr>
                <w:rFonts w:ascii="Arial" w:cs="Arial" w:eastAsia="Arial" w:hAnsi="Arial"/>
                <w:sz w:val="13"/>
                <w:szCs w:val="13"/>
                <w:color w:val="auto"/>
              </w:rPr>
              <w:t>Class II Director</w:t>
            </w:r>
          </w:p>
        </w:tc>
        <w:tc>
          <w:tcPr>
            <w:tcW w:w="1700" w:type="dxa"/>
            <w:vAlign w:val="bottom"/>
            <w:gridSpan w:val="2"/>
          </w:tcPr>
          <w:p>
            <w:pPr>
              <w:ind w:left="40"/>
              <w:spacing w:after="0"/>
              <w:rPr>
                <w:sz w:val="20"/>
                <w:szCs w:val="20"/>
                <w:color w:val="auto"/>
              </w:rPr>
            </w:pPr>
            <w:r>
              <w:rPr>
                <w:rFonts w:ascii="Arial" w:cs="Arial" w:eastAsia="Arial" w:hAnsi="Arial"/>
                <w:sz w:val="13"/>
                <w:szCs w:val="13"/>
                <w:color w:val="auto"/>
              </w:rPr>
              <w:t>Since September 2025</w:t>
            </w:r>
          </w:p>
        </w:tc>
        <w:tc>
          <w:tcPr>
            <w:tcW w:w="560" w:type="dxa"/>
            <w:vAlign w:val="bottom"/>
          </w:tcPr>
          <w:p>
            <w:pPr>
              <w:jc w:val="right"/>
              <w:ind w:right="156"/>
              <w:spacing w:after="0"/>
              <w:rPr>
                <w:sz w:val="20"/>
                <w:szCs w:val="20"/>
                <w:color w:val="auto"/>
              </w:rPr>
            </w:pPr>
            <w:r>
              <w:rPr>
                <w:rFonts w:ascii="Arial" w:cs="Arial" w:eastAsia="Arial" w:hAnsi="Arial"/>
                <w:sz w:val="13"/>
                <w:szCs w:val="13"/>
                <w:color w:val="auto"/>
              </w:rPr>
              <w:t>2027</w:t>
            </w:r>
          </w:p>
        </w:tc>
        <w:tc>
          <w:tcPr>
            <w:tcW w:w="120" w:type="dxa"/>
            <w:vAlign w:val="bottom"/>
          </w:tcPr>
          <w:p>
            <w:pPr>
              <w:spacing w:after="0"/>
              <w:rPr>
                <w:sz w:val="13"/>
                <w:szCs w:val="13"/>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Financial Consultant</w:t>
            </w:r>
          </w:p>
        </w:tc>
        <w:tc>
          <w:tcPr>
            <w:tcW w:w="0" w:type="dxa"/>
            <w:vAlign w:val="bottom"/>
          </w:tcPr>
          <w:p>
            <w:pPr>
              <w:spacing w:after="0"/>
              <w:rPr>
                <w:sz w:val="1"/>
                <w:szCs w:val="1"/>
                <w:color w:val="auto"/>
              </w:rPr>
            </w:pPr>
          </w:p>
        </w:tc>
      </w:tr>
      <w:tr>
        <w:trPr>
          <w:trHeight w:val="175"/>
        </w:trPr>
        <w:tc>
          <w:tcPr>
            <w:tcW w:w="1360" w:type="dxa"/>
            <w:vAlign w:val="bottom"/>
            <w:gridSpan w:val="2"/>
          </w:tcPr>
          <w:p>
            <w:pPr>
              <w:spacing w:after="0"/>
              <w:rPr>
                <w:sz w:val="20"/>
                <w:szCs w:val="20"/>
                <w:color w:val="auto"/>
              </w:rPr>
            </w:pPr>
            <w:r>
              <w:rPr>
                <w:rFonts w:ascii="Arial" w:cs="Arial" w:eastAsia="Arial" w:hAnsi="Arial"/>
                <w:sz w:val="13"/>
                <w:szCs w:val="13"/>
                <w:color w:val="auto"/>
              </w:rPr>
              <w:t>Thompson</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Who are not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Other Directorships</w:t>
      </w:r>
    </w:p>
    <w:p>
      <w:pPr>
        <w:jc w:val="center"/>
        <w:ind w:right="-19"/>
        <w:spacing w:after="0"/>
        <w:rPr>
          <w:sz w:val="20"/>
          <w:szCs w:val="20"/>
          <w:color w:val="auto"/>
        </w:rPr>
      </w:pPr>
      <w:r>
        <w:rPr>
          <w:rFonts w:ascii="Arial" w:cs="Arial" w:eastAsia="Arial" w:hAnsi="Arial"/>
          <w:sz w:val="12"/>
          <w:szCs w:val="12"/>
          <w:b w:val="1"/>
          <w:bCs w:val="1"/>
          <w:color w:val="auto"/>
        </w:rPr>
        <w:t>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15640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64005" cy="8255"/>
                    </a:xfrm>
                    <a:prstGeom prst="rect">
                      <a:avLst/>
                    </a:prstGeom>
                    <a:noFill/>
                  </pic:spPr>
                </pic:pic>
              </a:graphicData>
            </a:graphic>
          </wp:anchor>
        </w:drawing>
      </w:r>
    </w:p>
    <w:p>
      <w:pPr>
        <w:spacing w:after="0" w:line="3" w:lineRule="exact"/>
        <w:rPr>
          <w:sz w:val="20"/>
          <w:szCs w:val="20"/>
          <w:color w:val="auto"/>
        </w:rPr>
      </w:pPr>
    </w:p>
    <w:p>
      <w:pPr>
        <w:ind w:left="140" w:right="300" w:hanging="133"/>
        <w:spacing w:after="0" w:line="252" w:lineRule="auto"/>
        <w:rPr>
          <w:sz w:val="20"/>
          <w:szCs w:val="20"/>
          <w:color w:val="auto"/>
        </w:rPr>
      </w:pPr>
      <w:r>
        <w:rPr>
          <w:rFonts w:ascii="Arial" w:cs="Arial" w:eastAsia="Arial" w:hAnsi="Arial"/>
          <w:sz w:val="13"/>
          <w:szCs w:val="13"/>
          <w:color w:val="auto"/>
        </w:rPr>
        <w:t>Director of Easterly Government Properties, Director of numerous private companies that are Tiger Infrastructure portfolio companies</w:t>
      </w:r>
    </w:p>
    <w:p>
      <w:pPr>
        <w:ind w:left="140" w:right="120" w:hanging="133"/>
        <w:spacing w:after="0" w:line="255" w:lineRule="auto"/>
        <w:rPr>
          <w:sz w:val="20"/>
          <w:szCs w:val="20"/>
          <w:color w:val="auto"/>
        </w:rPr>
      </w:pPr>
      <w:r>
        <w:rPr>
          <w:rFonts w:ascii="Arial" w:cs="Arial" w:eastAsia="Arial" w:hAnsi="Arial"/>
          <w:sz w:val="13"/>
          <w:szCs w:val="13"/>
          <w:color w:val="auto"/>
        </w:rPr>
        <w:t>Director of Meridian Funds from 2010– Present; Director of Destra Funds from 2015–Present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726" w:lineRule="exact"/>
        <w:rPr>
          <w:sz w:val="20"/>
          <w:szCs w:val="20"/>
          <w:color w:val="auto"/>
        </w:rPr>
      </w:pPr>
    </w:p>
    <w:p>
      <w:pPr>
        <w:sectPr>
          <w:pgSz w:w="11900" w:h="16838" w:orient="portrait"/>
          <w:cols w:equalWidth="0" w:num="2">
            <w:col w:w="8680" w:space="140"/>
            <w:col w:w="2420"/>
          </w:cols>
          <w:pgMar w:left="320" w:top="809" w:right="339" w:bottom="1440" w:gutter="0" w:footer="0" w:header="0"/>
          <w:type w:val="continuous"/>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4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vMerge w:val="restart"/>
          </w:tcPr>
          <w:p>
            <w:pPr>
              <w:spacing w:after="0"/>
              <w:rPr>
                <w:sz w:val="12"/>
                <w:szCs w:val="12"/>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2"/>
                <w:szCs w:val="12"/>
                <w:b w:val="1"/>
                <w:bCs w:val="1"/>
                <w:color w:val="auto"/>
              </w:rPr>
              <w:t>Age</w:t>
            </w:r>
          </w:p>
        </w:tc>
        <w:tc>
          <w:tcPr>
            <w:tcW w:w="100" w:type="dxa"/>
            <w:vAlign w:val="bottom"/>
            <w:vMerge w:val="restart"/>
          </w:tcPr>
          <w:p>
            <w:pPr>
              <w:spacing w:after="0"/>
              <w:rPr>
                <w:sz w:val="12"/>
                <w:szCs w:val="12"/>
                <w:color w:val="auto"/>
              </w:rPr>
            </w:pPr>
          </w:p>
        </w:tc>
        <w:tc>
          <w:tcPr>
            <w:tcW w:w="1920" w:type="dxa"/>
            <w:vAlign w:val="bottom"/>
            <w:gridSpan w:val="2"/>
          </w:tcPr>
          <w:p>
            <w:pPr>
              <w:ind w:left="320"/>
              <w:spacing w:after="0"/>
              <w:rPr>
                <w:sz w:val="20"/>
                <w:szCs w:val="20"/>
                <w:color w:val="auto"/>
              </w:rPr>
            </w:pPr>
            <w:r>
              <w:rPr>
                <w:rFonts w:ascii="Arial" w:cs="Arial" w:eastAsia="Arial" w:hAnsi="Arial"/>
                <w:sz w:val="12"/>
                <w:szCs w:val="12"/>
                <w:b w:val="1"/>
                <w:bCs w:val="1"/>
                <w:color w:val="auto"/>
              </w:rPr>
              <w:t>Position(s) Held with</w:t>
            </w:r>
          </w:p>
        </w:tc>
        <w:tc>
          <w:tcPr>
            <w:tcW w:w="2360" w:type="dxa"/>
            <w:vAlign w:val="bottom"/>
            <w:gridSpan w:val="2"/>
          </w:tcPr>
          <w:p>
            <w:pPr>
              <w:ind w:left="1000"/>
              <w:spacing w:after="0"/>
              <w:rPr>
                <w:sz w:val="20"/>
                <w:szCs w:val="20"/>
                <w:color w:val="auto"/>
              </w:rPr>
            </w:pPr>
            <w:r>
              <w:rPr>
                <w:rFonts w:ascii="Arial" w:cs="Arial" w:eastAsia="Arial" w:hAnsi="Arial"/>
                <w:sz w:val="12"/>
                <w:szCs w:val="12"/>
                <w:b w:val="1"/>
                <w:bCs w:val="1"/>
                <w:color w:val="auto"/>
              </w:rPr>
              <w:t>Term</w:t>
            </w:r>
          </w:p>
        </w:tc>
        <w:tc>
          <w:tcPr>
            <w:tcW w:w="5040" w:type="dxa"/>
            <w:vAlign w:val="bottom"/>
          </w:tcPr>
          <w:p>
            <w:pPr>
              <w:ind w:left="1880"/>
              <w:spacing w:after="0"/>
              <w:rPr>
                <w:sz w:val="20"/>
                <w:szCs w:val="20"/>
                <w:color w:val="auto"/>
              </w:rPr>
            </w:pPr>
            <w:r>
              <w:rPr>
                <w:rFonts w:ascii="Arial" w:cs="Arial" w:eastAsia="Arial" w:hAnsi="Arial"/>
                <w:sz w:val="12"/>
                <w:szCs w:val="12"/>
                <w:b w:val="1"/>
                <w:bCs w:val="1"/>
                <w:color w:val="auto"/>
              </w:rPr>
              <w:t>Principal Occupation(s)</w:t>
            </w:r>
          </w:p>
        </w:tc>
        <w:tc>
          <w:tcPr>
            <w:tcW w:w="0" w:type="dxa"/>
            <w:vAlign w:val="bottom"/>
          </w:tcPr>
          <w:p>
            <w:pPr>
              <w:spacing w:after="0"/>
              <w:rPr>
                <w:sz w:val="1"/>
                <w:szCs w:val="1"/>
                <w:color w:val="auto"/>
              </w:rPr>
            </w:pPr>
          </w:p>
        </w:tc>
      </w:tr>
      <w:tr>
        <w:trPr>
          <w:trHeight w:val="143"/>
        </w:trPr>
        <w:tc>
          <w:tcPr>
            <w:tcW w:w="12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Company</w:t>
            </w:r>
          </w:p>
        </w:tc>
        <w:tc>
          <w:tcPr>
            <w:tcW w:w="100" w:type="dxa"/>
            <w:vAlign w:val="bottom"/>
          </w:tcPr>
          <w:p>
            <w:pPr>
              <w:spacing w:after="0"/>
              <w:rPr>
                <w:sz w:val="12"/>
                <w:szCs w:val="12"/>
                <w:color w:val="auto"/>
              </w:rPr>
            </w:pPr>
          </w:p>
        </w:tc>
        <w:tc>
          <w:tcPr>
            <w:tcW w:w="2260" w:type="dxa"/>
            <w:vAlign w:val="bottom"/>
            <w:tcBorders>
              <w:bottom w:val="single" w:sz="8" w:color="auto"/>
            </w:tcBorders>
          </w:tcPr>
          <w:p>
            <w:pPr>
              <w:ind w:left="940"/>
              <w:spacing w:after="0"/>
              <w:rPr>
                <w:sz w:val="20"/>
                <w:szCs w:val="20"/>
                <w:color w:val="auto"/>
              </w:rPr>
            </w:pPr>
            <w:r>
              <w:rPr>
                <w:rFonts w:ascii="Arial" w:cs="Arial" w:eastAsia="Arial" w:hAnsi="Arial"/>
                <w:sz w:val="12"/>
                <w:szCs w:val="12"/>
                <w:b w:val="1"/>
                <w:bCs w:val="1"/>
                <w:color w:val="auto"/>
              </w:rPr>
              <w:t>Served</w:t>
            </w:r>
          </w:p>
        </w:tc>
        <w:tc>
          <w:tcPr>
            <w:tcW w:w="100" w:type="dxa"/>
            <w:vAlign w:val="bottom"/>
          </w:tcPr>
          <w:p>
            <w:pPr>
              <w:spacing w:after="0"/>
              <w:rPr>
                <w:sz w:val="12"/>
                <w:szCs w:val="12"/>
                <w:color w:val="auto"/>
              </w:rPr>
            </w:pPr>
          </w:p>
        </w:tc>
        <w:tc>
          <w:tcPr>
            <w:tcW w:w="5040" w:type="dxa"/>
            <w:vAlign w:val="bottom"/>
            <w:tcBorders>
              <w:bottom w:val="single" w:sz="8" w:color="auto"/>
            </w:tcBorders>
          </w:tcPr>
          <w:p>
            <w:pPr>
              <w:ind w:left="2200"/>
              <w:spacing w:after="0"/>
              <w:rPr>
                <w:sz w:val="20"/>
                <w:szCs w:val="20"/>
                <w:color w:val="auto"/>
              </w:rPr>
            </w:pPr>
            <w:r>
              <w:rPr>
                <w:rFonts w:ascii="Arial" w:cs="Arial" w:eastAsia="Arial" w:hAnsi="Arial"/>
                <w:sz w:val="12"/>
                <w:szCs w:val="12"/>
                <w:b w:val="1"/>
                <w:bCs w:val="1"/>
                <w:color w:val="auto"/>
              </w:rPr>
              <w:t>Last 5 Years</w:t>
            </w:r>
          </w:p>
        </w:tc>
        <w:tc>
          <w:tcPr>
            <w:tcW w:w="0" w:type="dxa"/>
            <w:vAlign w:val="bottom"/>
          </w:tcPr>
          <w:p>
            <w:pPr>
              <w:spacing w:after="0"/>
              <w:rPr>
                <w:sz w:val="1"/>
                <w:szCs w:val="1"/>
                <w:color w:val="auto"/>
              </w:rPr>
            </w:pPr>
          </w:p>
        </w:tc>
      </w:tr>
      <w:tr>
        <w:trPr>
          <w:trHeight w:val="185"/>
        </w:trPr>
        <w:tc>
          <w:tcPr>
            <w:tcW w:w="1360" w:type="dxa"/>
            <w:vAlign w:val="bottom"/>
            <w:gridSpan w:val="2"/>
          </w:tcPr>
          <w:p>
            <w:pPr>
              <w:spacing w:after="0"/>
              <w:rPr>
                <w:sz w:val="20"/>
                <w:szCs w:val="20"/>
                <w:color w:val="auto"/>
              </w:rPr>
            </w:pPr>
            <w:r>
              <w:rPr>
                <w:rFonts w:ascii="Arial" w:cs="Arial" w:eastAsia="Arial" w:hAnsi="Arial"/>
                <w:sz w:val="13"/>
                <w:szCs w:val="13"/>
                <w:color w:val="auto"/>
              </w:rPr>
              <w:t>Dana Staggs</w:t>
            </w:r>
          </w:p>
        </w:tc>
        <w:tc>
          <w:tcPr>
            <w:tcW w:w="460" w:type="dxa"/>
            <w:vAlign w:val="bottom"/>
          </w:tcPr>
          <w:p>
            <w:pPr>
              <w:jc w:val="right"/>
              <w:ind w:right="214"/>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6"/>
                <w:szCs w:val="16"/>
                <w:color w:val="auto"/>
              </w:rPr>
            </w:pPr>
          </w:p>
        </w:tc>
        <w:tc>
          <w:tcPr>
            <w:tcW w:w="1920" w:type="dxa"/>
            <w:vAlign w:val="bottom"/>
            <w:gridSpan w:val="2"/>
          </w:tcPr>
          <w:p>
            <w:pPr>
              <w:ind w:left="40"/>
              <w:spacing w:after="0"/>
              <w:rPr>
                <w:sz w:val="20"/>
                <w:szCs w:val="20"/>
                <w:color w:val="auto"/>
              </w:rPr>
            </w:pPr>
            <w:r>
              <w:rPr>
                <w:rFonts w:ascii="Arial" w:cs="Arial" w:eastAsia="Arial" w:hAnsi="Arial"/>
                <w:sz w:val="13"/>
                <w:szCs w:val="13"/>
                <w:color w:val="auto"/>
              </w:rPr>
              <w:t>President</w:t>
            </w:r>
          </w:p>
        </w:tc>
        <w:tc>
          <w:tcPr>
            <w:tcW w:w="2360" w:type="dxa"/>
            <w:vAlign w:val="bottom"/>
            <w:gridSpan w:val="2"/>
          </w:tcPr>
          <w:p>
            <w:pPr>
              <w:ind w:left="40"/>
              <w:spacing w:after="0"/>
              <w:rPr>
                <w:sz w:val="20"/>
                <w:szCs w:val="20"/>
                <w:color w:val="auto"/>
              </w:rPr>
            </w:pPr>
            <w:r>
              <w:rPr>
                <w:rFonts w:ascii="Arial" w:cs="Arial" w:eastAsia="Arial" w:hAnsi="Arial"/>
                <w:sz w:val="13"/>
                <w:szCs w:val="13"/>
                <w:color w:val="auto"/>
              </w:rPr>
              <w:t>Since June 2022</w:t>
            </w:r>
          </w:p>
        </w:tc>
        <w:tc>
          <w:tcPr>
            <w:tcW w:w="5040" w:type="dxa"/>
            <w:vAlign w:val="bottom"/>
          </w:tcPr>
          <w:p>
            <w:pPr>
              <w:ind w:left="20"/>
              <w:spacing w:after="0"/>
              <w:rPr>
                <w:sz w:val="20"/>
                <w:szCs w:val="20"/>
                <w:color w:val="auto"/>
              </w:rPr>
            </w:pPr>
            <w:r>
              <w:rPr>
                <w:rFonts w:ascii="Arial" w:cs="Arial" w:eastAsia="Arial" w:hAnsi="Arial"/>
                <w:sz w:val="13"/>
                <w:szCs w:val="13"/>
                <w:color w:val="auto"/>
              </w:rPr>
              <w:t>Managing Director of ArrowMark Partners.</w:t>
            </w:r>
          </w:p>
        </w:tc>
        <w:tc>
          <w:tcPr>
            <w:tcW w:w="0" w:type="dxa"/>
            <w:vAlign w:val="bottom"/>
          </w:tcPr>
          <w:p>
            <w:pPr>
              <w:spacing w:after="0"/>
              <w:rPr>
                <w:sz w:val="1"/>
                <w:szCs w:val="1"/>
                <w:color w:val="auto"/>
              </w:rPr>
            </w:pPr>
          </w:p>
        </w:tc>
      </w:tr>
      <w:tr>
        <w:trPr>
          <w:trHeight w:val="227"/>
        </w:trPr>
        <w:tc>
          <w:tcPr>
            <w:tcW w:w="1360" w:type="dxa"/>
            <w:vAlign w:val="bottom"/>
            <w:gridSpan w:val="2"/>
          </w:tcPr>
          <w:p>
            <w:pPr>
              <w:spacing w:after="0"/>
              <w:rPr>
                <w:sz w:val="20"/>
                <w:szCs w:val="20"/>
                <w:color w:val="auto"/>
              </w:rPr>
            </w:pPr>
            <w:r>
              <w:rPr>
                <w:rFonts w:ascii="Arial" w:cs="Arial" w:eastAsia="Arial" w:hAnsi="Arial"/>
                <w:sz w:val="13"/>
                <w:szCs w:val="13"/>
                <w:color w:val="auto"/>
              </w:rPr>
              <w:t>Patrick J. Farrell,</w:t>
            </w:r>
          </w:p>
        </w:tc>
        <w:tc>
          <w:tcPr>
            <w:tcW w:w="460" w:type="dxa"/>
            <w:vAlign w:val="bottom"/>
          </w:tcPr>
          <w:p>
            <w:pPr>
              <w:jc w:val="right"/>
              <w:ind w:right="214"/>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9"/>
                <w:szCs w:val="19"/>
                <w:color w:val="auto"/>
              </w:rPr>
            </w:pPr>
          </w:p>
        </w:tc>
        <w:tc>
          <w:tcPr>
            <w:tcW w:w="1920" w:type="dxa"/>
            <w:vAlign w:val="bottom"/>
            <w:gridSpan w:val="2"/>
          </w:tcPr>
          <w:p>
            <w:pPr>
              <w:ind w:left="40"/>
              <w:spacing w:after="0"/>
              <w:rPr>
                <w:sz w:val="20"/>
                <w:szCs w:val="20"/>
                <w:color w:val="auto"/>
              </w:rPr>
            </w:pPr>
            <w:r>
              <w:rPr>
                <w:rFonts w:ascii="Arial" w:cs="Arial" w:eastAsia="Arial" w:hAnsi="Arial"/>
                <w:sz w:val="13"/>
                <w:szCs w:val="13"/>
                <w:color w:val="auto"/>
              </w:rPr>
              <w:t>Chief Financial Officer</w:t>
            </w:r>
          </w:p>
        </w:tc>
        <w:tc>
          <w:tcPr>
            <w:tcW w:w="2360" w:type="dxa"/>
            <w:vAlign w:val="bottom"/>
            <w:gridSpan w:val="2"/>
          </w:tcPr>
          <w:p>
            <w:pPr>
              <w:ind w:left="40"/>
              <w:spacing w:after="0"/>
              <w:rPr>
                <w:sz w:val="20"/>
                <w:szCs w:val="20"/>
                <w:color w:val="auto"/>
              </w:rPr>
            </w:pPr>
            <w:r>
              <w:rPr>
                <w:rFonts w:ascii="Arial" w:cs="Arial" w:eastAsia="Arial" w:hAnsi="Arial"/>
                <w:sz w:val="13"/>
                <w:szCs w:val="13"/>
                <w:color w:val="auto"/>
              </w:rPr>
              <w:t>Since April 2014</w:t>
            </w:r>
          </w:p>
        </w:tc>
        <w:tc>
          <w:tcPr>
            <w:tcW w:w="5040" w:type="dxa"/>
            <w:vAlign w:val="bottom"/>
          </w:tcPr>
          <w:p>
            <w:pPr>
              <w:ind w:left="20"/>
              <w:spacing w:after="0"/>
              <w:rPr>
                <w:sz w:val="20"/>
                <w:szCs w:val="20"/>
                <w:color w:val="auto"/>
              </w:rPr>
            </w:pPr>
            <w:r>
              <w:rPr>
                <w:rFonts w:ascii="Arial" w:cs="Arial" w:eastAsia="Arial" w:hAnsi="Arial"/>
                <w:sz w:val="13"/>
                <w:szCs w:val="13"/>
                <w:color w:val="auto"/>
              </w:rPr>
              <w:t>Vice President, FI Deposit Network Finance of Fiserv, December 2025 to present;</w:t>
            </w:r>
          </w:p>
        </w:tc>
        <w:tc>
          <w:tcPr>
            <w:tcW w:w="0" w:type="dxa"/>
            <w:vAlign w:val="bottom"/>
          </w:tcPr>
          <w:p>
            <w:pPr>
              <w:spacing w:after="0"/>
              <w:rPr>
                <w:sz w:val="1"/>
                <w:szCs w:val="1"/>
                <w:color w:val="auto"/>
              </w:rPr>
            </w:pPr>
          </w:p>
        </w:tc>
      </w:tr>
      <w:tr>
        <w:trPr>
          <w:trHeight w:val="151"/>
        </w:trPr>
        <w:tc>
          <w:tcPr>
            <w:tcW w:w="1360" w:type="dxa"/>
            <w:vAlign w:val="bottom"/>
            <w:gridSpan w:val="2"/>
          </w:tcPr>
          <w:p>
            <w:pPr>
              <w:ind w:left="140"/>
              <w:spacing w:after="0"/>
              <w:rPr>
                <w:sz w:val="20"/>
                <w:szCs w:val="20"/>
                <w:color w:val="auto"/>
              </w:rPr>
            </w:pPr>
            <w:r>
              <w:rPr>
                <w:rFonts w:ascii="Arial" w:cs="Arial" w:eastAsia="Arial" w:hAnsi="Arial"/>
                <w:sz w:val="13"/>
                <w:szCs w:val="13"/>
                <w:color w:val="auto"/>
              </w:rPr>
              <w:t>CPA</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40" w:type="dxa"/>
            <w:vAlign w:val="bottom"/>
          </w:tcPr>
          <w:p>
            <w:pPr>
              <w:ind w:left="160"/>
              <w:spacing w:after="0"/>
              <w:rPr>
                <w:sz w:val="20"/>
                <w:szCs w:val="20"/>
                <w:color w:val="auto"/>
              </w:rPr>
            </w:pPr>
            <w:r>
              <w:rPr>
                <w:rFonts w:ascii="Arial" w:cs="Arial" w:eastAsia="Arial" w:hAnsi="Arial"/>
                <w:sz w:val="13"/>
                <w:szCs w:val="13"/>
                <w:color w:val="auto"/>
              </w:rPr>
              <w:t>Chief Financial Officer of StoneCastle Partners, LLC from April 2014 to December</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40" w:type="dxa"/>
            <w:vAlign w:val="bottom"/>
          </w:tcPr>
          <w:p>
            <w:pPr>
              <w:ind w:left="160"/>
              <w:spacing w:after="0"/>
              <w:rPr>
                <w:sz w:val="20"/>
                <w:szCs w:val="20"/>
                <w:color w:val="auto"/>
              </w:rPr>
            </w:pPr>
            <w:r>
              <w:rPr>
                <w:rFonts w:ascii="Arial" w:cs="Arial" w:eastAsia="Arial" w:hAnsi="Arial"/>
                <w:sz w:val="13"/>
                <w:szCs w:val="13"/>
                <w:color w:val="auto"/>
              </w:rPr>
              <w:t>2025.</w:t>
            </w:r>
          </w:p>
        </w:tc>
        <w:tc>
          <w:tcPr>
            <w:tcW w:w="0" w:type="dxa"/>
            <w:vAlign w:val="bottom"/>
          </w:tcPr>
          <w:p>
            <w:pPr>
              <w:spacing w:after="0"/>
              <w:rPr>
                <w:sz w:val="1"/>
                <w:szCs w:val="1"/>
                <w:color w:val="auto"/>
              </w:rPr>
            </w:pPr>
          </w:p>
        </w:tc>
      </w:tr>
      <w:tr>
        <w:trPr>
          <w:trHeight w:val="151"/>
        </w:trPr>
        <w:tc>
          <w:tcPr>
            <w:tcW w:w="1360" w:type="dxa"/>
            <w:vAlign w:val="bottom"/>
            <w:gridSpan w:val="2"/>
          </w:tcPr>
          <w:p>
            <w:pPr>
              <w:spacing w:after="0"/>
              <w:rPr>
                <w:sz w:val="20"/>
                <w:szCs w:val="20"/>
                <w:color w:val="auto"/>
              </w:rPr>
            </w:pPr>
            <w:r>
              <w:rPr>
                <w:rFonts w:ascii="Arial" w:cs="Arial" w:eastAsia="Arial" w:hAnsi="Arial"/>
                <w:sz w:val="13"/>
                <w:szCs w:val="13"/>
                <w:color w:val="auto"/>
              </w:rPr>
              <w:t>Rick Grove</w:t>
            </w:r>
          </w:p>
        </w:tc>
        <w:tc>
          <w:tcPr>
            <w:tcW w:w="460" w:type="dxa"/>
            <w:vAlign w:val="bottom"/>
          </w:tcPr>
          <w:p>
            <w:pPr>
              <w:jc w:val="right"/>
              <w:ind w:right="214"/>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3"/>
                <w:szCs w:val="13"/>
                <w:color w:val="auto"/>
              </w:rPr>
            </w:pPr>
          </w:p>
        </w:tc>
        <w:tc>
          <w:tcPr>
            <w:tcW w:w="1920" w:type="dxa"/>
            <w:vAlign w:val="bottom"/>
            <w:gridSpan w:val="2"/>
          </w:tcPr>
          <w:p>
            <w:pPr>
              <w:ind w:left="40"/>
              <w:spacing w:after="0"/>
              <w:rPr>
                <w:sz w:val="20"/>
                <w:szCs w:val="20"/>
                <w:color w:val="auto"/>
              </w:rPr>
            </w:pPr>
            <w:r>
              <w:rPr>
                <w:rFonts w:ascii="Arial" w:cs="Arial" w:eastAsia="Arial" w:hAnsi="Arial"/>
                <w:sz w:val="13"/>
                <w:szCs w:val="13"/>
                <w:color w:val="auto"/>
              </w:rPr>
              <w:t>Chief Compliance Officer</w:t>
            </w:r>
          </w:p>
        </w:tc>
        <w:tc>
          <w:tcPr>
            <w:tcW w:w="2360" w:type="dxa"/>
            <w:vAlign w:val="bottom"/>
            <w:gridSpan w:val="2"/>
          </w:tcPr>
          <w:p>
            <w:pPr>
              <w:ind w:left="40"/>
              <w:spacing w:after="0"/>
              <w:rPr>
                <w:sz w:val="20"/>
                <w:szCs w:val="20"/>
                <w:color w:val="auto"/>
              </w:rPr>
            </w:pPr>
            <w:r>
              <w:rPr>
                <w:rFonts w:ascii="Arial" w:cs="Arial" w:eastAsia="Arial" w:hAnsi="Arial"/>
                <w:sz w:val="13"/>
                <w:szCs w:val="13"/>
                <w:color w:val="auto"/>
              </w:rPr>
              <w:t>Since February 2020</w:t>
            </w:r>
          </w:p>
        </w:tc>
        <w:tc>
          <w:tcPr>
            <w:tcW w:w="5040" w:type="dxa"/>
            <w:vAlign w:val="bottom"/>
          </w:tcPr>
          <w:p>
            <w:pPr>
              <w:ind w:left="20"/>
              <w:spacing w:after="0"/>
              <w:rPr>
                <w:sz w:val="20"/>
                <w:szCs w:val="20"/>
                <w:color w:val="auto"/>
              </w:rPr>
            </w:pPr>
            <w:r>
              <w:rPr>
                <w:rFonts w:ascii="Arial" w:cs="Arial" w:eastAsia="Arial" w:hAnsi="Arial"/>
                <w:sz w:val="13"/>
                <w:szCs w:val="13"/>
                <w:color w:val="auto"/>
              </w:rPr>
              <w:t>Chief Compliance Officer of ArrowMark Colorado Holdings, LLC.; Chief Compliance</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40" w:type="dxa"/>
            <w:vAlign w:val="bottom"/>
          </w:tcPr>
          <w:p>
            <w:pPr>
              <w:ind w:left="160"/>
              <w:spacing w:after="0"/>
              <w:rPr>
                <w:sz w:val="20"/>
                <w:szCs w:val="20"/>
                <w:color w:val="auto"/>
              </w:rPr>
            </w:pPr>
            <w:r>
              <w:rPr>
                <w:rFonts w:ascii="Arial" w:cs="Arial" w:eastAsia="Arial" w:hAnsi="Arial"/>
                <w:sz w:val="13"/>
                <w:szCs w:val="13"/>
                <w:color w:val="auto"/>
              </w:rPr>
              <w:t>Officer of ArrowMark Asset Management, LLC.</w:t>
            </w:r>
          </w:p>
        </w:tc>
        <w:tc>
          <w:tcPr>
            <w:tcW w:w="0" w:type="dxa"/>
            <w:vAlign w:val="bottom"/>
          </w:tcPr>
          <w:p>
            <w:pPr>
              <w:spacing w:after="0"/>
              <w:rPr>
                <w:sz w:val="1"/>
                <w:szCs w:val="1"/>
                <w:color w:val="auto"/>
              </w:rPr>
            </w:pPr>
          </w:p>
        </w:tc>
      </w:tr>
      <w:tr>
        <w:trPr>
          <w:trHeight w:val="151"/>
        </w:trPr>
        <w:tc>
          <w:tcPr>
            <w:tcW w:w="1360" w:type="dxa"/>
            <w:vAlign w:val="bottom"/>
            <w:gridSpan w:val="2"/>
          </w:tcPr>
          <w:p>
            <w:pPr>
              <w:spacing w:after="0"/>
              <w:rPr>
                <w:sz w:val="20"/>
                <w:szCs w:val="20"/>
                <w:color w:val="auto"/>
              </w:rPr>
            </w:pPr>
            <w:r>
              <w:rPr>
                <w:rFonts w:ascii="Arial" w:cs="Arial" w:eastAsia="Arial" w:hAnsi="Arial"/>
                <w:sz w:val="13"/>
                <w:szCs w:val="13"/>
                <w:color w:val="auto"/>
              </w:rPr>
              <w:t>Blake Rice</w:t>
            </w:r>
          </w:p>
        </w:tc>
        <w:tc>
          <w:tcPr>
            <w:tcW w:w="460" w:type="dxa"/>
            <w:vAlign w:val="bottom"/>
          </w:tcPr>
          <w:p>
            <w:pPr>
              <w:jc w:val="right"/>
              <w:ind w:right="214"/>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1920" w:type="dxa"/>
            <w:vAlign w:val="bottom"/>
            <w:gridSpan w:val="2"/>
          </w:tcPr>
          <w:p>
            <w:pPr>
              <w:ind w:left="40"/>
              <w:spacing w:after="0"/>
              <w:rPr>
                <w:sz w:val="20"/>
                <w:szCs w:val="20"/>
                <w:color w:val="auto"/>
              </w:rPr>
            </w:pPr>
            <w:r>
              <w:rPr>
                <w:rFonts w:ascii="Arial" w:cs="Arial" w:eastAsia="Arial" w:hAnsi="Arial"/>
                <w:sz w:val="13"/>
                <w:szCs w:val="13"/>
                <w:color w:val="auto"/>
              </w:rPr>
              <w:t>Secretary</w:t>
            </w:r>
          </w:p>
        </w:tc>
        <w:tc>
          <w:tcPr>
            <w:tcW w:w="2360" w:type="dxa"/>
            <w:vAlign w:val="bottom"/>
            <w:gridSpan w:val="2"/>
          </w:tcPr>
          <w:p>
            <w:pPr>
              <w:ind w:left="40"/>
              <w:spacing w:after="0"/>
              <w:rPr>
                <w:sz w:val="20"/>
                <w:szCs w:val="20"/>
                <w:color w:val="auto"/>
              </w:rPr>
            </w:pPr>
            <w:r>
              <w:rPr>
                <w:rFonts w:ascii="Arial" w:cs="Arial" w:eastAsia="Arial" w:hAnsi="Arial"/>
                <w:sz w:val="13"/>
                <w:szCs w:val="13"/>
                <w:color w:val="auto"/>
              </w:rPr>
              <w:t>Since September 2021</w:t>
            </w:r>
          </w:p>
        </w:tc>
        <w:tc>
          <w:tcPr>
            <w:tcW w:w="5040" w:type="dxa"/>
            <w:vAlign w:val="bottom"/>
          </w:tcPr>
          <w:p>
            <w:pPr>
              <w:ind w:left="20"/>
              <w:spacing w:after="0"/>
              <w:rPr>
                <w:sz w:val="20"/>
                <w:szCs w:val="20"/>
                <w:color w:val="auto"/>
              </w:rPr>
            </w:pPr>
            <w:r>
              <w:rPr>
                <w:rFonts w:ascii="Arial" w:cs="Arial" w:eastAsia="Arial" w:hAnsi="Arial"/>
                <w:sz w:val="13"/>
                <w:szCs w:val="13"/>
                <w:color w:val="auto"/>
              </w:rPr>
              <w:t>ArrowMark Partners General Counsel; former Managing Director and Associate</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40" w:type="dxa"/>
            <w:vAlign w:val="bottom"/>
          </w:tcPr>
          <w:p>
            <w:pPr>
              <w:ind w:left="160"/>
              <w:spacing w:after="0"/>
              <w:rPr>
                <w:sz w:val="20"/>
                <w:szCs w:val="20"/>
                <w:color w:val="auto"/>
              </w:rPr>
            </w:pPr>
            <w:r>
              <w:rPr>
                <w:rFonts w:ascii="Arial" w:cs="Arial" w:eastAsia="Arial" w:hAnsi="Arial"/>
                <w:sz w:val="13"/>
                <w:szCs w:val="13"/>
                <w:color w:val="auto"/>
              </w:rPr>
              <w:t>General Counsel at Neuberger Berman.</w:t>
            </w:r>
          </w:p>
        </w:tc>
        <w:tc>
          <w:tcPr>
            <w:tcW w:w="0" w:type="dxa"/>
            <w:vAlign w:val="bottom"/>
          </w:tcPr>
          <w:p>
            <w:pPr>
              <w:spacing w:after="0"/>
              <w:rPr>
                <w:sz w:val="1"/>
                <w:szCs w:val="1"/>
                <w:color w:val="auto"/>
              </w:rPr>
            </w:pPr>
          </w:p>
        </w:tc>
      </w:tr>
      <w:tr>
        <w:trPr>
          <w:trHeight w:val="151"/>
        </w:trPr>
        <w:tc>
          <w:tcPr>
            <w:tcW w:w="1360" w:type="dxa"/>
            <w:vAlign w:val="bottom"/>
            <w:gridSpan w:val="2"/>
          </w:tcPr>
          <w:p>
            <w:pPr>
              <w:spacing w:after="0"/>
              <w:rPr>
                <w:sz w:val="20"/>
                <w:szCs w:val="20"/>
                <w:color w:val="auto"/>
              </w:rPr>
            </w:pPr>
            <w:r>
              <w:rPr>
                <w:rFonts w:ascii="Arial" w:cs="Arial" w:eastAsia="Arial" w:hAnsi="Arial"/>
                <w:sz w:val="13"/>
                <w:szCs w:val="13"/>
                <w:color w:val="auto"/>
              </w:rPr>
              <w:t>Katie Jones</w:t>
            </w:r>
          </w:p>
        </w:tc>
        <w:tc>
          <w:tcPr>
            <w:tcW w:w="460" w:type="dxa"/>
            <w:vAlign w:val="bottom"/>
          </w:tcPr>
          <w:p>
            <w:pPr>
              <w:jc w:val="right"/>
              <w:ind w:right="214"/>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920" w:type="dxa"/>
            <w:vAlign w:val="bottom"/>
            <w:gridSpan w:val="2"/>
          </w:tcPr>
          <w:p>
            <w:pPr>
              <w:ind w:left="40"/>
              <w:spacing w:after="0"/>
              <w:rPr>
                <w:sz w:val="20"/>
                <w:szCs w:val="20"/>
                <w:color w:val="auto"/>
              </w:rPr>
            </w:pPr>
            <w:r>
              <w:rPr>
                <w:rFonts w:ascii="Arial" w:cs="Arial" w:eastAsia="Arial" w:hAnsi="Arial"/>
                <w:sz w:val="13"/>
                <w:szCs w:val="13"/>
                <w:color w:val="auto"/>
              </w:rPr>
              <w:t>Controller</w:t>
            </w:r>
          </w:p>
        </w:tc>
        <w:tc>
          <w:tcPr>
            <w:tcW w:w="2360" w:type="dxa"/>
            <w:vAlign w:val="bottom"/>
            <w:gridSpan w:val="2"/>
          </w:tcPr>
          <w:p>
            <w:pPr>
              <w:ind w:left="40"/>
              <w:spacing w:after="0"/>
              <w:rPr>
                <w:sz w:val="20"/>
                <w:szCs w:val="20"/>
                <w:color w:val="auto"/>
              </w:rPr>
            </w:pPr>
            <w:r>
              <w:rPr>
                <w:rFonts w:ascii="Arial" w:cs="Arial" w:eastAsia="Arial" w:hAnsi="Arial"/>
                <w:sz w:val="13"/>
                <w:szCs w:val="13"/>
                <w:color w:val="auto"/>
              </w:rPr>
              <w:t>Since March 2025</w:t>
            </w:r>
          </w:p>
        </w:tc>
        <w:tc>
          <w:tcPr>
            <w:tcW w:w="5040" w:type="dxa"/>
            <w:vAlign w:val="bottom"/>
          </w:tcPr>
          <w:p>
            <w:pPr>
              <w:ind w:left="20"/>
              <w:spacing w:after="0"/>
              <w:rPr>
                <w:sz w:val="20"/>
                <w:szCs w:val="20"/>
                <w:color w:val="auto"/>
              </w:rPr>
            </w:pPr>
            <w:r>
              <w:rPr>
                <w:rFonts w:ascii="Arial" w:cs="Arial" w:eastAsia="Arial" w:hAnsi="Arial"/>
                <w:sz w:val="13"/>
                <w:szCs w:val="13"/>
                <w:color w:val="auto"/>
              </w:rPr>
              <w:t>Director of ArrowMark Partners; Chief Financial Officer of Merdian Fund Inc. from</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40" w:type="dxa"/>
            <w:vAlign w:val="bottom"/>
          </w:tcPr>
          <w:p>
            <w:pPr>
              <w:ind w:left="160"/>
              <w:spacing w:after="0"/>
              <w:rPr>
                <w:sz w:val="20"/>
                <w:szCs w:val="20"/>
                <w:color w:val="auto"/>
              </w:rPr>
            </w:pPr>
            <w:r>
              <w:rPr>
                <w:rFonts w:ascii="Arial" w:cs="Arial" w:eastAsia="Arial" w:hAnsi="Arial"/>
                <w:sz w:val="13"/>
                <w:szCs w:val="13"/>
                <w:color w:val="auto"/>
              </w:rPr>
              <w:t>March 2018 to present.</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r>
        <w:rPr>
          <w:rFonts w:ascii="Arial" w:cs="Arial" w:eastAsia="Arial" w:hAnsi="Arial"/>
          <w:sz w:val="13"/>
          <w:szCs w:val="13"/>
          <w:b w:val="1"/>
          <w:bCs w:val="1"/>
          <w:color w:val="296B38"/>
        </w:rPr>
        <w:t>.</w:t>
      </w:r>
      <w:r>
        <w:rPr>
          <w:sz w:val="20"/>
          <w:szCs w:val="20"/>
          <w:color w:val="auto"/>
        </w:rPr>
        <w:tab/>
      </w:r>
      <w:r>
        <w:rPr>
          <w:rFonts w:ascii="Arial" w:cs="Arial" w:eastAsia="Arial" w:hAnsi="Arial"/>
          <w:sz w:val="12"/>
          <w:szCs w:val="12"/>
          <w:color w:val="296B38"/>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381635</wp:posOffset>
            </wp:positionV>
            <wp:extent cx="7141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Biographical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Interested Directors</w:t>
      </w:r>
    </w:p>
    <w:p>
      <w:pPr>
        <w:spacing w:after="0" w:line="237" w:lineRule="auto"/>
        <w:rPr>
          <w:sz w:val="20"/>
          <w:szCs w:val="20"/>
          <w:color w:val="auto"/>
        </w:rPr>
      </w:pPr>
      <w:r>
        <w:rPr>
          <w:rFonts w:ascii="Arial" w:cs="Arial" w:eastAsia="Arial" w:hAnsi="Arial"/>
          <w:sz w:val="16"/>
          <w:szCs w:val="16"/>
          <w:color w:val="auto"/>
        </w:rPr>
        <w:t>The following sets forth certain biographical information for our Interested Directors. An Interested Director is an “interested person” as defined in Section 2(a)</w:t>
      </w:r>
    </w:p>
    <w:p>
      <w:pPr>
        <w:spacing w:after="0"/>
        <w:rPr>
          <w:sz w:val="20"/>
          <w:szCs w:val="20"/>
          <w:color w:val="auto"/>
        </w:rPr>
      </w:pPr>
      <w:r>
        <w:rPr>
          <w:rFonts w:ascii="Arial" w:cs="Arial" w:eastAsia="Arial" w:hAnsi="Arial"/>
          <w:sz w:val="16"/>
          <w:szCs w:val="16"/>
          <w:color w:val="auto"/>
        </w:rPr>
        <w:t>(19) of the Investment Company Act:</w:t>
      </w:r>
    </w:p>
    <w:p>
      <w:pPr>
        <w:spacing w:after="0" w:line="15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b w:val="1"/>
          <w:bCs w:val="1"/>
          <w:color w:val="auto"/>
        </w:rPr>
        <w:t>Sanjai Bhonsle</w:t>
      </w:r>
      <w:r>
        <w:rPr>
          <w:rFonts w:ascii="Arial" w:cs="Arial" w:eastAsia="Arial" w:hAnsi="Arial"/>
          <w:sz w:val="16"/>
          <w:szCs w:val="16"/>
          <w:color w:val="auto"/>
        </w:rPr>
        <w:t>. Sanjai joined ArrowMark Partners in October 2012 and serves as Chief Executive Officer and as Partner and Portfolio Manager for</w:t>
      </w:r>
      <w:r>
        <w:rPr>
          <w:rFonts w:ascii="Arial" w:cs="Arial" w:eastAsia="Arial" w:hAnsi="Arial"/>
          <w:sz w:val="16"/>
          <w:szCs w:val="16"/>
          <w:b w:val="1"/>
          <w:bCs w:val="1"/>
          <w:color w:val="auto"/>
        </w:rPr>
        <w:t xml:space="preserve"> </w:t>
      </w:r>
      <w:r>
        <w:rPr>
          <w:rFonts w:ascii="Arial" w:cs="Arial" w:eastAsia="Arial" w:hAnsi="Arial"/>
          <w:sz w:val="16"/>
          <w:szCs w:val="16"/>
          <w:color w:val="auto"/>
        </w:rPr>
        <w:t>ArrowMark’s leveraged loan investments and CLO funds. Prior to joining ArrowMark, he founded MB Consulting Partners in 2009, where he specialized in financial and operational restructuring advisory to stressed and distressed middle-market companies. With more than 10 years of restructuring experience, he has led several assignments across various industries. Sanjai was a Senior Portfolio Manager at GSO Capital Partners, a subsidiary of The Blackstone Group, and member of the Investment and Management Committee (2005-2009). Prior to joining GSO Capital Partners, Sanjai was an Assistant Portfolio Manager for RBC Capital Partners’ debt investment group and was a member of the Investment Committee (2001-2005). He also led the group’s restructuring efforts related to distressed investments and represented the firm’s interests on creditor committees. From 1999-2001, Sanjai was a Senior Investment Analyst at lndosuez Capital Partners. Sanjai received a bachelor’s degree in Mechanical Engineering from the University of Wisconsin -Madison and an MBA from the Eli Broad Graduate School of Management at Michigan State University.</w:t>
      </w:r>
    </w:p>
    <w:p>
      <w:pPr>
        <w:spacing w:after="0" w:line="14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Karen Reidy</w:t>
      </w:r>
      <w:r>
        <w:rPr>
          <w:rFonts w:ascii="Arial" w:cs="Arial" w:eastAsia="Arial" w:hAnsi="Arial"/>
          <w:sz w:val="16"/>
          <w:szCs w:val="16"/>
          <w:color w:val="auto"/>
        </w:rPr>
        <w:t>. Ms. Reidy is a founding Partner and co-manages ArrowMark Partners' collateralized loan obligation and specialty finance investments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analyst team. Prior to founding ArrowMark, Ms. Reidy served as Executive Vice President and Portfolio Manager at Janus Capital, managing $10 billion for two strategies: Janus Balanced Fund and Janus Core Equity Fund, as well as institutional separate accounts (2000-2005). Ms. Reidy was also the Assistant Portfolio Manager of the Janus Fund (1998-2000). She joined Janus Capital as an equity analyst in 1995. Prior to Janus Capital Group, she worked at PricewaterhouseCoopers LLC in the audit and mergers and acquisitions departments. Ms. Reidy graduated from the University of Colorado with a bachelor’s degree and holds the Chartered Financial Analyst designation.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Independent Directors</w:t>
      </w:r>
    </w:p>
    <w:p>
      <w:pPr>
        <w:spacing w:after="0" w:line="6" w:lineRule="exact"/>
        <w:rPr>
          <w:sz w:val="20"/>
          <w:szCs w:val="20"/>
          <w:color w:val="auto"/>
        </w:rPr>
      </w:pPr>
    </w:p>
    <w:p>
      <w:pPr>
        <w:ind w:right="600"/>
        <w:spacing w:after="0" w:line="242" w:lineRule="auto"/>
        <w:rPr>
          <w:sz w:val="20"/>
          <w:szCs w:val="20"/>
          <w:color w:val="auto"/>
        </w:rPr>
      </w:pPr>
      <w:r>
        <w:rPr>
          <w:rFonts w:ascii="Arial" w:cs="Arial" w:eastAsia="Arial" w:hAnsi="Arial"/>
          <w:sz w:val="16"/>
          <w:szCs w:val="16"/>
          <w:color w:val="auto"/>
        </w:rPr>
        <w:t>The following sets forth certain biographical information for our Independent Directors. Independent Directors are not “interested persons” of ArrowMark Financial Corp., as defined by the 1940 Act:</w:t>
      </w:r>
    </w:p>
    <w:p>
      <w:pPr>
        <w:spacing w:after="0" w:line="14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color w:val="auto"/>
        </w:rPr>
        <w:t>Emil W. Henry, Jr</w:t>
      </w:r>
      <w:r>
        <w:rPr>
          <w:rFonts w:ascii="Arial" w:cs="Arial" w:eastAsia="Arial" w:hAnsi="Arial"/>
          <w:sz w:val="16"/>
          <w:szCs w:val="16"/>
          <w:color w:val="auto"/>
        </w:rPr>
        <w:t>. Mr. Henry is the CEO and Founder of Tiger Infrastructure Partners, a private equity firm focused on infrastructure investment opportunities.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founding Tiger Infrastructure Partners, he was Global Head of the Lehman Brothers Private Equity Infrastructure businesses, where he oversaw global infrastructure investments. In 2005, Mr. Henry was appointed Assistant Secretary of the Treasury for Financial Institutions by the President of the United States. Until his departure in 2007, he was a key advisor to two Treasury Secretaries on economic, legislative and regulatory matters affecting U.S. financial institutions and markets. Before joining the Treasury, Mr. Henry was a partner of Gleacher Partners LLC, an investment banking and investment management firm, where he served as Chairman of Asset Management, and Managing Director, and where he oversaw the firm’s investment activities. Mr. Henry began the formative part of his career at Morgan Stanley in the mid-1980s in that firm’s merchant banking arm where he executed management buyouts for Morgan Stanley’s flagship private equity fund. He holds an M.B.A. from Harvard Business School and a B.A. in Economics from Yale University.</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color w:val="auto"/>
        </w:rPr>
        <w:t>John S. Emrich</w:t>
      </w:r>
      <w:r>
        <w:rPr>
          <w:rFonts w:ascii="Arial" w:cs="Arial" w:eastAsia="Arial" w:hAnsi="Arial"/>
          <w:sz w:val="16"/>
          <w:szCs w:val="16"/>
          <w:color w:val="auto"/>
        </w:rPr>
        <w:t>. Mr. Emrich has significant experience in the investment management and financial services industry. Mr. Emrich served as a financial analyst</w:t>
      </w:r>
      <w:r>
        <w:rPr>
          <w:rFonts w:ascii="Arial" w:cs="Arial" w:eastAsia="Arial" w:hAnsi="Arial"/>
          <w:sz w:val="16"/>
          <w:szCs w:val="16"/>
          <w:b w:val="1"/>
          <w:bCs w:val="1"/>
          <w:color w:val="auto"/>
        </w:rPr>
        <w:t xml:space="preserve"> </w:t>
      </w:r>
      <w:r>
        <w:rPr>
          <w:rFonts w:ascii="Arial" w:cs="Arial" w:eastAsia="Arial" w:hAnsi="Arial"/>
          <w:sz w:val="16"/>
          <w:szCs w:val="16"/>
          <w:color w:val="auto"/>
        </w:rPr>
        <w:t>or portfolio manager for over 13 years for various investment advisory firms. Prior to such positions he also performed business valuations and appraisal analyses at KPMG Peat Marwick, an accounting firm.</w:t>
      </w:r>
    </w:p>
    <w:p>
      <w:pPr>
        <w:spacing w:after="0" w:line="150"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296B38"/>
        </w:rPr>
        <w:t>47</w:t>
        <w:tab/>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381635</wp:posOffset>
            </wp:positionV>
            <wp:extent cx="71418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jc w:val="both"/>
        <w:spacing w:after="0" w:line="235" w:lineRule="auto"/>
        <w:rPr>
          <w:sz w:val="20"/>
          <w:szCs w:val="20"/>
          <w:color w:val="auto"/>
        </w:rPr>
      </w:pPr>
      <w:r>
        <w:rPr>
          <w:rFonts w:ascii="Arial" w:cs="Arial" w:eastAsia="Arial" w:hAnsi="Arial"/>
          <w:sz w:val="16"/>
          <w:szCs w:val="16"/>
          <w:b w:val="1"/>
          <w:bCs w:val="1"/>
          <w:color w:val="auto"/>
        </w:rPr>
        <w:t xml:space="preserve">Melissa Marano Thompson. </w:t>
      </w:r>
      <w:r>
        <w:rPr>
          <w:rFonts w:ascii="Arial" w:cs="Arial" w:eastAsia="Arial" w:hAnsi="Arial"/>
          <w:sz w:val="16"/>
          <w:szCs w:val="16"/>
          <w:color w:val="auto"/>
        </w:rPr>
        <w:t>Ms. Marano Thompson is a seasoned credit investor and risk manager with a background in leveraged finance, private credit and</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Ms. Marano Thompson founded Lower Field Holdings in 2013, a financial consulting firm specializing in debt investing and management. Ms. Marano Thompson currently works with L Catterton, a global private equity firm, as a credit consultant and member of the risk management group. Prior to her consulting work, Ms. Marano Thompson worked in the private debt group of Ares Capital and served as a Senior Vice President and Chief Risk Officer at Firstlight Financial Corporation, a related middle market finance company. Previously, Ms. Marano Thompson was a Managing Director at Oaktree Capital Management, Mezzanine Fund, focusing on bank debt investments. Prior to joining Oaktree Capital Management, Ms. Marano Thompson was a Managing Director and senior portfolio manager at GSO Capital Partners. There she managed approximately $4.5 billion in loan assets across their CLO platform. Ms. Marano Thompson also had prior roles at RBC Capital, Credit Agricole Indosuez (Indosuez Capital) and was credit trained at Chemical Bank.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Officers Who Are Not Directors</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b w:val="1"/>
          <w:bCs w:val="1"/>
          <w:color w:val="auto"/>
        </w:rPr>
        <w:t>Dana Staggs</w:t>
      </w:r>
      <w:r>
        <w:rPr>
          <w:rFonts w:ascii="Arial" w:cs="Arial" w:eastAsia="Arial" w:hAnsi="Arial"/>
          <w:sz w:val="16"/>
          <w:szCs w:val="16"/>
          <w:color w:val="auto"/>
        </w:rPr>
        <w:t>. Dana leads the private direct lending strategy at ArrowMark and is a team member of ArrowMark’s Capital Solutions Group where he sources,</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structures, and manages non-control private equity and private debt investments. Prior to joining ArrowMark Partners in 2017, he worked in similar capacities at firms to include Goldman Sachs &amp; Co, Barclays Private Credit Partners LLC and GE Capital. Dana previously served over 10 years as a surface warfare officer in the U.S. Navy, having attained the rank of Lieutenant Commander. He earned a Bachelor of Science degree in Physics from the United States Naval Academy and an MBA from The Mason School of Business at the College of William and Mary.</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color w:val="auto"/>
        </w:rPr>
        <w:t>Patrick J. Farrell</w:t>
      </w:r>
      <w:r>
        <w:rPr>
          <w:rFonts w:ascii="Arial" w:cs="Arial" w:eastAsia="Arial" w:hAnsi="Arial"/>
          <w:sz w:val="16"/>
          <w:szCs w:val="16"/>
          <w:color w:val="auto"/>
        </w:rPr>
        <w:t>. Patrick serves as Chief Financial Officer. Mr. Farrell has over 42 years of hands-on management experience in finance and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focused on domestic and offshore mutual funds, bank deposit account programs, investment advisory and broker dealer businesses. Prior to joining Fiserv as VP, FI Deposit Network Finance, Mr. Farrell was Chief Financial Officer of StoneCastle Partners (2014 - 2025). Prior to StoneCastle, Mr. Farrell was CFO/COO of Emerging Managers Group, L.P., a specialty asset management firm focused on offshore mutual funds. Previously, Mr. Farrell was CFO at Reserve Management, where he oversaw all financial activities for the company. Earlier in his career, he held financial positions at Lexington Management, Drexel Burnham, Alliance Capital and New York Life Investment Management, all focused on investment advisory and mutual fund activities. He began his career at Peat Marwick Mitchell &amp; Co. Mr. Farrell holds a B.S. in Business Administration-Accounting from Manhattan University. Mr. Farrell is a Certified Public Accountant in New York State and a member of the American Institute of Certified Public Accountants.</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Rick Grove</w:t>
      </w:r>
      <w:r>
        <w:rPr>
          <w:rFonts w:ascii="Arial" w:cs="Arial" w:eastAsia="Arial" w:hAnsi="Arial"/>
          <w:sz w:val="16"/>
          <w:szCs w:val="16"/>
          <w:color w:val="auto"/>
        </w:rPr>
        <w:t>. Rick is a Principal and Chief Compliance Officer at ArrowMark Partners. He was previously Vice President and Chief Compliance Officer for Black</w:t>
      </w:r>
      <w:r>
        <w:rPr>
          <w:rFonts w:ascii="Arial" w:cs="Arial" w:eastAsia="Arial" w:hAnsi="Arial"/>
          <w:sz w:val="16"/>
          <w:szCs w:val="16"/>
          <w:b w:val="1"/>
          <w:bCs w:val="1"/>
          <w:color w:val="auto"/>
        </w:rPr>
        <w:t xml:space="preserve"> </w:t>
      </w:r>
      <w:r>
        <w:rPr>
          <w:rFonts w:ascii="Arial" w:cs="Arial" w:eastAsia="Arial" w:hAnsi="Arial"/>
          <w:sz w:val="16"/>
          <w:szCs w:val="16"/>
          <w:color w:val="auto"/>
        </w:rPr>
        <w:t>Creek Global Advisors (2007-2008). Prior to that position, Rick served as Vice President and Chief Compliance Officer for Madison Capital Management (2005-2007), Assistant Vice President and Director of Compliance at Janus Capital Group (1993-2005), and Fund Accountant for Oppenheimer Funds (1992-1993). Rick graduated from the University of Wyoming with a bachelor’s degree in Accounting.</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color w:val="auto"/>
        </w:rPr>
        <w:t xml:space="preserve">Blake Rice. </w:t>
      </w:r>
      <w:r>
        <w:rPr>
          <w:rFonts w:ascii="Arial" w:cs="Arial" w:eastAsia="Arial" w:hAnsi="Arial"/>
          <w:sz w:val="16"/>
          <w:szCs w:val="16"/>
          <w:color w:val="auto"/>
        </w:rPr>
        <w:t>Blake serves as ArrowMark Partners General Counsel. In his role, Blake leads and manages legal and compliance efforts at ArrowMark and</w:t>
      </w:r>
      <w:r>
        <w:rPr>
          <w:rFonts w:ascii="Arial" w:cs="Arial" w:eastAsia="Arial" w:hAnsi="Arial"/>
          <w:sz w:val="16"/>
          <w:szCs w:val="16"/>
          <w:b w:val="1"/>
          <w:bCs w:val="1"/>
          <w:color w:val="auto"/>
        </w:rPr>
        <w:t xml:space="preserve"> </w:t>
      </w:r>
      <w:r>
        <w:rPr>
          <w:rFonts w:ascii="Arial" w:cs="Arial" w:eastAsia="Arial" w:hAnsi="Arial"/>
          <w:sz w:val="16"/>
          <w:szCs w:val="16"/>
          <w:color w:val="auto"/>
        </w:rPr>
        <w:t>ensures the firm is well-positioned for the continued growth of its business and investment strategies while thoughtfully managing risk. Prior to ArrowMark, Blake worked at Neuberger Berman where he spent the last 13 years as Managing Director and Associate General Counsel for the alternatives business. In his role, Blake managed a team that oversaw legal matters for the alternatives business which consists of private credit, private equity, real estate, infrastructure, and several other alternative strategies. Blake received his B.A. from Trinity University and his J.D. from the University of Chicago.</w:t>
      </w:r>
    </w:p>
    <w:p>
      <w:pPr>
        <w:spacing w:after="0" w:line="15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r>
        <w:rPr>
          <w:rFonts w:ascii="Arial" w:cs="Arial" w:eastAsia="Arial" w:hAnsi="Arial"/>
          <w:sz w:val="13"/>
          <w:szCs w:val="13"/>
          <w:b w:val="1"/>
          <w:bCs w:val="1"/>
          <w:color w:val="296B38"/>
        </w:rPr>
        <w:t>.</w:t>
      </w:r>
      <w:r>
        <w:rPr>
          <w:sz w:val="20"/>
          <w:szCs w:val="20"/>
          <w:color w:val="auto"/>
        </w:rPr>
        <w:tab/>
      </w:r>
      <w:r>
        <w:rPr>
          <w:rFonts w:ascii="Arial" w:cs="Arial" w:eastAsia="Arial" w:hAnsi="Arial"/>
          <w:sz w:val="12"/>
          <w:szCs w:val="12"/>
          <w:color w:val="296B38"/>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381635</wp:posOffset>
            </wp:positionV>
            <wp:extent cx="71418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jc w:val="both"/>
        <w:spacing w:after="0" w:line="246" w:lineRule="auto"/>
        <w:rPr>
          <w:sz w:val="20"/>
          <w:szCs w:val="20"/>
          <w:color w:val="auto"/>
        </w:rPr>
      </w:pPr>
      <w:r>
        <w:rPr>
          <w:rFonts w:ascii="Arial" w:cs="Arial" w:eastAsia="Arial" w:hAnsi="Arial"/>
          <w:sz w:val="16"/>
          <w:szCs w:val="16"/>
          <w:b w:val="1"/>
          <w:bCs w:val="1"/>
          <w:color w:val="auto"/>
        </w:rPr>
        <w:t xml:space="preserve">Katie Jones. </w:t>
      </w:r>
      <w:r>
        <w:rPr>
          <w:rFonts w:ascii="Arial" w:cs="Arial" w:eastAsia="Arial" w:hAnsi="Arial"/>
          <w:sz w:val="16"/>
          <w:szCs w:val="16"/>
          <w:color w:val="auto"/>
        </w:rPr>
        <w:t>Katie serves as Fund Chief Financial Officer and Treasurer for ArrowMark Partners and Meridian Fund, Inc. Prior to joining ArrowMark, she was a</w:t>
      </w:r>
      <w:r>
        <w:rPr>
          <w:rFonts w:ascii="Arial" w:cs="Arial" w:eastAsia="Arial" w:hAnsi="Arial"/>
          <w:sz w:val="16"/>
          <w:szCs w:val="16"/>
          <w:b w:val="1"/>
          <w:bCs w:val="1"/>
          <w:color w:val="auto"/>
        </w:rPr>
        <w:t xml:space="preserve"> </w:t>
      </w:r>
      <w:r>
        <w:rPr>
          <w:rFonts w:ascii="Arial" w:cs="Arial" w:eastAsia="Arial" w:hAnsi="Arial"/>
          <w:sz w:val="16"/>
          <w:szCs w:val="16"/>
          <w:color w:val="auto"/>
        </w:rPr>
        <w:t>Supervisor in the Alternative Investment Accounting group at ALPS Fund Services, a third-party fund administrator and distributor (2008-2014). Katie graduated from Gonzaga University with a Bachelor's degree in Finance and Master's degree in Business Administration.</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Additional information regarding the Directors of ArrowMark Financial Corp. can be found in the Statement of Additional Information, which is available, without charge, upon request, by calling 1-877-373-6374 and is also available on the Company’s website at ir.arrowmarkfinancialcorp.com</w:t>
      </w:r>
    </w:p>
    <w:p>
      <w:pPr>
        <w:spacing w:after="0" w:line="139"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296B38"/>
        </w:rPr>
        <w:t>49</w:t>
        <w:tab/>
        <w:t>ArrowMark Financial Corp.</w:t>
      </w:r>
      <w:r>
        <w:rPr>
          <w:rFonts w:ascii="Arial" w:cs="Arial" w:eastAsia="Arial" w:hAnsi="Arial"/>
          <w:sz w:val="13"/>
          <w:szCs w:val="13"/>
          <w:b w:val="1"/>
          <w:bCs w:val="1"/>
          <w:color w:val="296B38"/>
        </w:rPr>
        <w: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381635</wp:posOffset>
            </wp:positionV>
            <wp:extent cx="7141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527685</wp:posOffset>
            </wp:positionV>
            <wp:extent cx="6774815" cy="8140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677481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ArrowMark Financial Corp. (“we” or “us”) is committed to maintaining your right to privacy. Protecting the information we receive as part of our relationship with you is of primary importance to us. Please take the time to read and understand the privacy policies and procedures that we have implemented to safeguard your nonpublic personal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We Collect</w:t>
      </w:r>
    </w:p>
    <w:p>
      <w:pPr>
        <w:spacing w:after="0" w:line="166"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We must collect certain personally identifiable financial information about our customers to provide financial services and products. Nonpublic personal information means personally identifiable financial information and any list, description or other grouping of consumers that is derived using any personally identifiable financial information that is not publicly available. The personally identifiable financial information that we gather during the normal course of doing business with you may include:</w:t>
      </w:r>
    </w:p>
    <w:p>
      <w:pPr>
        <w:spacing w:after="0" w:line="144" w:lineRule="exact"/>
        <w:rPr>
          <w:sz w:val="20"/>
          <w:szCs w:val="20"/>
          <w:color w:val="auto"/>
        </w:rPr>
      </w:pPr>
    </w:p>
    <w:p>
      <w:pPr>
        <w:ind w:left="180" w:hanging="179"/>
        <w:spacing w:after="0"/>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information we receive from you on applications or other forms;</w:t>
      </w:r>
    </w:p>
    <w:p>
      <w:pPr>
        <w:spacing w:after="0" w:line="7" w:lineRule="exact"/>
        <w:rPr>
          <w:rFonts w:ascii="Arial" w:cs="Arial" w:eastAsia="Arial" w:hAnsi="Arial"/>
          <w:sz w:val="16"/>
          <w:szCs w:val="16"/>
          <w:color w:val="auto"/>
        </w:rPr>
      </w:pPr>
    </w:p>
    <w:p>
      <w:pPr>
        <w:ind w:left="180" w:hanging="179"/>
        <w:spacing w:after="0" w:line="229"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information about your transactions with us, our affiliates, or others;</w:t>
      </w:r>
    </w:p>
    <w:p>
      <w:pPr>
        <w:ind w:left="180" w:hanging="179"/>
        <w:spacing w:after="0" w:line="229"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information collected through the Internet; and</w:t>
      </w:r>
    </w:p>
    <w:p>
      <w:pPr>
        <w:ind w:left="180" w:hanging="179"/>
        <w:spacing w:after="0"/>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information we receive from a consumer reporting agency.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We Use</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information that we collect and store relating to you is primarily used to enable us to provide our services to you in the best possible manner. In addition, we may use the information for the following purposes:</w:t>
      </w:r>
    </w:p>
    <w:p>
      <w:pPr>
        <w:spacing w:after="0" w:line="125" w:lineRule="exact"/>
        <w:rPr>
          <w:sz w:val="20"/>
          <w:szCs w:val="20"/>
          <w:color w:val="auto"/>
        </w:rPr>
      </w:pPr>
    </w:p>
    <w:p>
      <w:pPr>
        <w:ind w:left="180" w:hanging="179"/>
        <w:spacing w:after="0"/>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provide you with information relating to us;</w:t>
      </w:r>
    </w:p>
    <w:p>
      <w:pPr>
        <w:spacing w:after="0" w:line="7" w:lineRule="exact"/>
        <w:rPr>
          <w:rFonts w:ascii="Arial" w:cs="Arial" w:eastAsia="Arial" w:hAnsi="Arial"/>
          <w:sz w:val="16"/>
          <w:szCs w:val="16"/>
          <w:color w:val="auto"/>
        </w:rPr>
      </w:pPr>
    </w:p>
    <w:p>
      <w:pPr>
        <w:ind w:left="180" w:hanging="179"/>
        <w:spacing w:after="0" w:line="229"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provide third parties with statistical information about the users of our website;</w:t>
      </w:r>
    </w:p>
    <w:p>
      <w:pPr>
        <w:ind w:left="180" w:hanging="179"/>
        <w:spacing w:after="0" w:line="229"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monitor and conduct an analysis of our Website traffic and usage patterns; and</w:t>
      </w:r>
    </w:p>
    <w:p>
      <w:pPr>
        <w:ind w:left="180" w:hanging="179"/>
        <w:spacing w:after="0"/>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analyze trends.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We Disclose</w:t>
      </w:r>
    </w:p>
    <w:p>
      <w:pPr>
        <w:spacing w:after="0" w:line="166" w:lineRule="exact"/>
        <w:rPr>
          <w:sz w:val="20"/>
          <w:szCs w:val="20"/>
          <w:color w:val="auto"/>
        </w:rPr>
      </w:pPr>
    </w:p>
    <w:p>
      <w:pPr>
        <w:ind w:right="360"/>
        <w:spacing w:after="0" w:line="238" w:lineRule="auto"/>
        <w:rPr>
          <w:sz w:val="20"/>
          <w:szCs w:val="20"/>
          <w:color w:val="auto"/>
        </w:rPr>
      </w:pPr>
      <w:r>
        <w:rPr>
          <w:rFonts w:ascii="Arial" w:cs="Arial" w:eastAsia="Arial" w:hAnsi="Arial"/>
          <w:sz w:val="16"/>
          <w:szCs w:val="16"/>
          <w:color w:val="auto"/>
        </w:rPr>
        <w:t>We do not disclose any nonpublic personal information about our customers or former customers to anyone, except as permitted or required by law, or as necessary to provide services to you. We may disclose all of the information we collect, as described above, to certain nonaffiliated third parties such as attorneys, accountants, auditors, regulators and persons or entities that are assessing our compliance with industry standards. We enter into contractual agreements with all nonaffiliated third parties that prohibit such third parties from disclosing or using the information other than to carry out the purposes for which we disclose the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If you have questions or comments about our privacy practices, please call us at (877) 855-3434.</w:t>
      </w:r>
    </w:p>
    <w:p>
      <w:pPr>
        <w:spacing w:after="0" w:line="18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b w:val="1"/>
          <w:bCs w:val="1"/>
          <w:color w:val="296B38"/>
        </w:rPr>
        <w:t xml:space="preserve">Annual Report | </w:t>
      </w:r>
      <w:r>
        <w:rPr>
          <w:rFonts w:ascii="Arial" w:cs="Arial" w:eastAsia="Arial" w:hAnsi="Arial"/>
          <w:sz w:val="13"/>
          <w:szCs w:val="13"/>
          <w:color w:val="296B38"/>
        </w:rPr>
        <w:t>ArrowMark Financial Corp</w:t>
      </w:r>
      <w:r>
        <w:rPr>
          <w:rFonts w:ascii="Arial" w:cs="Arial" w:eastAsia="Arial" w:hAnsi="Arial"/>
          <w:sz w:val="13"/>
          <w:szCs w:val="13"/>
          <w:b w:val="1"/>
          <w:bCs w:val="1"/>
          <w:color w:val="296B38"/>
        </w:rPr>
        <w:t>.</w:t>
      </w:r>
      <w:r>
        <w:rPr>
          <w:sz w:val="20"/>
          <w:szCs w:val="20"/>
          <w:color w:val="auto"/>
        </w:rPr>
        <w:tab/>
      </w:r>
      <w:r>
        <w:rPr>
          <w:rFonts w:ascii="Arial" w:cs="Arial" w:eastAsia="Arial" w:hAnsi="Arial"/>
          <w:sz w:val="12"/>
          <w:szCs w:val="12"/>
          <w:color w:val="296B38"/>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374015</wp:posOffset>
            </wp:positionV>
            <wp:extent cx="7141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520065</wp:posOffset>
            </wp:positionV>
            <wp:extent cx="6774815" cy="8540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774815" cy="85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Interested Directors</w:t>
      </w:r>
      <w:r>
        <w:rPr>
          <w:rFonts w:ascii="Arial" w:cs="Arial" w:eastAsia="Arial" w:hAnsi="Arial"/>
          <w:sz w:val="27"/>
          <w:szCs w:val="27"/>
          <w:i w:val="1"/>
          <w:iCs w:val="1"/>
          <w:color w:val="auto"/>
          <w:vertAlign w:val="superscript"/>
        </w:rPr>
        <w:t>(1)</w:t>
      </w:r>
    </w:p>
    <w:p>
      <w:pPr>
        <w:ind w:right="4259"/>
        <w:spacing w:after="0" w:line="259" w:lineRule="auto"/>
        <w:rPr>
          <w:sz w:val="20"/>
          <w:szCs w:val="20"/>
          <w:color w:val="auto"/>
        </w:rPr>
      </w:pPr>
      <w:r>
        <w:rPr>
          <w:rFonts w:ascii="Arial" w:cs="Arial" w:eastAsia="Arial" w:hAnsi="Arial"/>
          <w:sz w:val="17"/>
          <w:szCs w:val="17"/>
          <w:color w:val="auto"/>
        </w:rPr>
        <w:t>Sanjai Bhonsle, Chief Executive Officer and Chairman of the Board of Directors Karen Reidy, Director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Independent Directors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John S. Emrich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Emil Henry, Jr.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Melissa Marano Thompson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Dana Staggs, President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Patrick J. Farrell,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Rick Grove, Chief Compliance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Blake Rice, Secretary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Katie Jones, Controller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ADVISOR</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ArrowMark Asset Management, LLC</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100 Fillmore Street, Suite 325</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Denver, CO 80206</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Tait, Weller &amp; Baker LLP</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50 South 16th Street, Suite 2900</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Philadelphia, PA 19102</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AND DIVIDEND PAYING AGENT AND REGISTRAR</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Computershare Trust Company, N.A.</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250 Royall Street</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Canton, MA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1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 As defined under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1418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7"/>
          <w:szCs w:val="17"/>
          <w:color w:val="auto"/>
        </w:rPr>
        <w:t>(b) 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Code of Ethics.</w:t>
      </w:r>
    </w:p>
    <w:p>
      <w:pPr>
        <w:spacing w:after="0" w:line="211" w:lineRule="exact"/>
        <w:rPr>
          <w:sz w:val="20"/>
          <w:szCs w:val="20"/>
          <w:color w:val="auto"/>
        </w:rPr>
      </w:pPr>
    </w:p>
    <w:p>
      <w:pPr>
        <w:jc w:val="both"/>
        <w:ind w:left="600" w:hanging="298"/>
        <w:spacing w:after="0" w:line="260"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(sometimes referred to herein as “Company”), as of the end of the period covered by this report, has adopted a code of ethics that applies to the registrant’s principal executive officer, principal financial officer, principal accounting officer or controller, or persons performing similar functions, regardless of whether these individuals are employed by the registrant or a third party.</w:t>
      </w:r>
    </w:p>
    <w:p>
      <w:pPr>
        <w:spacing w:after="0" w:line="169" w:lineRule="exact"/>
        <w:rPr>
          <w:sz w:val="20"/>
          <w:szCs w:val="20"/>
          <w:color w:val="auto"/>
        </w:rPr>
      </w:pPr>
    </w:p>
    <w:p>
      <w:pPr>
        <w:jc w:val="both"/>
        <w:ind w:left="600" w:hanging="298"/>
        <w:spacing w:after="0" w:line="260" w:lineRule="auto"/>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have been no amendments, during the period covered by this report, to a provision of the code of ethics that applies to the registrant’s principal executive officer, principal financial officer, principal accounting officer or controller, or persons performing similar functions, regardless of whether these individuals are employed by the registrant or a third party, and that relates to any element of the code of ethics description.</w:t>
      </w:r>
    </w:p>
    <w:p>
      <w:pPr>
        <w:spacing w:after="0" w:line="168" w:lineRule="exact"/>
        <w:rPr>
          <w:rFonts w:ascii="Times New Roman" w:cs="Times New Roman" w:eastAsia="Times New Roman" w:hAnsi="Times New Roman"/>
          <w:sz w:val="17"/>
          <w:szCs w:val="17"/>
          <w:color w:val="auto"/>
        </w:rPr>
      </w:pPr>
    </w:p>
    <w:p>
      <w:pPr>
        <w:jc w:val="both"/>
        <w:ind w:left="600" w:hanging="298"/>
        <w:spacing w:after="0" w:line="260" w:lineRule="auto"/>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has not granted any waivers, including an implicit waiver, from a provision of the code of ethics that applies to the registrant’s principal executive officer, principal financial officer, principal accounting officer or controller, or persons performing similar functions, regardless of whether these individuals are employed by the registrant or a third party, that relates to one or more of the items set forth in paragraph (b) of this item’s instructions.</w:t>
      </w:r>
    </w:p>
    <w:p>
      <w:pPr>
        <w:spacing w:after="0" w:line="168"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posts its code of ethics referenced in Item 2(a) above on its Internet website at ir.arrowmarkfinancial.com.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Audit Committee Financial Expert.</w:t>
      </w:r>
    </w:p>
    <w:p>
      <w:pPr>
        <w:spacing w:after="0" w:line="21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 of the end of the period covered by the report, the registrant’s board of directors determined that John Emrich qualifies and serves as audit committee financial expert on the audit committee and is “independent” as defined by Item 3 of Form N-CSR.</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Mr. Emrich has significant experience in the investment management and financial services industry. Mr. Emrich is a Chartered Financial Analyst and served as a financial analyst or portfolio manager for over 13 years for various investment advisory firms. Prior to such positions, he also performed business valuations an appraisal analyses at KPMG Peat Marwick, an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373380</wp:posOffset>
            </wp:positionV>
            <wp:extent cx="71418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Item 4. Principal Accountant Fees and Services.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Audit Fees</w:t>
      </w:r>
    </w:p>
    <w:p>
      <w:pPr>
        <w:spacing w:after="0" w:line="207" w:lineRule="exact"/>
        <w:rPr>
          <w:sz w:val="20"/>
          <w:szCs w:val="20"/>
          <w:color w:val="auto"/>
        </w:rPr>
      </w:pPr>
    </w:p>
    <w:p>
      <w:pPr>
        <w:jc w:val="both"/>
        <w:ind w:left="600" w:hanging="298"/>
        <w:spacing w:after="0" w:line="260"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fees billed for each of the last two fiscal years for professional services rendered by the principal accountant for the audit of the registrant's annual financial statements or services that are normally provided by the accountant in connection with statutory and regulatory filings or engagements for those fiscal years are $45,000 for 2025 and $45,000 for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Audit-Related Fees</w:t>
      </w:r>
    </w:p>
    <w:p>
      <w:pPr>
        <w:spacing w:after="0" w:line="207" w:lineRule="exact"/>
        <w:rPr>
          <w:sz w:val="20"/>
          <w:szCs w:val="20"/>
          <w:color w:val="auto"/>
        </w:rPr>
      </w:pPr>
    </w:p>
    <w:p>
      <w:pPr>
        <w:ind w:left="300" w:firstLine="2"/>
        <w:spacing w:after="0" w:line="273" w:lineRule="auto"/>
        <w:tabs>
          <w:tab w:leader="none" w:pos="54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fees billed in each of the last two fiscal years for assurance and related services by the principal accountant that are reasonably related to the performance of the audit of the registrant's financial statements and are not reported under paragraph (a) of this Item are $0 for 2025 and $0 for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Tax Fees</w:t>
      </w:r>
    </w:p>
    <w:p>
      <w:pPr>
        <w:spacing w:after="0" w:line="207" w:lineRule="exact"/>
        <w:rPr>
          <w:sz w:val="20"/>
          <w:szCs w:val="20"/>
          <w:color w:val="auto"/>
        </w:rPr>
      </w:pPr>
    </w:p>
    <w:p>
      <w:pPr>
        <w:ind w:left="300" w:right="140" w:firstLine="2"/>
        <w:spacing w:after="0" w:line="273" w:lineRule="auto"/>
        <w:tabs>
          <w:tab w:leader="none" w:pos="52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fees billed in each of the last two fiscal years for professional services rendered by the principal accountant for tax compliance, tax advice, and tax planning are $3,000 for 2025 and $3,000 for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All Other Fees</w:t>
      </w:r>
    </w:p>
    <w:p>
      <w:pPr>
        <w:spacing w:after="0" w:line="207" w:lineRule="exact"/>
        <w:rPr>
          <w:sz w:val="20"/>
          <w:szCs w:val="20"/>
          <w:color w:val="auto"/>
        </w:rPr>
      </w:pPr>
    </w:p>
    <w:p>
      <w:pPr>
        <w:ind w:left="600" w:hanging="298"/>
        <w:spacing w:after="0" w:line="273"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fees billed in each of the last two fiscal years for products and services provided by the principal accountant, other than the services reported in paragraphs (a) through (c) of this Item are $0 for 2025 and $0 for 2024.</w:t>
      </w:r>
    </w:p>
    <w:p>
      <w:pPr>
        <w:spacing w:after="0" w:line="158" w:lineRule="exact"/>
        <w:rPr>
          <w:sz w:val="20"/>
          <w:szCs w:val="20"/>
          <w:color w:val="auto"/>
        </w:rPr>
      </w:pPr>
    </w:p>
    <w:p>
      <w:pPr>
        <w:ind w:left="300"/>
        <w:spacing w:after="0"/>
        <w:tabs>
          <w:tab w:leader="none" w:pos="880" w:val="left"/>
        </w:tabs>
        <w:rPr>
          <w:sz w:val="20"/>
          <w:szCs w:val="20"/>
          <w:color w:val="auto"/>
        </w:rPr>
      </w:pPr>
      <w:r>
        <w:rPr>
          <w:rFonts w:ascii="Times New Roman" w:cs="Times New Roman" w:eastAsia="Times New Roman" w:hAnsi="Times New Roman"/>
          <w:sz w:val="17"/>
          <w:szCs w:val="17"/>
          <w:color w:val="auto"/>
        </w:rPr>
        <w:t>(e)(1)</w:t>
        <w:tab/>
        <w:t>Audit committee's pre-approval policies and procedures described in paragraph (c)(7) of Rule 2-01 of Regulation S-X.</w:t>
      </w:r>
    </w:p>
    <w:p>
      <w:pPr>
        <w:spacing w:after="0" w:line="207" w:lineRule="exact"/>
        <w:rPr>
          <w:sz w:val="20"/>
          <w:szCs w:val="20"/>
          <w:color w:val="auto"/>
        </w:rPr>
      </w:pPr>
    </w:p>
    <w:p>
      <w:pPr>
        <w:jc w:val="both"/>
        <w:ind w:left="900"/>
        <w:spacing w:after="0" w:line="249" w:lineRule="auto"/>
        <w:rPr>
          <w:sz w:val="20"/>
          <w:szCs w:val="20"/>
          <w:color w:val="auto"/>
        </w:rPr>
      </w:pPr>
      <w:r>
        <w:rPr>
          <w:rFonts w:ascii="Times New Roman" w:cs="Times New Roman" w:eastAsia="Times New Roman" w:hAnsi="Times New Roman"/>
          <w:sz w:val="17"/>
          <w:szCs w:val="17"/>
          <w:color w:val="auto"/>
        </w:rPr>
        <w:t>The audit committee (“Committee”) has adopted policies and procedures with regard to the pre-approval of services. Audit, audit-related and tax compliance services provided to the registrant on an annual basis require specific preapproval by the Committee. The Committee also must approve other non-audit services provided to the registrant and those non-audit services provided to the Investment Adviser and Fund Service Providers that relate directly to the operations and the financial reporting of the registrant. Certain of these non-audit services that the Committee believes are (a) consistent with the SEC’s auditor independence rules and (b) routine and recurring services that will not impair the independence of the independent accountants may be approved by the Committee without consideration on a specific case-by-case basis (“general pre-approval”). The term of any general pre-approval is 12 months from the date of the pre-approval unless the Committee provides for a different period. The Committee is informed of each service approved subject to general pre-approval at the next regularly scheduled board meeting. At this meeting, an analysis of such services is presented to the Committee for ratification. The Committee may delegate to the Committee Chairman, or any other Committee member, the authority to approve the provision of and fees for any specific engagement of permitted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382270</wp:posOffset>
            </wp:positionV>
            <wp:extent cx="71418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8" w:name="page59"/>
    <w:bookmarkEnd w:id="58"/>
    <w:p>
      <w:pPr>
        <w:ind w:left="900" w:hanging="599"/>
        <w:spacing w:after="0" w:line="278" w:lineRule="auto"/>
        <w:tabs>
          <w:tab w:leader="none" w:pos="880" w:val="left"/>
        </w:tabs>
        <w:rPr>
          <w:sz w:val="20"/>
          <w:szCs w:val="20"/>
          <w:color w:val="auto"/>
        </w:rPr>
      </w:pPr>
      <w:r>
        <w:rPr>
          <w:rFonts w:ascii="Times New Roman" w:cs="Times New Roman" w:eastAsia="Times New Roman" w:hAnsi="Times New Roman"/>
          <w:sz w:val="17"/>
          <w:szCs w:val="17"/>
          <w:color w:val="auto"/>
        </w:rPr>
        <w:t>(e)(2)</w:t>
        <w:tab/>
        <w:t xml:space="preserve">None of the services described in Items 4(b) through (d) were approved by the Committee pursuant to the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exception in paragraph (c)(7)(i)(C) of Rule 2-01 of Regulation S-X.</w:t>
      </w:r>
    </w:p>
    <w:p>
      <w:pPr>
        <w:spacing w:after="0" w:line="154" w:lineRule="exact"/>
        <w:rPr>
          <w:sz w:val="20"/>
          <w:szCs w:val="20"/>
          <w:color w:val="auto"/>
        </w:rPr>
      </w:pPr>
    </w:p>
    <w:p>
      <w:pPr>
        <w:ind w:left="600" w:hanging="298"/>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6" w:lineRule="exact"/>
        <w:rPr>
          <w:rFonts w:ascii="Times New Roman" w:cs="Times New Roman" w:eastAsia="Times New Roman" w:hAnsi="Times New Roman"/>
          <w:sz w:val="17"/>
          <w:szCs w:val="17"/>
          <w:color w:val="auto"/>
        </w:rPr>
      </w:pPr>
    </w:p>
    <w:p>
      <w:pPr>
        <w:jc w:val="both"/>
        <w:ind w:left="600" w:hanging="298"/>
        <w:spacing w:after="0" w:line="255"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non-audit fees billed by the registrant's accountant for services rendered to the registrant, and rendered to the registrant's investment adviser (not including any sub-adviser whose role is primarily portfolio management and is subcontracted with or overseen by another investment adviser), and any entity controlling, controlled by, or under common control with the adviser that provides ongoing services to the registrant for each of the last two fiscal years of the registrant was $0 for 2025 and $0 for 2024.</w:t>
      </w:r>
    </w:p>
    <w:p>
      <w:pPr>
        <w:spacing w:after="0" w:line="174"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6" w:lineRule="exact"/>
        <w:rPr>
          <w:rFonts w:ascii="Times New Roman" w:cs="Times New Roman" w:eastAsia="Times New Roman" w:hAnsi="Times New Roman"/>
          <w:sz w:val="17"/>
          <w:szCs w:val="17"/>
          <w:color w:val="auto"/>
        </w:rPr>
      </w:pPr>
    </w:p>
    <w:p>
      <w:pPr>
        <w:jc w:val="both"/>
        <w:ind w:left="600" w:hanging="298"/>
        <w:spacing w:after="0" w:line="260" w:lineRule="auto"/>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has not been identified by the U.S. Securities and Exchange Commission as having filed an annual report issued by a registered public accounting firm branch or office that is located in a foreign jurisdiction where the Public Company Accounting Oversight Board is unable to inspect or completely investigate because of a position taken by an authority in that jurisdiction.</w:t>
      </w:r>
    </w:p>
    <w:p>
      <w:pPr>
        <w:spacing w:after="0" w:line="168"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Audit Committee of Listed Registrants.</w:t>
      </w:r>
    </w:p>
    <w:p>
      <w:pPr>
        <w:spacing w:after="0" w:line="211" w:lineRule="exact"/>
        <w:rPr>
          <w:sz w:val="20"/>
          <w:szCs w:val="20"/>
          <w:color w:val="auto"/>
        </w:rPr>
      </w:pPr>
    </w:p>
    <w:p>
      <w:pPr>
        <w:ind w:left="600" w:hanging="298"/>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has a separately designated audit committee. The members of the audit committee are: John Emrich, Emil Henry, Jr., and Melissa Marano.</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Investments.</w:t>
      </w:r>
    </w:p>
    <w:p>
      <w:pPr>
        <w:spacing w:after="0" w:line="211" w:lineRule="exact"/>
        <w:rPr>
          <w:sz w:val="20"/>
          <w:szCs w:val="20"/>
          <w:color w:val="auto"/>
        </w:rPr>
      </w:pPr>
    </w:p>
    <w:p>
      <w:pPr>
        <w:ind w:left="380" w:hanging="379"/>
        <w:spacing w:after="0" w:line="273" w:lineRule="auto"/>
        <w:tabs>
          <w:tab w:leader="none" w:pos="3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 of Investments in securities of unaffiliated issuers as of the close of the reporting period is included as part of the report to shareholders filed under Item 1(a) of this form.</w:t>
      </w:r>
    </w:p>
    <w:p>
      <w:pPr>
        <w:spacing w:after="0" w:line="158" w:lineRule="exact"/>
        <w:rPr>
          <w:rFonts w:ascii="Times New Roman" w:cs="Times New Roman" w:eastAsia="Times New Roman" w:hAnsi="Times New Roman"/>
          <w:sz w:val="17"/>
          <w:szCs w:val="17"/>
          <w:color w:val="auto"/>
        </w:rPr>
      </w:pPr>
    </w:p>
    <w:p>
      <w:pPr>
        <w:ind w:left="380" w:hanging="379"/>
        <w:spacing w:after="0"/>
        <w:tabs>
          <w:tab w:leader="none" w:pos="3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396875</wp:posOffset>
            </wp:positionV>
            <wp:extent cx="71418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Item 7. Financial Statements and Financial Highlights for Open-End Management Investment Companies.</w:t>
      </w:r>
    </w:p>
    <w:p>
      <w:pPr>
        <w:spacing w:after="0" w:line="211" w:lineRule="exact"/>
        <w:rPr>
          <w:sz w:val="20"/>
          <w:szCs w:val="20"/>
          <w:color w:val="auto"/>
        </w:rPr>
      </w:pPr>
    </w:p>
    <w:p>
      <w:pPr>
        <w:ind w:left="380" w:hanging="379"/>
        <w:spacing w:after="0"/>
        <w:tabs>
          <w:tab w:leader="none" w:pos="3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6" w:lineRule="exact"/>
        <w:rPr>
          <w:rFonts w:ascii="Times New Roman" w:cs="Times New Roman" w:eastAsia="Times New Roman" w:hAnsi="Times New Roman"/>
          <w:sz w:val="17"/>
          <w:szCs w:val="17"/>
          <w:color w:val="auto"/>
        </w:rPr>
      </w:pPr>
    </w:p>
    <w:p>
      <w:pPr>
        <w:ind w:left="380" w:hanging="379"/>
        <w:spacing w:after="0"/>
        <w:tabs>
          <w:tab w:leader="none" w:pos="3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Changes in and Disagreements with Accountants for Open-End Management Investment Companies.</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Proxy Disclosures for Open-End Management Investment Companies.</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Remuneration Paid to Directors, Officers, and Others of Open-End Management Investment Companies.</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Statement Regarding Basis for Approval of Investment Advisory Contract.</w:t>
      </w:r>
    </w:p>
    <w:p>
      <w:pPr>
        <w:spacing w:after="0" w:line="2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On December 11, 2025 the Company’s Board of Directors (the “Board”), including a majority of those Directors who are not “interested persons” as such term is defined in the Investment Company Act of 1940 (“Independent Directors”), approved the continuation of the management agreement (the “Management Agreement”) between the Company and its investment adviser, ArrowMark Asset Management, LLC (the “Adviser” or “ArrowMark”) for an additional one-year period.</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Prior to approval of the continuation of the Management Agreement, the Directors requested from the Adviser, and received and evaluated, materials and information relating to the Adviser and the performance of its obligations under the Management Agreement. In an executive session of the Independent Directors, the Independent Directors reviewed the proposed continuation of the Management Agreement with counsel who is independent of the Adviser, who advised on the relevant legal standards.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Nature, Quality and Extent of Services</w:t>
      </w:r>
      <w:r>
        <w:rPr>
          <w:rFonts w:ascii="Times New Roman" w:cs="Times New Roman" w:eastAsia="Times New Roman" w:hAnsi="Times New Roman"/>
          <w:sz w:val="17"/>
          <w:szCs w:val="17"/>
          <w:color w:val="auto"/>
        </w:rPr>
        <w:t>. Based on the information provided by the Adviser, the Independent Directors concluded that (i) the nature, extent and quality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services provided by the Adviser are appropriate and consistent with the terms of the Management Agreement, (ii) the quality of those services has been consistent with industry norms, (iii) the Company is likely to benefit from the continued provision of those services by the Adviser, (iv) the Adviser has sufficient personnel, with the appropriate education and experience, to serve the Company effectively and has demonstrated its continuing ability to attract and retain qualified personnel, and (v) the satisfactory nature, extent, and quality of services currently provided to the Company and its stockholders is likely to continue. In addition, the Board noted the Adviser’s expertise in, and numerous relationships with investment professionals within, the banking industry in which the Company concentrates its investment activity, is likely to benefit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1418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0" w:name="page61"/>
    <w:bookmarkEnd w:id="60"/>
    <w:p>
      <w:pPr>
        <w:jc w:val="both"/>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Investment Performance</w:t>
      </w:r>
      <w:r>
        <w:rPr>
          <w:rFonts w:ascii="Times New Roman" w:cs="Times New Roman" w:eastAsia="Times New Roman" w:hAnsi="Times New Roman"/>
          <w:sz w:val="16"/>
          <w:szCs w:val="16"/>
          <w:color w:val="auto"/>
        </w:rPr>
        <w:t>. The Independent Directors reviewed and considered the Company’s performance based on market price and net asset value versus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performance of the (1) Bloomberg Barclays U.S. Aggregate Total Return Value Bond Index (the “Aggregate Total Return Value Bond Index”) and (2) the Bloomberg Barclays US High Yield 2% Issuer Capped Index (the “U.S. High Yield Index”) since March 31, 2020, the quarter end nearest to the date ArrowMark’s engagement as the Company’s manager commenced) (“inception”) through September 30, 2025, the nine months ended September 30, 2025, the 12 months ended December 31, 2024, and the three years ended September 30, 2025. They also reviewed market price performance for the period February 12, 2020 to September 30, 2025.</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Independent Directors noted that the indices were selected by the Adviser for comparison purposes because the indices’ constituents had similar characteristics to those securities in which the Company may invest but acknowledged that no index was likely to correspond to the Company’s holdings in light of the Company’s unique investment strategy.</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Independent Directors noted that: (a) based on net asset value, the Company outperformed the Aggregate Total Return Value Bond Index and the U.S. High Yield Index for the nine month period ended September 30, 2025, the three-year period ended September 30, 2025 and since inception through September 30, 2025; and (b) based on market price, the Company outperformed the Aggregate Total Return Value Bond Index and the U.S. High Yield Index for the nine month period ending September 30, 2025, the one-year period ended September 30, 2025, the three year period ending September 30, 2025, and the period since inception ending September 30,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Independent Directors considered the overall investment performance of the Adviser and the Company since the Adviser was appointed the Company’s investment adviser in February 2020. The Independent Directors reviewed and considered the Company’s performance relative to a comparative peer group (the “Peer Group”), consisting of both business development companies (“BDCs”) and registered closed-end investment companies (“CEICs”) that operate in a similar manner as the Company noting, however, the limited usefulness of such information in light of the Company’s unique investment strategy and industry focus.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Independent Directors also noted their review and evaluation of the Company’s investment performance on an on-going basis throughout the year. The Independent Directors considered the consistency of performance results and the short-term and long-term performance of the Company and recognized that such performance was affected by, among other things, issuer prepayment and calls and the time lag required for the initial deployment and subsequent redeployments of assets. The Board concluded that the performance of the Company and the Adviser represented satisfactory performance in light of the Company’s investment objective and strategy.</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Cost of Services</w:t>
      </w:r>
      <w:r>
        <w:rPr>
          <w:rFonts w:ascii="Times New Roman" w:cs="Times New Roman" w:eastAsia="Times New Roman" w:hAnsi="Times New Roman"/>
          <w:sz w:val="17"/>
          <w:szCs w:val="17"/>
          <w:color w:val="auto"/>
        </w:rPr>
        <w:t>. The Independent Directors considered the costs of the services provided by the Adviser, the compensation and benefits received by the Adviser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providing services to the Company, as well as the Adviser’s profitability. The Independent Directors were provided with and had reviewed the certain unaudited financial information of the Adviser for the six months ended June 30, 2025 and the year ended December 31, 2024. The Independent Directors concluded that the Adviser’s fees and profits derived from its relationship with the Company in light of the Company’s expenses were reasonable in relation to the nature and quality of the services provided, taking into account the fees charged by other investment advisers of CEICs and BDCs in the Peer Group. The Independent Directors noted that the Company’s management fee was equal to median of the peer group, and below the median management fees charged by the Company’s peer group when taking into consideration performance fees charged by certain BDCs in the peer group. The Board noted that for the fiscal year ended December 31, 2024, the Company’s expense ratio was lower than the median and average expense ratios of the peer group. The Independent Directors concluded that the overall expense ratio was reasonable, taking into account the size of the Company, the quality of services provided by the Adviser, and the investment performance of the Company. On the basis of these considerations, together, with the other information they considered, the Independent Directors determined that the advisory fee is reasonable in light of the services provided under the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377825</wp:posOffset>
            </wp:positionV>
            <wp:extent cx="71418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1" w:name="page62"/>
    <w:bookmarkEnd w:id="61"/>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Economies of Scale</w:t>
      </w:r>
      <w:r>
        <w:rPr>
          <w:rFonts w:ascii="Times New Roman" w:cs="Times New Roman" w:eastAsia="Times New Roman" w:hAnsi="Times New Roman"/>
          <w:sz w:val="16"/>
          <w:szCs w:val="16"/>
          <w:color w:val="auto"/>
        </w:rPr>
        <w:t>. The Independent Directors discussed and considered the extent to which economies of scale would be realized as the Company grows,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whether the advisory fee levels currently reflect economies of scale for the benefit of stockholders. The Independent Directors determined that economies of scale could be achieved at higher asset levels for the Company to the benefit of Company stockholders as fixed expenses are spread over a larger asset base. The Independent Directors noted that the while the Company has an effective shelf registration statement in place, opportunities for asset growth by CEICs can be limited.</w:t>
      </w:r>
    </w:p>
    <w:p>
      <w:pPr>
        <w:spacing w:after="0" w:line="15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 Independent Directors also noted the high level of diligence the Independent Directors exercised throughout the year in evaluating the Adviser, and the extensive information provided with respect to the Adviser’s performance and the Company’s expenses on a quarterly basis. The Independent Directors considered whether any events have occurred that would constitute a reason for the Independent Directors not to renew the Management Agreement and determined that there were none.</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After the executive session of the Independent Directors, the Independent Directors reviewed with the Board as a whole each of the determinations made by the Independent Directors during the executive session. The Board concluded that the investment advisory fee rate under the Management Agreement is reasonable in relation to the services provided and that continuation of the Management Agreement is in the best interests of the stockholders of the Company. The Directors also concluded that the investment advisory fees are at acceptable levels in light of the quality of services provided to the Company. On these bases, the Directors concluded that the investment advisory fees for the Company under the Management Agreement are reasonable. In arriving at their decision, the Directors did not identify any single matter as controlling, but made their determination in light of all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1418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Item 12. Disclosure of Proxy Voting Policies and Procedures for Closed-End Management Investment Companies.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copy of the Company’s Proxy Voting Policies and Procedures is attached herewith.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ARROWMARK FINANCIAL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VOTING PROCEDURES</w:t>
      </w:r>
    </w:p>
    <w:p>
      <w:pPr>
        <w:spacing w:after="0" w:line="186" w:lineRule="exact"/>
        <w:rPr>
          <w:sz w:val="20"/>
          <w:szCs w:val="20"/>
          <w:color w:val="auto"/>
        </w:rPr>
      </w:pPr>
    </w:p>
    <w:p>
      <w:pPr>
        <w:ind w:left="600" w:hanging="599"/>
        <w:spacing w:after="0"/>
        <w:tabs>
          <w:tab w:leader="none" w:pos="60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211" w:lineRule="exact"/>
        <w:rPr>
          <w:sz w:val="20"/>
          <w:szCs w:val="20"/>
          <w:color w:val="auto"/>
        </w:rPr>
      </w:pPr>
    </w:p>
    <w:p>
      <w:pPr>
        <w:jc w:val="both"/>
        <w:ind w:firstLine="7"/>
        <w:spacing w:after="0" w:line="270" w:lineRule="auto"/>
        <w:rPr>
          <w:sz w:val="20"/>
          <w:szCs w:val="20"/>
          <w:color w:val="auto"/>
        </w:rPr>
      </w:pPr>
      <w:r>
        <w:rPr>
          <w:rFonts w:ascii="Times New Roman" w:cs="Times New Roman" w:eastAsia="Times New Roman" w:hAnsi="Times New Roman"/>
          <w:sz w:val="16"/>
          <w:szCs w:val="16"/>
          <w:color w:val="auto"/>
        </w:rPr>
        <w:t>The board of directors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of ArrowMark Financial Corp.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including a majority of the directors that are not “interested persons” of the Company under Section 2(a)(19) of the Investment Company Act of 1940, as amended, have adopted these proxy voting policies for the Company in substantially the same form as they apply to all clients of ArrowMark Asset Management LLC (the “</w:t>
      </w:r>
      <w:r>
        <w:rPr>
          <w:rFonts w:ascii="Times New Roman" w:cs="Times New Roman" w:eastAsia="Times New Roman" w:hAnsi="Times New Roman"/>
          <w:sz w:val="16"/>
          <w:szCs w:val="16"/>
          <w:u w:val="single" w:color="auto"/>
          <w:color w:val="auto"/>
        </w:rPr>
        <w:t>Advisor</w:t>
      </w:r>
      <w:r>
        <w:rPr>
          <w:rFonts w:ascii="Times New Roman" w:cs="Times New Roman" w:eastAsia="Times New Roman" w:hAnsi="Times New Roman"/>
          <w:sz w:val="16"/>
          <w:szCs w:val="16"/>
          <w:color w:val="auto"/>
        </w:rPr>
        <w:t>”). Subject to the Board’s oversight, the implementation of the Company’s proxy voting policy has been delegated to the Advisor. It is the policy of the Advisor to consider and vote each proxy proposal in the best interests of clients and account beneficiaries with respect to securities held in the accounts of all clients for whom the Advisor provides discretionary investment management services and has authority to vote their proxies. The Advisor will make every effort to consult with the portfolio manager and/or analyst covering the security subject to each proxy.</w:t>
      </w:r>
    </w:p>
    <w:p>
      <w:pPr>
        <w:spacing w:after="0" w:line="166" w:lineRule="exact"/>
        <w:rPr>
          <w:sz w:val="20"/>
          <w:szCs w:val="20"/>
          <w:color w:val="auto"/>
        </w:rPr>
      </w:pPr>
    </w:p>
    <w:p>
      <w:pPr>
        <w:jc w:val="both"/>
        <w:ind w:firstLine="4"/>
        <w:spacing w:after="0" w:line="273" w:lineRule="auto"/>
        <w:rPr>
          <w:sz w:val="20"/>
          <w:szCs w:val="20"/>
          <w:color w:val="auto"/>
        </w:rPr>
      </w:pPr>
      <w:r>
        <w:rPr>
          <w:rFonts w:ascii="Times New Roman" w:cs="Times New Roman" w:eastAsia="Times New Roman" w:hAnsi="Times New Roman"/>
          <w:sz w:val="17"/>
          <w:szCs w:val="17"/>
          <w:color w:val="auto"/>
        </w:rPr>
        <w:t>All proxy voting decisions made by the Advisor on behalf of the Company will be determined by the Advisor’s Investment Committee and executed by the Company’s Chief Executive Officer (the “</w:t>
      </w:r>
      <w:r>
        <w:rPr>
          <w:rFonts w:ascii="Times New Roman" w:cs="Times New Roman" w:eastAsia="Times New Roman" w:hAnsi="Times New Roman"/>
          <w:sz w:val="17"/>
          <w:szCs w:val="17"/>
          <w:u w:val="single" w:color="auto"/>
          <w:color w:val="auto"/>
        </w:rPr>
        <w:t>CEO</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jc w:val="both"/>
        <w:ind w:firstLine="6"/>
        <w:spacing w:after="0" w:line="262" w:lineRule="auto"/>
        <w:rPr>
          <w:sz w:val="20"/>
          <w:szCs w:val="20"/>
          <w:color w:val="auto"/>
        </w:rPr>
      </w:pPr>
      <w:r>
        <w:rPr>
          <w:rFonts w:ascii="Times New Roman" w:cs="Times New Roman" w:eastAsia="Times New Roman" w:hAnsi="Times New Roman"/>
          <w:sz w:val="17"/>
          <w:szCs w:val="17"/>
          <w:color w:val="auto"/>
        </w:rPr>
        <w:t xml:space="preserve">The Advisor, on behalf of the Company, will vote for routine matters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the ratification of auditors, etc.) in accordance with the recommendation of the Advisor’s Investment Committee unless the Advisor determines it has a conflict of interest with respect to such vote or the Advisor determines that there are other reasons not to vote in accordance with the recommendation of the Advisor’s Investment Committee.</w:t>
      </w:r>
    </w:p>
    <w:p>
      <w:pPr>
        <w:spacing w:after="0" w:line="164" w:lineRule="exact"/>
        <w:rPr>
          <w:sz w:val="20"/>
          <w:szCs w:val="20"/>
          <w:color w:val="auto"/>
        </w:rPr>
      </w:pPr>
    </w:p>
    <w:p>
      <w:pPr>
        <w:jc w:val="both"/>
        <w:ind w:firstLine="6"/>
        <w:spacing w:after="0" w:line="262" w:lineRule="auto"/>
        <w:rPr>
          <w:sz w:val="20"/>
          <w:szCs w:val="20"/>
          <w:color w:val="auto"/>
        </w:rPr>
      </w:pPr>
      <w:r>
        <w:rPr>
          <w:rFonts w:ascii="Times New Roman" w:cs="Times New Roman" w:eastAsia="Times New Roman" w:hAnsi="Times New Roman"/>
          <w:sz w:val="17"/>
          <w:szCs w:val="17"/>
          <w:color w:val="auto"/>
        </w:rPr>
        <w:t xml:space="preserve">The Advisor, on behalf of the Company, will vote or abstain from voting if deemed appropriate, on non-routine matters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the election of directors, amendments to governing instruments, compensation proposals, corporate governance proposals, shareholder proposals, etc.) on a case-by-case basis in a manner it believes to be in the best economic interests of the Company’s stockholders.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Although the Advisor will generally vote against proposals that may have a negative impact, the Advisor may vote for such a proposal if there is a compelling long-term reason to do so. The Advisor may determine not to vote a particular proxy if the costs and burdens exceed the benefits of voting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when securities are subject to loan or to share blocking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373380</wp:posOffset>
            </wp:positionV>
            <wp:extent cx="71418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color w:val="auto"/>
        </w:rPr>
        <w:t>The CEO is responsible for monitoring the Advisor’s actions under this proxy voting policy and for ensuring that:</w:t>
      </w:r>
    </w:p>
    <w:p>
      <w:pPr>
        <w:spacing w:after="0" w:line="207" w:lineRule="exact"/>
        <w:rPr>
          <w:sz w:val="20"/>
          <w:szCs w:val="20"/>
          <w:color w:val="auto"/>
        </w:rPr>
      </w:pPr>
    </w:p>
    <w:p>
      <w:pPr>
        <w:ind w:left="600" w:hanging="298"/>
        <w:spacing w:after="0"/>
        <w:tabs>
          <w:tab w:leader="none" w:pos="6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Proxies are received and forwarded to the appropriate decision makers; and</w:t>
      </w:r>
    </w:p>
    <w:p>
      <w:pPr>
        <w:spacing w:after="0" w:line="206"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Proxies are voted in a timely manner upon receipt of voting instructions.</w:t>
      </w:r>
    </w:p>
    <w:p>
      <w:pPr>
        <w:spacing w:after="0" w:line="20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Advisor, on behalf of the Company, is not responsible for voting proxies that it or the Company does not receive, but will make reasonable efforts to obtain missing proxies.</w:t>
      </w:r>
    </w:p>
    <w:p>
      <w:pPr>
        <w:spacing w:after="0" w:line="158" w:lineRule="exact"/>
        <w:rPr>
          <w:sz w:val="20"/>
          <w:szCs w:val="20"/>
          <w:color w:val="auto"/>
        </w:rPr>
      </w:pPr>
    </w:p>
    <w:p>
      <w:pPr>
        <w:ind w:firstLine="2"/>
        <w:spacing w:after="0" w:line="273" w:lineRule="auto"/>
        <w:rPr>
          <w:sz w:val="20"/>
          <w:szCs w:val="20"/>
          <w:color w:val="auto"/>
        </w:rPr>
      </w:pPr>
      <w:r>
        <w:rPr>
          <w:rFonts w:ascii="Times New Roman" w:cs="Times New Roman" w:eastAsia="Times New Roman" w:hAnsi="Times New Roman"/>
          <w:sz w:val="17"/>
          <w:szCs w:val="17"/>
          <w:color w:val="auto"/>
        </w:rPr>
        <w:t>The CEO is responsible for implementing and executing procedures designed to identify and monitor potential conflicts of interest that could affect the proxy voting process including:</w:t>
      </w:r>
    </w:p>
    <w:p>
      <w:pPr>
        <w:spacing w:after="0" w:line="158" w:lineRule="exact"/>
        <w:rPr>
          <w:sz w:val="20"/>
          <w:szCs w:val="20"/>
          <w:color w:val="auto"/>
        </w:rPr>
      </w:pPr>
    </w:p>
    <w:p>
      <w:pPr>
        <w:ind w:left="600" w:hanging="298"/>
        <w:spacing w:after="0"/>
        <w:tabs>
          <w:tab w:leader="none" w:pos="60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relationships between the Advisor, its affiliates and clients on one hand and the Company on the other;</w:t>
      </w:r>
    </w:p>
    <w:p>
      <w:pPr>
        <w:spacing w:after="0" w:line="206" w:lineRule="exact"/>
        <w:rPr>
          <w:rFonts w:ascii="Times New Roman" w:cs="Times New Roman" w:eastAsia="Times New Roman" w:hAnsi="Times New Roman"/>
          <w:sz w:val="17"/>
          <w:szCs w:val="17"/>
          <w:color w:val="auto"/>
        </w:rPr>
      </w:pPr>
    </w:p>
    <w:p>
      <w:pPr>
        <w:ind w:left="580" w:hanging="278"/>
        <w:spacing w:after="0"/>
        <w:tabs>
          <w:tab w:leader="none" w:pos="58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potential material business reiationships of the Advisor, its affiliates and clients on one hand and the Company on the other; and</w:t>
      </w:r>
    </w:p>
    <w:p>
      <w:pPr>
        <w:spacing w:after="0" w:line="206" w:lineRule="exact"/>
        <w:rPr>
          <w:rFonts w:ascii="Times New Roman" w:cs="Times New Roman" w:eastAsia="Times New Roman" w:hAnsi="Times New Roman"/>
          <w:sz w:val="17"/>
          <w:szCs w:val="17"/>
          <w:color w:val="auto"/>
        </w:rPr>
      </w:pPr>
    </w:p>
    <w:p>
      <w:pPr>
        <w:ind w:left="600" w:hanging="310"/>
        <w:spacing w:after="0" w:line="273" w:lineRule="auto"/>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personal and family relationships of the Advisor, members of the Advisory Committee, its officers, members and directors on one hand and the Company on the other.</w:t>
      </w:r>
    </w:p>
    <w:p>
      <w:pPr>
        <w:spacing w:after="0" w:line="158" w:lineRule="exact"/>
        <w:rPr>
          <w:sz w:val="20"/>
          <w:szCs w:val="20"/>
          <w:color w:val="auto"/>
        </w:rPr>
      </w:pPr>
    </w:p>
    <w:p>
      <w:pPr>
        <w:jc w:val="both"/>
        <w:ind w:firstLine="6"/>
        <w:spacing w:after="0" w:line="253" w:lineRule="auto"/>
        <w:rPr>
          <w:sz w:val="20"/>
          <w:szCs w:val="20"/>
          <w:color w:val="auto"/>
        </w:rPr>
      </w:pPr>
      <w:r>
        <w:rPr>
          <w:rFonts w:ascii="Times New Roman" w:cs="Times New Roman" w:eastAsia="Times New Roman" w:hAnsi="Times New Roman"/>
          <w:sz w:val="17"/>
          <w:szCs w:val="17"/>
          <w:color w:val="auto"/>
        </w:rPr>
        <w:t>The Advisor’s policies and procedures have been designed to identify and properly disclose, mitigate, and/or eliminate applicable conflicts of interest. Conflicts of interest that involve the Advisor, its affiliates and its officers, directors, members or employees on one hand, and the Company on the other, will generally be fully disclosed and/or resolved in a way that favors the interests of the Company over the interests of the Advisor, its affiliates and its officers, directors, members or employees. If an employee of the Advisor believes that a conflict of interest has not been identified or appropriately addressed, that employee should promptly bring the issue to the attention of the Advisor’s Chief Compliance Officer.</w:t>
      </w:r>
    </w:p>
    <w:p>
      <w:pPr>
        <w:spacing w:after="0" w:line="176" w:lineRule="exact"/>
        <w:rPr>
          <w:sz w:val="20"/>
          <w:szCs w:val="20"/>
          <w:color w:val="auto"/>
        </w:rPr>
      </w:pPr>
    </w:p>
    <w:p>
      <w:pPr>
        <w:jc w:val="both"/>
        <w:ind w:firstLine="2"/>
        <w:spacing w:after="0" w:line="260" w:lineRule="auto"/>
        <w:rPr>
          <w:sz w:val="20"/>
          <w:szCs w:val="20"/>
          <w:color w:val="auto"/>
        </w:rPr>
      </w:pPr>
      <w:r>
        <w:rPr>
          <w:rFonts w:ascii="Times New Roman" w:cs="Times New Roman" w:eastAsia="Times New Roman" w:hAnsi="Times New Roman"/>
          <w:sz w:val="17"/>
          <w:szCs w:val="17"/>
          <w:color w:val="auto"/>
        </w:rPr>
        <w:t>Conflicts based on a business relationship with the Advisor or any affiliate will be considered only to the extent that the Advisor has actual knowledge of such relationships. If the Advisor determines that voting a particular proxy would create a material conflict of interest between the Advisor’s interests and the interests of clients, the Advisor may:</w:t>
      </w:r>
    </w:p>
    <w:p>
      <w:pPr>
        <w:spacing w:after="0" w:line="169" w:lineRule="exact"/>
        <w:rPr>
          <w:sz w:val="20"/>
          <w:szCs w:val="20"/>
          <w:color w:val="auto"/>
        </w:rPr>
      </w:pPr>
    </w:p>
    <w:p>
      <w:pPr>
        <w:ind w:left="600" w:hanging="298"/>
        <w:spacing w:after="0"/>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the conflict to the client and obtain the client’s consent before voting the proxy;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396875</wp:posOffset>
            </wp:positionV>
            <wp:extent cx="71418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4" w:name="page65"/>
    <w:bookmarkEnd w:id="64"/>
    <w:p>
      <w:pPr>
        <w:ind w:left="600" w:hanging="298"/>
        <w:spacing w:after="0"/>
        <w:tabs>
          <w:tab w:leader="none" w:pos="6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 ethical wall or other informational barrier between the persons involved in the conflict and the persons making the voting decisions.</w:t>
      </w:r>
    </w:p>
    <w:p>
      <w:pPr>
        <w:spacing w:after="0" w:line="20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6"/>
          <w:szCs w:val="16"/>
          <w:b w:val="1"/>
          <w:bCs w:val="1"/>
          <w:color w:val="auto"/>
        </w:rPr>
        <w:t>Reporting and Disclosure</w:t>
      </w:r>
    </w:p>
    <w:p>
      <w:pPr>
        <w:spacing w:after="0" w:line="211" w:lineRule="exact"/>
        <w:rPr>
          <w:sz w:val="20"/>
          <w:szCs w:val="20"/>
          <w:color w:val="auto"/>
        </w:rPr>
      </w:pPr>
    </w:p>
    <w:p>
      <w:pPr>
        <w:jc w:val="both"/>
        <w:ind w:firstLine="7"/>
        <w:spacing w:after="0" w:line="260" w:lineRule="auto"/>
        <w:rPr>
          <w:sz w:val="20"/>
          <w:szCs w:val="20"/>
          <w:color w:val="auto"/>
        </w:rPr>
      </w:pPr>
      <w:r>
        <w:rPr>
          <w:rFonts w:ascii="Times New Roman" w:cs="Times New Roman" w:eastAsia="Times New Roman" w:hAnsi="Times New Roman"/>
          <w:sz w:val="17"/>
          <w:szCs w:val="17"/>
          <w:color w:val="auto"/>
        </w:rPr>
        <w:t>Once each year, the Advisor on behalf of the Company, or its designee, shall provide the entire voting record of the Company for the past year electronically in accordance with the posting of such proxy voting records by the Company on Form N-PX. The Advisor may delegate the preparation and filing of Form N-PX to the Company’s administrator or other service provider.</w:t>
      </w:r>
    </w:p>
    <w:p>
      <w:pPr>
        <w:spacing w:after="0" w:line="169" w:lineRule="exact"/>
        <w:rPr>
          <w:sz w:val="20"/>
          <w:szCs w:val="20"/>
          <w:color w:val="auto"/>
        </w:rPr>
      </w:pPr>
    </w:p>
    <w:p>
      <w:pPr>
        <w:jc w:val="both"/>
        <w:ind w:firstLine="7"/>
        <w:spacing w:after="0" w:line="260" w:lineRule="auto"/>
        <w:rPr>
          <w:sz w:val="20"/>
          <w:szCs w:val="20"/>
          <w:color w:val="auto"/>
        </w:rPr>
      </w:pPr>
      <w:r>
        <w:rPr>
          <w:rFonts w:ascii="Times New Roman" w:cs="Times New Roman" w:eastAsia="Times New Roman" w:hAnsi="Times New Roman"/>
          <w:sz w:val="17"/>
          <w:szCs w:val="17"/>
          <w:color w:val="auto"/>
        </w:rPr>
        <w:t>The Advisor shall disclose in its Form ADV how other clients can obtain information on how their securities were voted. The Advisor shall also describe this proxy voting policy and procedures within the Form ADV, along with a disclosure that a client shall be provided a copy upon request. A description of the proxy voting policy and procedures is also available upon request on the SEC website.</w:t>
      </w:r>
    </w:p>
    <w:p>
      <w:pPr>
        <w:spacing w:after="0" w:line="165" w:lineRule="exact"/>
        <w:rPr>
          <w:sz w:val="20"/>
          <w:szCs w:val="20"/>
          <w:color w:val="auto"/>
        </w:rPr>
      </w:pPr>
    </w:p>
    <w:p>
      <w:pPr>
        <w:ind w:left="600" w:hanging="599"/>
        <w:spacing w:after="0"/>
        <w:tabs>
          <w:tab w:leader="none" w:pos="60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Recordkeeping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shall retain records relating to the voting of proxies, including:</w:t>
      </w:r>
    </w:p>
    <w:p>
      <w:pPr>
        <w:spacing w:after="0" w:line="207" w:lineRule="exact"/>
        <w:rPr>
          <w:sz w:val="20"/>
          <w:szCs w:val="20"/>
          <w:color w:val="auto"/>
        </w:rPr>
      </w:pPr>
    </w:p>
    <w:p>
      <w:pPr>
        <w:ind w:left="280" w:hanging="267"/>
        <w:spacing w:after="0"/>
        <w:tabs>
          <w:tab w:leader="none" w:pos="2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these proxy voting policy and procedures.</w:t>
      </w:r>
    </w:p>
    <w:p>
      <w:pPr>
        <w:spacing w:after="0" w:line="207" w:lineRule="exact"/>
        <w:rPr>
          <w:sz w:val="20"/>
          <w:szCs w:val="20"/>
          <w:color w:val="auto"/>
        </w:rPr>
      </w:pPr>
    </w:p>
    <w:p>
      <w:pPr>
        <w:ind w:left="280" w:hanging="279"/>
        <w:spacing w:after="0"/>
        <w:tabs>
          <w:tab w:leader="none" w:pos="2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each proxy statement received by the Company regarding its portfolio securities.</w:t>
      </w:r>
    </w:p>
    <w:p>
      <w:pPr>
        <w:spacing w:after="0" w:line="20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A record of each vote cast by the Advisor on behalf of the Company.</w:t>
      </w:r>
    </w:p>
    <w:p>
      <w:pPr>
        <w:spacing w:after="0" w:line="20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A copy of each written request by the Company on how the Advisor voted proxies on behalf of its account, and a copy of any written response by the Advisor.</w:t>
      </w:r>
    </w:p>
    <w:p>
      <w:pPr>
        <w:spacing w:after="0" w:line="207" w:lineRule="exact"/>
        <w:rPr>
          <w:sz w:val="20"/>
          <w:szCs w:val="20"/>
          <w:color w:val="auto"/>
        </w:rPr>
      </w:pPr>
    </w:p>
    <w:p>
      <w:pPr>
        <w:ind w:right="20" w:firstLine="5"/>
        <w:spacing w:after="0" w:line="273" w:lineRule="auto"/>
        <w:tabs>
          <w:tab w:leader="none" w:pos="33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any document prepared by the Advisor that was material to making a decision regarding how to vote proxies or that memorializes the basis for the decision.</w:t>
      </w:r>
    </w:p>
    <w:p>
      <w:pPr>
        <w:spacing w:after="0" w:line="158" w:lineRule="exact"/>
        <w:rPr>
          <w:sz w:val="20"/>
          <w:szCs w:val="20"/>
          <w:color w:val="auto"/>
        </w:rPr>
      </w:pPr>
    </w:p>
    <w:p>
      <w:pPr>
        <w:ind w:firstLine="4"/>
        <w:spacing w:after="0" w:line="273" w:lineRule="auto"/>
        <w:rPr>
          <w:sz w:val="20"/>
          <w:szCs w:val="20"/>
          <w:color w:val="auto"/>
        </w:rPr>
      </w:pPr>
      <w:r>
        <w:rPr>
          <w:rFonts w:ascii="Times New Roman" w:cs="Times New Roman" w:eastAsia="Times New Roman" w:hAnsi="Times New Roman"/>
          <w:sz w:val="17"/>
          <w:szCs w:val="17"/>
          <w:color w:val="auto"/>
        </w:rPr>
        <w:t>These records shall be retained for five (5) years from the end of the fiscal year during which the last entry was made on such record and during the first two (2) years onsite at the Company’s principal place of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Adopted September 10,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399415</wp:posOffset>
            </wp:positionV>
            <wp:extent cx="71418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color w:val="auto"/>
        </w:rPr>
        <w:t>Item 13. Portfolio Managers of Closed-End Management Investment Companies.</w:t>
      </w:r>
    </w:p>
    <w:p>
      <w:pPr>
        <w:spacing w:after="0" w:line="207" w:lineRule="exact"/>
        <w:rPr>
          <w:sz w:val="20"/>
          <w:szCs w:val="20"/>
          <w:color w:val="auto"/>
        </w:rPr>
      </w:pPr>
    </w:p>
    <w:p>
      <w:pPr>
        <w:ind w:left="600" w:hanging="599"/>
        <w:spacing w:after="0" w:line="278" w:lineRule="auto"/>
        <w:tabs>
          <w:tab w:leader="none" w:pos="580" w:val="left"/>
        </w:tabs>
        <w:rPr>
          <w:sz w:val="20"/>
          <w:szCs w:val="20"/>
          <w:color w:val="auto"/>
        </w:rPr>
      </w:pPr>
      <w:r>
        <w:rPr>
          <w:rFonts w:ascii="Times New Roman" w:cs="Times New Roman" w:eastAsia="Times New Roman" w:hAnsi="Times New Roman"/>
          <w:sz w:val="17"/>
          <w:szCs w:val="17"/>
          <w:b w:val="1"/>
          <w:bCs w:val="1"/>
          <w:color w:val="auto"/>
        </w:rPr>
        <w:t>(a)(1)</w:t>
        <w:tab/>
        <w:t>Identification of Portfolio Manager(s) or Management Team Members and Description of Role of Portfolio Manager(s) or Management Team Members</w:t>
      </w:r>
    </w:p>
    <w:p>
      <w:pPr>
        <w:spacing w:after="0" w:line="154" w:lineRule="exact"/>
        <w:rPr>
          <w:sz w:val="20"/>
          <w:szCs w:val="20"/>
          <w:color w:val="auto"/>
        </w:rPr>
      </w:pPr>
    </w:p>
    <w:p>
      <w:pPr>
        <w:jc w:val="both"/>
        <w:ind w:left="600" w:firstLine="603"/>
        <w:spacing w:after="0" w:line="260" w:lineRule="auto"/>
        <w:rPr>
          <w:sz w:val="20"/>
          <w:szCs w:val="20"/>
          <w:color w:val="auto"/>
        </w:rPr>
      </w:pPr>
      <w:r>
        <w:rPr>
          <w:rFonts w:ascii="Times New Roman" w:cs="Times New Roman" w:eastAsia="Times New Roman" w:hAnsi="Times New Roman"/>
          <w:sz w:val="17"/>
          <w:szCs w:val="17"/>
          <w:color w:val="auto"/>
        </w:rPr>
        <w:t>As of the filing date of this report, the registrant is managed by a team of investment professionals comprised of Sanjai Bhonsle, Chief Executive Officer, Karen Reidy, Partner, and Kaelyn Abrell, Partner. Sanjai Bhonsle is one of the Fund’s portfolio managers and is responsible for the day-to-day management of the Fund’s portfolio and the selection of its investments.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201"/>
        </w:trPr>
        <w:tc>
          <w:tcPr>
            <w:tcW w:w="2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Position(s) Held with</w:t>
            </w:r>
          </w:p>
        </w:tc>
        <w:tc>
          <w:tcPr>
            <w:tcW w:w="4540" w:type="dxa"/>
            <w:vAlign w:val="bottom"/>
            <w:gridSpan w:val="2"/>
          </w:tcPr>
          <w:p>
            <w:pPr>
              <w:ind w:left="740"/>
              <w:spacing w:after="0"/>
              <w:rPr>
                <w:sz w:val="20"/>
                <w:szCs w:val="20"/>
                <w:color w:val="auto"/>
              </w:rPr>
            </w:pPr>
            <w:r>
              <w:rPr>
                <w:rFonts w:ascii="Times New Roman" w:cs="Times New Roman" w:eastAsia="Times New Roman" w:hAnsi="Times New Roman"/>
                <w:sz w:val="17"/>
                <w:szCs w:val="17"/>
                <w:b w:val="1"/>
                <w:bCs w:val="1"/>
                <w:color w:val="auto"/>
              </w:rPr>
              <w:t>Principal Occupations</w:t>
            </w:r>
          </w:p>
        </w:tc>
      </w:tr>
      <w:tr>
        <w:trPr>
          <w:trHeight w:val="221"/>
        </w:trPr>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4540" w:type="dxa"/>
            <w:vAlign w:val="bottom"/>
            <w:gridSpan w:val="2"/>
          </w:tcPr>
          <w:p>
            <w:pPr>
              <w:ind w:left="740"/>
              <w:spacing w:after="0"/>
              <w:rPr>
                <w:sz w:val="20"/>
                <w:szCs w:val="20"/>
                <w:color w:val="auto"/>
              </w:rPr>
            </w:pPr>
            <w:r>
              <w:rPr>
                <w:rFonts w:ascii="Times New Roman" w:cs="Times New Roman" w:eastAsia="Times New Roman" w:hAnsi="Times New Roman"/>
                <w:sz w:val="17"/>
                <w:szCs w:val="17"/>
                <w:b w:val="1"/>
                <w:bCs w:val="1"/>
                <w:color w:val="auto"/>
              </w:rPr>
              <w:t>Last 5 Years</w:t>
            </w:r>
          </w:p>
        </w:tc>
      </w:tr>
      <w:tr>
        <w:trPr>
          <w:trHeight w:val="177"/>
        </w:trPr>
        <w:tc>
          <w:tcPr>
            <w:tcW w:w="212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Sanjai Bhonsle</w:t>
            </w:r>
          </w:p>
        </w:tc>
        <w:tc>
          <w:tcPr>
            <w:tcW w:w="860" w:type="dxa"/>
            <w:vAlign w:val="bottom"/>
            <w:tcBorders>
              <w:top w:val="single" w:sz="8" w:color="CCEEFF"/>
            </w:tcBorders>
            <w:shd w:val="clear" w:color="auto" w:fill="CCEEFF"/>
          </w:tcPr>
          <w:p>
            <w:pPr>
              <w:spacing w:after="0"/>
              <w:rPr>
                <w:sz w:val="15"/>
                <w:szCs w:val="15"/>
                <w:color w:val="auto"/>
              </w:rPr>
            </w:pPr>
          </w:p>
        </w:tc>
        <w:tc>
          <w:tcPr>
            <w:tcW w:w="306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Chairman and Chief Executive Officer</w:t>
            </w:r>
          </w:p>
        </w:tc>
        <w:tc>
          <w:tcPr>
            <w:tcW w:w="74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Partner and Portfolio Manager of ArrowMark Partners,</w:t>
            </w:r>
          </w:p>
        </w:tc>
      </w:tr>
      <w:tr>
        <w:trPr>
          <w:trHeight w:val="218"/>
        </w:trPr>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2013 to Present</w:t>
            </w:r>
          </w:p>
        </w:tc>
      </w:tr>
      <w:tr>
        <w:trPr>
          <w:trHeight w:val="201"/>
        </w:trPr>
        <w:tc>
          <w:tcPr>
            <w:tcW w:w="2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185"/>
        </w:trPr>
        <w:tc>
          <w:tcPr>
            <w:tcW w:w="298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Karen Reidy</w:t>
            </w:r>
          </w:p>
        </w:tc>
        <w:tc>
          <w:tcPr>
            <w:tcW w:w="30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Class I Director</w:t>
            </w:r>
          </w:p>
        </w:tc>
        <w:tc>
          <w:tcPr>
            <w:tcW w:w="4540" w:type="dxa"/>
            <w:vAlign w:val="bottom"/>
            <w:gridSpan w:val="2"/>
            <w:shd w:val="clear" w:color="auto" w:fill="CCEEFF"/>
          </w:tcPr>
          <w:p>
            <w:pPr>
              <w:ind w:left="740"/>
              <w:spacing w:after="0" w:line="185" w:lineRule="exact"/>
              <w:rPr>
                <w:sz w:val="20"/>
                <w:szCs w:val="20"/>
                <w:color w:val="auto"/>
              </w:rPr>
            </w:pPr>
            <w:r>
              <w:rPr>
                <w:rFonts w:ascii="Times New Roman" w:cs="Times New Roman" w:eastAsia="Times New Roman" w:hAnsi="Times New Roman"/>
                <w:sz w:val="17"/>
                <w:szCs w:val="17"/>
                <w:color w:val="auto"/>
              </w:rPr>
              <w:t>Founding  Partner  of  ArrowMark  Partners,  2009  to</w:t>
            </w:r>
          </w:p>
        </w:tc>
      </w:tr>
      <w:tr>
        <w:trPr>
          <w:trHeight w:val="218"/>
        </w:trPr>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Present</w:t>
            </w:r>
          </w:p>
        </w:tc>
      </w:tr>
      <w:tr>
        <w:trPr>
          <w:trHeight w:val="201"/>
        </w:trPr>
        <w:tc>
          <w:tcPr>
            <w:tcW w:w="2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185"/>
        </w:trPr>
        <w:tc>
          <w:tcPr>
            <w:tcW w:w="298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Kaelyn Abrell</w:t>
            </w:r>
          </w:p>
        </w:tc>
        <w:tc>
          <w:tcPr>
            <w:tcW w:w="30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Portfolio Manager</w:t>
            </w:r>
          </w:p>
        </w:tc>
        <w:tc>
          <w:tcPr>
            <w:tcW w:w="4540" w:type="dxa"/>
            <w:vAlign w:val="bottom"/>
            <w:gridSpan w:val="2"/>
            <w:shd w:val="clear" w:color="auto" w:fill="CCEEFF"/>
          </w:tcPr>
          <w:p>
            <w:pPr>
              <w:ind w:left="740"/>
              <w:spacing w:after="0" w:line="185" w:lineRule="exact"/>
              <w:rPr>
                <w:sz w:val="20"/>
                <w:szCs w:val="20"/>
                <w:color w:val="auto"/>
              </w:rPr>
            </w:pPr>
            <w:r>
              <w:rPr>
                <w:rFonts w:ascii="Times New Roman" w:cs="Times New Roman" w:eastAsia="Times New Roman" w:hAnsi="Times New Roman"/>
                <w:sz w:val="17"/>
                <w:szCs w:val="17"/>
                <w:color w:val="auto"/>
              </w:rPr>
              <w:t>Partner and Portfolio Manager of ArrowMark Partners</w:t>
            </w:r>
          </w:p>
        </w:tc>
      </w:tr>
      <w:tr>
        <w:trPr>
          <w:trHeight w:val="218"/>
        </w:trPr>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since 2010</w:t>
            </w:r>
          </w:p>
        </w:tc>
      </w:tr>
    </w:tbl>
    <w:p>
      <w:pPr>
        <w:spacing w:after="0" w:line="181" w:lineRule="exact"/>
        <w:rPr>
          <w:sz w:val="20"/>
          <w:szCs w:val="20"/>
          <w:color w:val="auto"/>
        </w:rPr>
      </w:pPr>
    </w:p>
    <w:p>
      <w:pPr>
        <w:ind w:left="600" w:right="2300" w:hanging="599"/>
        <w:spacing w:after="0" w:line="493" w:lineRule="auto"/>
        <w:tabs>
          <w:tab w:leader="none" w:pos="580" w:val="left"/>
        </w:tabs>
        <w:rPr>
          <w:sz w:val="20"/>
          <w:szCs w:val="20"/>
          <w:color w:val="auto"/>
        </w:rPr>
      </w:pPr>
      <w:r>
        <w:rPr>
          <w:rFonts w:ascii="Times New Roman" w:cs="Times New Roman" w:eastAsia="Times New Roman" w:hAnsi="Times New Roman"/>
          <w:sz w:val="17"/>
          <w:szCs w:val="17"/>
          <w:b w:val="1"/>
          <w:bCs w:val="1"/>
          <w:color w:val="auto"/>
        </w:rPr>
        <w:t>(a)(2)</w:t>
        <w:tab/>
        <w:t>Other Accounts Managed by Portfolio Manager(s) or Management Team Member and Potential Conflicts of Interest Other Accounts Managed by Portfolio Manager(s) or Management Team Member</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As of 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0" w:type="dxa"/>
            <w:vAlign w:val="bottom"/>
            <w:tcBorders>
              <w:right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right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00" w:type="dxa"/>
            <w:vAlign w:val="bottom"/>
            <w:tcBorders>
              <w:top w:val="single" w:sz="8" w:color="auto"/>
              <w:right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4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7"/>
                <w:szCs w:val="17"/>
                <w:color w:val="auto"/>
                <w:w w:val="96"/>
              </w:rPr>
              <w:t>No. of</w:t>
            </w: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80" w:type="dxa"/>
            <w:vAlign w:val="bottom"/>
            <w:tcBorders>
              <w:top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7"/>
                <w:szCs w:val="17"/>
                <w:color w:val="auto"/>
                <w:w w:val="98"/>
              </w:rPr>
              <w:t>Name of</w:t>
            </w: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9"/>
              </w:rPr>
              <w:t>Accounts</w:t>
            </w:r>
          </w:p>
        </w:tc>
        <w:tc>
          <w:tcPr>
            <w:tcW w:w="2000" w:type="dxa"/>
            <w:vAlign w:val="bottom"/>
            <w:tcBorders>
              <w:right w:val="single" w:sz="8" w:color="auto"/>
            </w:tcBorders>
            <w:gridSpan w:val="3"/>
          </w:tcPr>
          <w:p>
            <w:pPr>
              <w:ind w:left="500"/>
              <w:spacing w:after="0"/>
              <w:rPr>
                <w:sz w:val="20"/>
                <w:szCs w:val="20"/>
                <w:color w:val="auto"/>
              </w:rPr>
            </w:pPr>
            <w:r>
              <w:rPr>
                <w:rFonts w:ascii="Times New Roman" w:cs="Times New Roman" w:eastAsia="Times New Roman" w:hAnsi="Times New Roman"/>
                <w:sz w:val="17"/>
                <w:szCs w:val="17"/>
                <w:color w:val="auto"/>
              </w:rPr>
              <w:t>Total Assets in</w:t>
            </w:r>
          </w:p>
        </w:tc>
        <w:tc>
          <w:tcPr>
            <w:tcW w:w="60" w:type="dxa"/>
            <w:vAlign w:val="bottom"/>
          </w:tcPr>
          <w:p>
            <w:pPr>
              <w:spacing w:after="0"/>
              <w:rPr>
                <w:sz w:val="17"/>
                <w:szCs w:val="17"/>
                <w:color w:val="auto"/>
              </w:rPr>
            </w:pPr>
          </w:p>
        </w:tc>
      </w:tr>
      <w:tr>
        <w:trPr>
          <w:trHeight w:val="201"/>
        </w:trPr>
        <w:tc>
          <w:tcPr>
            <w:tcW w:w="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7"/>
                <w:szCs w:val="17"/>
                <w:color w:val="auto"/>
                <w:w w:val="95"/>
              </w:rPr>
              <w:t>Portfolio</w:t>
            </w: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6"/>
              </w:rPr>
              <w:t>where</w:t>
            </w:r>
          </w:p>
        </w:tc>
        <w:tc>
          <w:tcPr>
            <w:tcW w:w="56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9"/>
              </w:rPr>
              <w:t>Accounts</w:t>
            </w:r>
          </w:p>
        </w:tc>
        <w:tc>
          <w:tcPr>
            <w:tcW w:w="60" w:type="dxa"/>
            <w:vAlign w:val="bottom"/>
          </w:tcPr>
          <w:p>
            <w:pPr>
              <w:spacing w:after="0"/>
              <w:rPr>
                <w:sz w:val="17"/>
                <w:szCs w:val="17"/>
                <w:color w:val="auto"/>
              </w:rPr>
            </w:pPr>
          </w:p>
        </w:tc>
      </w:tr>
      <w:tr>
        <w:trPr>
          <w:trHeight w:val="201"/>
        </w:trPr>
        <w:tc>
          <w:tcPr>
            <w:tcW w:w="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7"/>
                <w:szCs w:val="17"/>
                <w:color w:val="auto"/>
                <w:w w:val="95"/>
              </w:rPr>
              <w:t>Manager</w:t>
            </w: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4"/>
              </w:rPr>
              <w:t>Total</w:t>
            </w: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7"/>
                <w:szCs w:val="17"/>
                <w:color w:val="auto"/>
                <w:w w:val="97"/>
              </w:rPr>
              <w:t>Advisory</w:t>
            </w:r>
          </w:p>
        </w:tc>
        <w:tc>
          <w:tcPr>
            <w:tcW w:w="56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7"/>
                <w:szCs w:val="17"/>
                <w:color w:val="auto"/>
              </w:rPr>
              <w:t>where</w:t>
            </w:r>
          </w:p>
        </w:tc>
        <w:tc>
          <w:tcPr>
            <w:tcW w:w="60" w:type="dxa"/>
            <w:vAlign w:val="bottom"/>
          </w:tcPr>
          <w:p>
            <w:pPr>
              <w:spacing w:after="0"/>
              <w:rPr>
                <w:sz w:val="17"/>
                <w:szCs w:val="17"/>
                <w:color w:val="auto"/>
              </w:rPr>
            </w:pPr>
          </w:p>
        </w:tc>
      </w:tr>
      <w:tr>
        <w:trPr>
          <w:trHeight w:val="201"/>
        </w:trPr>
        <w:tc>
          <w:tcPr>
            <w:tcW w:w="6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right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7"/>
                <w:szCs w:val="17"/>
                <w:color w:val="auto"/>
                <w:w w:val="98"/>
              </w:rPr>
              <w:t>or</w:t>
            </w: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6"/>
              </w:rPr>
              <w:t>No. of</w:t>
            </w: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color w:val="auto"/>
                <w:w w:val="97"/>
              </w:rPr>
              <w:t>Fee is Based</w:t>
            </w:r>
          </w:p>
        </w:tc>
        <w:tc>
          <w:tcPr>
            <w:tcW w:w="2000" w:type="dxa"/>
            <w:vAlign w:val="bottom"/>
            <w:tcBorders>
              <w:right w:val="single" w:sz="8" w:color="auto"/>
            </w:tcBorders>
            <w:gridSpan w:val="3"/>
          </w:tcPr>
          <w:p>
            <w:pPr>
              <w:ind w:left="520"/>
              <w:spacing w:after="0"/>
              <w:rPr>
                <w:sz w:val="20"/>
                <w:szCs w:val="20"/>
                <w:color w:val="auto"/>
              </w:rPr>
            </w:pPr>
            <w:r>
              <w:rPr>
                <w:rFonts w:ascii="Times New Roman" w:cs="Times New Roman" w:eastAsia="Times New Roman" w:hAnsi="Times New Roman"/>
                <w:sz w:val="17"/>
                <w:szCs w:val="17"/>
                <w:color w:val="auto"/>
              </w:rPr>
              <w:t>Advisory Fee</w:t>
            </w:r>
          </w:p>
        </w:tc>
        <w:tc>
          <w:tcPr>
            <w:tcW w:w="60" w:type="dxa"/>
            <w:vAlign w:val="bottom"/>
          </w:tcPr>
          <w:p>
            <w:pPr>
              <w:spacing w:after="0"/>
              <w:rPr>
                <w:sz w:val="17"/>
                <w:szCs w:val="17"/>
                <w:color w:val="auto"/>
              </w:rPr>
            </w:pPr>
          </w:p>
        </w:tc>
      </w:tr>
      <w:tr>
        <w:trPr>
          <w:trHeight w:val="180"/>
        </w:trPr>
        <w:tc>
          <w:tcPr>
            <w:tcW w:w="62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Team</w:t>
            </w:r>
          </w:p>
        </w:tc>
        <w:tc>
          <w:tcPr>
            <w:tcW w:w="540" w:type="dxa"/>
            <w:vAlign w:val="bottom"/>
            <w:tcBorders>
              <w:right w:val="single" w:sz="8" w:color="auto"/>
            </w:tcBorders>
            <w:gridSpan w:val="2"/>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500"/>
              <w:spacing w:after="0" w:line="180" w:lineRule="exact"/>
              <w:rPr>
                <w:sz w:val="20"/>
                <w:szCs w:val="20"/>
                <w:color w:val="auto"/>
              </w:rPr>
            </w:pPr>
            <w:r>
              <w:rPr>
                <w:rFonts w:ascii="Times New Roman" w:cs="Times New Roman" w:eastAsia="Times New Roman" w:hAnsi="Times New Roman"/>
                <w:sz w:val="17"/>
                <w:szCs w:val="17"/>
                <w:color w:val="auto"/>
                <w:w w:val="93"/>
              </w:rPr>
              <w:t>Type of</w:t>
            </w:r>
          </w:p>
        </w:tc>
        <w:tc>
          <w:tcPr>
            <w:tcW w:w="1480" w:type="dxa"/>
            <w:vAlign w:val="bottom"/>
            <w:tcBorders>
              <w:right w:val="single" w:sz="8" w:color="auto"/>
            </w:tcBorders>
            <w:gridSpan w:val="3"/>
          </w:tcPr>
          <w:p>
            <w:pPr>
              <w:ind w:left="400"/>
              <w:spacing w:after="0" w:line="180" w:lineRule="exact"/>
              <w:rPr>
                <w:sz w:val="20"/>
                <w:szCs w:val="20"/>
                <w:color w:val="auto"/>
              </w:rPr>
            </w:pPr>
            <w:r>
              <w:rPr>
                <w:rFonts w:ascii="Times New Roman" w:cs="Times New Roman" w:eastAsia="Times New Roman" w:hAnsi="Times New Roman"/>
                <w:sz w:val="17"/>
                <w:szCs w:val="17"/>
                <w:color w:val="auto"/>
              </w:rPr>
              <w:t>Accounts</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Borders>
              <w:right w:val="single" w:sz="8" w:color="auto"/>
            </w:tcBorders>
            <w:gridSpan w:val="2"/>
          </w:tcPr>
          <w:p>
            <w:pPr>
              <w:jc w:val="center"/>
              <w:ind w:right="480"/>
              <w:spacing w:after="0" w:line="180" w:lineRule="exact"/>
              <w:rPr>
                <w:sz w:val="20"/>
                <w:szCs w:val="20"/>
                <w:color w:val="auto"/>
              </w:rPr>
            </w:pPr>
            <w:r>
              <w:rPr>
                <w:rFonts w:ascii="Times New Roman" w:cs="Times New Roman" w:eastAsia="Times New Roman" w:hAnsi="Times New Roman"/>
                <w:sz w:val="17"/>
                <w:szCs w:val="17"/>
                <w:color w:val="auto"/>
                <w:w w:val="93"/>
              </w:rPr>
              <w:t>on</w:t>
            </w:r>
          </w:p>
        </w:tc>
        <w:tc>
          <w:tcPr>
            <w:tcW w:w="56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620"/>
              <w:spacing w:after="0" w:line="180" w:lineRule="exact"/>
              <w:rPr>
                <w:sz w:val="20"/>
                <w:szCs w:val="20"/>
                <w:color w:val="auto"/>
              </w:rPr>
            </w:pPr>
            <w:r>
              <w:rPr>
                <w:rFonts w:ascii="Times New Roman" w:cs="Times New Roman" w:eastAsia="Times New Roman" w:hAnsi="Times New Roman"/>
                <w:sz w:val="17"/>
                <w:szCs w:val="17"/>
                <w:color w:val="auto"/>
                <w:w w:val="99"/>
              </w:rPr>
              <w:t>is Based on</w:t>
            </w:r>
          </w:p>
        </w:tc>
        <w:tc>
          <w:tcPr>
            <w:tcW w:w="60" w:type="dxa"/>
            <w:vAlign w:val="bottom"/>
          </w:tcPr>
          <w:p>
            <w:pPr>
              <w:spacing w:after="0"/>
              <w:rPr>
                <w:sz w:val="15"/>
                <w:szCs w:val="15"/>
                <w:color w:val="auto"/>
              </w:rPr>
            </w:pPr>
          </w:p>
        </w:tc>
      </w:tr>
      <w:tr>
        <w:trPr>
          <w:trHeight w:val="181"/>
        </w:trPr>
        <w:tc>
          <w:tcPr>
            <w:tcW w:w="6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gridSpan w:val="5"/>
          </w:tcPr>
          <w:p>
            <w:pPr>
              <w:jc w:val="center"/>
              <w:ind w:right="20"/>
              <w:spacing w:after="0" w:line="181" w:lineRule="exact"/>
              <w:rPr>
                <w:sz w:val="20"/>
                <w:szCs w:val="20"/>
                <w:color w:val="auto"/>
              </w:rPr>
            </w:pPr>
            <w:r>
              <w:rPr>
                <w:rFonts w:ascii="Times New Roman" w:cs="Times New Roman" w:eastAsia="Times New Roman" w:hAnsi="Times New Roman"/>
                <w:sz w:val="17"/>
                <w:szCs w:val="17"/>
                <w:color w:val="auto"/>
              </w:rPr>
              <w:t>Member</w:t>
            </w:r>
          </w:p>
        </w:tc>
        <w:tc>
          <w:tcPr>
            <w:tcW w:w="1600" w:type="dxa"/>
            <w:vAlign w:val="bottom"/>
            <w:tcBorders>
              <w:right w:val="single" w:sz="8" w:color="auto"/>
            </w:tcBorders>
            <w:gridSpan w:val="3"/>
          </w:tcPr>
          <w:p>
            <w:pPr>
              <w:jc w:val="center"/>
              <w:ind w:right="20"/>
              <w:spacing w:after="0" w:line="181" w:lineRule="exact"/>
              <w:rPr>
                <w:sz w:val="20"/>
                <w:szCs w:val="20"/>
                <w:color w:val="auto"/>
              </w:rPr>
            </w:pPr>
            <w:r>
              <w:rPr>
                <w:rFonts w:ascii="Times New Roman" w:cs="Times New Roman" w:eastAsia="Times New Roman" w:hAnsi="Times New Roman"/>
                <w:sz w:val="17"/>
                <w:szCs w:val="17"/>
                <w:color w:val="auto"/>
                <w:w w:val="96"/>
              </w:rPr>
              <w:t>Accounts</w:t>
            </w:r>
          </w:p>
        </w:tc>
        <w:tc>
          <w:tcPr>
            <w:tcW w:w="420" w:type="dxa"/>
            <w:vAlign w:val="bottom"/>
          </w:tcPr>
          <w:p>
            <w:pPr>
              <w:spacing w:after="0"/>
              <w:rPr>
                <w:sz w:val="15"/>
                <w:szCs w:val="15"/>
                <w:color w:val="auto"/>
              </w:rPr>
            </w:pPr>
          </w:p>
        </w:tc>
        <w:tc>
          <w:tcPr>
            <w:tcW w:w="1060" w:type="dxa"/>
            <w:vAlign w:val="bottom"/>
            <w:tcBorders>
              <w:right w:val="single" w:sz="8" w:color="auto"/>
            </w:tcBorders>
            <w:gridSpan w:val="2"/>
          </w:tcPr>
          <w:p>
            <w:pPr>
              <w:jc w:val="center"/>
              <w:ind w:right="440"/>
              <w:spacing w:after="0" w:line="181" w:lineRule="exact"/>
              <w:rPr>
                <w:sz w:val="20"/>
                <w:szCs w:val="20"/>
                <w:color w:val="auto"/>
              </w:rPr>
            </w:pPr>
            <w:r>
              <w:rPr>
                <w:rFonts w:ascii="Times New Roman" w:cs="Times New Roman" w:eastAsia="Times New Roman" w:hAnsi="Times New Roman"/>
                <w:sz w:val="17"/>
                <w:szCs w:val="17"/>
                <w:color w:val="auto"/>
                <w:w w:val="97"/>
              </w:rPr>
              <w:t>Managed</w:t>
            </w:r>
          </w:p>
        </w:tc>
        <w:tc>
          <w:tcPr>
            <w:tcW w:w="2320" w:type="dxa"/>
            <w:vAlign w:val="bottom"/>
            <w:tcBorders>
              <w:right w:val="single" w:sz="8" w:color="auto"/>
            </w:tcBorders>
            <w:gridSpan w:val="3"/>
          </w:tcPr>
          <w:p>
            <w:pPr>
              <w:jc w:val="center"/>
              <w:ind w:right="20"/>
              <w:spacing w:after="0" w:line="181" w:lineRule="exact"/>
              <w:rPr>
                <w:sz w:val="20"/>
                <w:szCs w:val="20"/>
                <w:color w:val="auto"/>
              </w:rPr>
            </w:pPr>
            <w:r>
              <w:rPr>
                <w:rFonts w:ascii="Times New Roman" w:cs="Times New Roman" w:eastAsia="Times New Roman" w:hAnsi="Times New Roman"/>
                <w:sz w:val="17"/>
                <w:szCs w:val="17"/>
                <w:color w:val="auto"/>
                <w:w w:val="96"/>
              </w:rPr>
              <w:t>Total Assets</w:t>
            </w:r>
          </w:p>
        </w:tc>
        <w:tc>
          <w:tcPr>
            <w:tcW w:w="400" w:type="dxa"/>
            <w:vAlign w:val="bottom"/>
          </w:tcPr>
          <w:p>
            <w:pPr>
              <w:spacing w:after="0"/>
              <w:rPr>
                <w:sz w:val="15"/>
                <w:szCs w:val="15"/>
                <w:color w:val="auto"/>
              </w:rPr>
            </w:pPr>
          </w:p>
        </w:tc>
        <w:tc>
          <w:tcPr>
            <w:tcW w:w="1280" w:type="dxa"/>
            <w:vAlign w:val="bottom"/>
            <w:tcBorders>
              <w:right w:val="single" w:sz="8" w:color="auto"/>
            </w:tcBorders>
            <w:gridSpan w:val="2"/>
          </w:tcPr>
          <w:p>
            <w:pPr>
              <w:spacing w:after="0" w:line="181" w:lineRule="exact"/>
              <w:rPr>
                <w:sz w:val="20"/>
                <w:szCs w:val="20"/>
                <w:color w:val="auto"/>
              </w:rPr>
            </w:pPr>
            <w:r>
              <w:rPr>
                <w:rFonts w:ascii="Times New Roman" w:cs="Times New Roman" w:eastAsia="Times New Roman" w:hAnsi="Times New Roman"/>
                <w:sz w:val="17"/>
                <w:szCs w:val="17"/>
                <w:color w:val="auto"/>
              </w:rPr>
              <w:t>Performance</w:t>
            </w:r>
          </w:p>
        </w:tc>
        <w:tc>
          <w:tcPr>
            <w:tcW w:w="56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580"/>
              <w:spacing w:after="0" w:line="181" w:lineRule="exact"/>
              <w:rPr>
                <w:sz w:val="20"/>
                <w:szCs w:val="20"/>
                <w:color w:val="auto"/>
              </w:rPr>
            </w:pPr>
            <w:r>
              <w:rPr>
                <w:rFonts w:ascii="Times New Roman" w:cs="Times New Roman" w:eastAsia="Times New Roman" w:hAnsi="Times New Roman"/>
                <w:sz w:val="17"/>
                <w:szCs w:val="17"/>
                <w:color w:val="auto"/>
                <w:w w:val="98"/>
              </w:rPr>
              <w:t>Performance</w:t>
            </w:r>
          </w:p>
        </w:tc>
        <w:tc>
          <w:tcPr>
            <w:tcW w:w="60" w:type="dxa"/>
            <w:vAlign w:val="bottom"/>
          </w:tcPr>
          <w:p>
            <w:pPr>
              <w:spacing w:after="0"/>
              <w:rPr>
                <w:sz w:val="15"/>
                <w:szCs w:val="15"/>
                <w:color w:val="auto"/>
              </w:rPr>
            </w:pPr>
          </w:p>
        </w:tc>
      </w:tr>
      <w:tr>
        <w:trPr>
          <w:trHeight w:val="20"/>
        </w:trPr>
        <w:tc>
          <w:tcPr>
            <w:tcW w:w="620" w:type="dxa"/>
            <w:vAlign w:val="bottom"/>
            <w:tcBorders>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6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gridSpan w:val="5"/>
          </w:tcPr>
          <w:p>
            <w:pPr>
              <w:jc w:val="center"/>
              <w:ind w:right="20"/>
              <w:spacing w:after="0" w:line="175" w:lineRule="exact"/>
              <w:rPr>
                <w:sz w:val="20"/>
                <w:szCs w:val="20"/>
                <w:color w:val="auto"/>
              </w:rPr>
            </w:pPr>
            <w:r>
              <w:rPr>
                <w:rFonts w:ascii="Times New Roman" w:cs="Times New Roman" w:eastAsia="Times New Roman" w:hAnsi="Times New Roman"/>
                <w:sz w:val="17"/>
                <w:szCs w:val="17"/>
                <w:color w:val="auto"/>
                <w:w w:val="99"/>
              </w:rPr>
              <w:t>Sanjai Bhonsle</w:t>
            </w:r>
          </w:p>
        </w:tc>
        <w:tc>
          <w:tcPr>
            <w:tcW w:w="1600" w:type="dxa"/>
            <w:vAlign w:val="bottom"/>
            <w:tcBorders>
              <w:right w:val="single" w:sz="8" w:color="auto"/>
            </w:tcBorders>
            <w:gridSpan w:val="3"/>
          </w:tcPr>
          <w:p>
            <w:pPr>
              <w:jc w:val="center"/>
              <w:ind w:right="20"/>
              <w:spacing w:after="0" w:line="175" w:lineRule="exact"/>
              <w:rPr>
                <w:sz w:val="20"/>
                <w:szCs w:val="20"/>
                <w:color w:val="auto"/>
              </w:rPr>
            </w:pPr>
            <w:r>
              <w:rPr>
                <w:rFonts w:ascii="Times New Roman" w:cs="Times New Roman" w:eastAsia="Times New Roman" w:hAnsi="Times New Roman"/>
                <w:sz w:val="17"/>
                <w:szCs w:val="17"/>
                <w:color w:val="auto"/>
                <w:w w:val="98"/>
              </w:rPr>
              <w:t>Registered Investment</w:t>
            </w:r>
          </w:p>
        </w:tc>
        <w:tc>
          <w:tcPr>
            <w:tcW w:w="1480" w:type="dxa"/>
            <w:vAlign w:val="bottom"/>
            <w:tcBorders>
              <w:right w:val="single" w:sz="8" w:color="auto"/>
            </w:tcBorders>
            <w:gridSpan w:val="3"/>
          </w:tcPr>
          <w:p>
            <w:pPr>
              <w:jc w:val="center"/>
              <w:ind w:right="20"/>
              <w:spacing w:after="0" w:line="175" w:lineRule="exact"/>
              <w:rPr>
                <w:sz w:val="20"/>
                <w:szCs w:val="20"/>
                <w:color w:val="auto"/>
              </w:rPr>
            </w:pPr>
            <w:r>
              <w:rPr>
                <w:rFonts w:ascii="Times New Roman" w:cs="Times New Roman" w:eastAsia="Times New Roman" w:hAnsi="Times New Roman"/>
                <w:sz w:val="17"/>
                <w:szCs w:val="17"/>
                <w:color w:val="auto"/>
                <w:w w:val="98"/>
              </w:rPr>
              <w:t>Not applicable</w:t>
            </w:r>
          </w:p>
        </w:tc>
        <w:tc>
          <w:tcPr>
            <w:tcW w:w="2320" w:type="dxa"/>
            <w:vAlign w:val="bottom"/>
            <w:tcBorders>
              <w:right w:val="single" w:sz="8" w:color="auto"/>
            </w:tcBorders>
            <w:gridSpan w:val="3"/>
          </w:tcPr>
          <w:p>
            <w:pPr>
              <w:jc w:val="center"/>
              <w:ind w:right="20"/>
              <w:spacing w:after="0" w:line="175" w:lineRule="exact"/>
              <w:rPr>
                <w:sz w:val="20"/>
                <w:szCs w:val="20"/>
                <w:color w:val="auto"/>
              </w:rPr>
            </w:pPr>
            <w:r>
              <w:rPr>
                <w:rFonts w:ascii="Times New Roman" w:cs="Times New Roman" w:eastAsia="Times New Roman" w:hAnsi="Times New Roman"/>
                <w:sz w:val="17"/>
                <w:szCs w:val="17"/>
                <w:color w:val="auto"/>
                <w:w w:val="98"/>
              </w:rPr>
              <w:t>Not applicable</w:t>
            </w:r>
          </w:p>
        </w:tc>
        <w:tc>
          <w:tcPr>
            <w:tcW w:w="1680" w:type="dxa"/>
            <w:vAlign w:val="bottom"/>
            <w:tcBorders>
              <w:right w:val="single" w:sz="8" w:color="auto"/>
            </w:tcBorders>
            <w:gridSpan w:val="3"/>
          </w:tcPr>
          <w:p>
            <w:pPr>
              <w:jc w:val="center"/>
              <w:ind w:right="20"/>
              <w:spacing w:after="0" w:line="175" w:lineRule="exact"/>
              <w:rPr>
                <w:sz w:val="20"/>
                <w:szCs w:val="20"/>
                <w:color w:val="auto"/>
              </w:rPr>
            </w:pPr>
            <w:r>
              <w:rPr>
                <w:rFonts w:ascii="Times New Roman" w:cs="Times New Roman" w:eastAsia="Times New Roman" w:hAnsi="Times New Roman"/>
                <w:sz w:val="17"/>
                <w:szCs w:val="17"/>
                <w:color w:val="auto"/>
                <w:w w:val="98"/>
              </w:rPr>
              <w:t>Not applicable</w:t>
            </w:r>
          </w:p>
        </w:tc>
        <w:tc>
          <w:tcPr>
            <w:tcW w:w="2000" w:type="dxa"/>
            <w:vAlign w:val="bottom"/>
            <w:tcBorders>
              <w:right w:val="single" w:sz="8" w:color="auto"/>
            </w:tcBorders>
            <w:gridSpan w:val="3"/>
          </w:tcPr>
          <w:p>
            <w:pPr>
              <w:jc w:val="center"/>
              <w:ind w:right="20"/>
              <w:spacing w:after="0" w:line="175" w:lineRule="exact"/>
              <w:rPr>
                <w:sz w:val="20"/>
                <w:szCs w:val="20"/>
                <w:color w:val="auto"/>
              </w:rPr>
            </w:pPr>
            <w:r>
              <w:rPr>
                <w:rFonts w:ascii="Times New Roman" w:cs="Times New Roman" w:eastAsia="Times New Roman" w:hAnsi="Times New Roman"/>
                <w:sz w:val="17"/>
                <w:szCs w:val="17"/>
                <w:color w:val="auto"/>
                <w:w w:val="98"/>
              </w:rPr>
              <w:t>Not applicable</w:t>
            </w:r>
          </w:p>
        </w:tc>
        <w:tc>
          <w:tcPr>
            <w:tcW w:w="60" w:type="dxa"/>
            <w:vAlign w:val="bottom"/>
          </w:tcPr>
          <w:p>
            <w:pPr>
              <w:spacing w:after="0"/>
              <w:rPr>
                <w:sz w:val="15"/>
                <w:szCs w:val="15"/>
                <w:color w:val="auto"/>
              </w:rPr>
            </w:pPr>
          </w:p>
        </w:tc>
      </w:tr>
      <w:tr>
        <w:trPr>
          <w:trHeight w:val="217"/>
        </w:trPr>
        <w:tc>
          <w:tcPr>
            <w:tcW w:w="620" w:type="dxa"/>
            <w:vAlign w:val="bottom"/>
            <w:tcBorders>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Companies:</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77"/>
        </w:trPr>
        <w:tc>
          <w:tcPr>
            <w:tcW w:w="62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9"/>
              </w:rPr>
              <w:t>Other Pooled</w:t>
            </w:r>
          </w:p>
        </w:tc>
        <w:tc>
          <w:tcPr>
            <w:tcW w:w="1040" w:type="dxa"/>
            <w:vAlign w:val="bottom"/>
            <w:gridSpan w:val="2"/>
          </w:tcPr>
          <w:p>
            <w:pPr>
              <w:jc w:val="center"/>
              <w:ind w:left="336"/>
              <w:spacing w:after="0" w:line="177" w:lineRule="exact"/>
              <w:rPr>
                <w:sz w:val="20"/>
                <w:szCs w:val="20"/>
                <w:color w:val="auto"/>
              </w:rPr>
            </w:pPr>
            <w:r>
              <w:rPr>
                <w:rFonts w:ascii="Times New Roman" w:cs="Times New Roman" w:eastAsia="Times New Roman" w:hAnsi="Times New Roman"/>
                <w:sz w:val="17"/>
                <w:szCs w:val="17"/>
                <w:color w:val="auto"/>
              </w:rPr>
              <w:t>4</w:t>
            </w:r>
          </w:p>
        </w:tc>
        <w:tc>
          <w:tcPr>
            <w:tcW w:w="440" w:type="dxa"/>
            <w:vAlign w:val="bottom"/>
            <w:tcBorders>
              <w:right w:val="single" w:sz="8" w:color="auto"/>
            </w:tcBorders>
          </w:tcPr>
          <w:p>
            <w:pPr>
              <w:spacing w:after="0"/>
              <w:rPr>
                <w:sz w:val="15"/>
                <w:szCs w:val="15"/>
                <w:color w:val="auto"/>
              </w:rPr>
            </w:pPr>
          </w:p>
        </w:tc>
        <w:tc>
          <w:tcPr>
            <w:tcW w:w="2320" w:type="dxa"/>
            <w:vAlign w:val="bottom"/>
            <w:tcBorders>
              <w:right w:val="single" w:sz="8" w:color="auto"/>
            </w:tcBorders>
            <w:gridSpan w:val="3"/>
          </w:tcPr>
          <w:p>
            <w:pPr>
              <w:jc w:val="center"/>
              <w:ind w:right="40"/>
              <w:spacing w:after="0" w:line="177" w:lineRule="exact"/>
              <w:rPr>
                <w:sz w:val="20"/>
                <w:szCs w:val="20"/>
                <w:color w:val="auto"/>
              </w:rPr>
            </w:pPr>
            <w:r>
              <w:rPr>
                <w:rFonts w:ascii="Times New Roman" w:cs="Times New Roman" w:eastAsia="Times New Roman" w:hAnsi="Times New Roman"/>
                <w:sz w:val="17"/>
                <w:szCs w:val="17"/>
                <w:color w:val="auto"/>
                <w:w w:val="98"/>
              </w:rPr>
              <w:t>$132,880,417</w:t>
            </w:r>
          </w:p>
        </w:tc>
        <w:tc>
          <w:tcPr>
            <w:tcW w:w="168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2000" w:type="dxa"/>
            <w:vAlign w:val="bottom"/>
            <w:tcBorders>
              <w:right w:val="single" w:sz="8" w:color="auto"/>
            </w:tcBorders>
            <w:gridSpan w:val="3"/>
          </w:tcPr>
          <w:p>
            <w:pPr>
              <w:jc w:val="center"/>
              <w:ind w:right="40"/>
              <w:spacing w:after="0" w:line="177" w:lineRule="exact"/>
              <w:rPr>
                <w:sz w:val="20"/>
                <w:szCs w:val="20"/>
                <w:color w:val="auto"/>
              </w:rPr>
            </w:pPr>
            <w:r>
              <w:rPr>
                <w:rFonts w:ascii="Times New Roman" w:cs="Times New Roman" w:eastAsia="Times New Roman" w:hAnsi="Times New Roman"/>
                <w:sz w:val="17"/>
                <w:szCs w:val="17"/>
                <w:color w:val="auto"/>
                <w:w w:val="98"/>
              </w:rPr>
              <w:t>$132,880,417</w:t>
            </w:r>
          </w:p>
        </w:tc>
        <w:tc>
          <w:tcPr>
            <w:tcW w:w="60" w:type="dxa"/>
            <w:vAlign w:val="bottom"/>
          </w:tcPr>
          <w:p>
            <w:pPr>
              <w:spacing w:after="0"/>
              <w:rPr>
                <w:sz w:val="15"/>
                <w:szCs w:val="15"/>
                <w:color w:val="auto"/>
              </w:rPr>
            </w:pPr>
          </w:p>
        </w:tc>
      </w:tr>
      <w:tr>
        <w:trPr>
          <w:trHeight w:val="217"/>
        </w:trPr>
        <w:tc>
          <w:tcPr>
            <w:tcW w:w="620" w:type="dxa"/>
            <w:vAlign w:val="bottom"/>
            <w:tcBorders>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Investment Vehicles:</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620" w:type="dxa"/>
            <w:vAlign w:val="bottom"/>
            <w:tcBorders>
              <w:right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gridSpan w:val="3"/>
          </w:tcPr>
          <w:p>
            <w:pPr>
              <w:jc w:val="center"/>
              <w:ind w:right="20"/>
              <w:spacing w:after="0" w:line="194" w:lineRule="exact"/>
              <w:rPr>
                <w:sz w:val="20"/>
                <w:szCs w:val="20"/>
                <w:color w:val="auto"/>
              </w:rPr>
            </w:pPr>
            <w:r>
              <w:rPr>
                <w:rFonts w:ascii="Times New Roman" w:cs="Times New Roman" w:eastAsia="Times New Roman" w:hAnsi="Times New Roman"/>
                <w:sz w:val="17"/>
                <w:szCs w:val="17"/>
                <w:color w:val="auto"/>
                <w:w w:val="98"/>
              </w:rPr>
              <w:t>Other Accounts:</w:t>
            </w:r>
          </w:p>
        </w:tc>
        <w:tc>
          <w:tcPr>
            <w:tcW w:w="1040" w:type="dxa"/>
            <w:vAlign w:val="bottom"/>
            <w:tcBorders>
              <w:bottom w:val="single" w:sz="8" w:color="auto"/>
            </w:tcBorders>
            <w:gridSpan w:val="2"/>
          </w:tcPr>
          <w:p>
            <w:pPr>
              <w:jc w:val="center"/>
              <w:ind w:left="336"/>
              <w:spacing w:after="0" w:line="194" w:lineRule="exact"/>
              <w:rPr>
                <w:sz w:val="20"/>
                <w:szCs w:val="20"/>
                <w:color w:val="auto"/>
              </w:rPr>
            </w:pPr>
            <w:r>
              <w:rPr>
                <w:rFonts w:ascii="Times New Roman" w:cs="Times New Roman" w:eastAsia="Times New Roman" w:hAnsi="Times New Roman"/>
                <w:sz w:val="17"/>
                <w:szCs w:val="17"/>
                <w:color w:val="auto"/>
              </w:rPr>
              <w:t>16</w:t>
            </w:r>
          </w:p>
        </w:tc>
        <w:tc>
          <w:tcPr>
            <w:tcW w:w="44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gridSpan w:val="3"/>
          </w:tcPr>
          <w:p>
            <w:pPr>
              <w:jc w:val="center"/>
              <w:ind w:right="20"/>
              <w:spacing w:after="0" w:line="194" w:lineRule="exact"/>
              <w:rPr>
                <w:sz w:val="20"/>
                <w:szCs w:val="20"/>
                <w:color w:val="auto"/>
              </w:rPr>
            </w:pPr>
            <w:r>
              <w:rPr>
                <w:rFonts w:ascii="Times New Roman" w:cs="Times New Roman" w:eastAsia="Times New Roman" w:hAnsi="Times New Roman"/>
                <w:sz w:val="17"/>
                <w:szCs w:val="17"/>
                <w:color w:val="auto"/>
                <w:w w:val="99"/>
              </w:rPr>
              <w:t>$4,495,385,700</w:t>
            </w:r>
          </w:p>
        </w:tc>
        <w:tc>
          <w:tcPr>
            <w:tcW w:w="1260" w:type="dxa"/>
            <w:vAlign w:val="bottom"/>
            <w:tcBorders>
              <w:bottom w:val="single" w:sz="8" w:color="auto"/>
            </w:tcBorders>
            <w:gridSpan w:val="2"/>
          </w:tcPr>
          <w:p>
            <w:pPr>
              <w:jc w:val="center"/>
              <w:ind w:left="296"/>
              <w:spacing w:after="0" w:line="194" w:lineRule="exact"/>
              <w:rPr>
                <w:sz w:val="20"/>
                <w:szCs w:val="20"/>
                <w:color w:val="auto"/>
              </w:rPr>
            </w:pPr>
            <w:r>
              <w:rPr>
                <w:rFonts w:ascii="Times New Roman" w:cs="Times New Roman" w:eastAsia="Times New Roman" w:hAnsi="Times New Roman"/>
                <w:sz w:val="17"/>
                <w:szCs w:val="17"/>
                <w:color w:val="auto"/>
                <w:w w:val="93"/>
              </w:rPr>
              <w:t>16</w:t>
            </w:r>
          </w:p>
        </w:tc>
        <w:tc>
          <w:tcPr>
            <w:tcW w:w="42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right w:val="single" w:sz="8" w:color="auto"/>
            </w:tcBorders>
            <w:gridSpan w:val="3"/>
          </w:tcPr>
          <w:p>
            <w:pPr>
              <w:jc w:val="center"/>
              <w:ind w:right="20"/>
              <w:spacing w:after="0" w:line="194" w:lineRule="exact"/>
              <w:rPr>
                <w:sz w:val="20"/>
                <w:szCs w:val="20"/>
                <w:color w:val="auto"/>
              </w:rPr>
            </w:pPr>
            <w:r>
              <w:rPr>
                <w:rFonts w:ascii="Times New Roman" w:cs="Times New Roman" w:eastAsia="Times New Roman" w:hAnsi="Times New Roman"/>
                <w:sz w:val="17"/>
                <w:szCs w:val="17"/>
                <w:color w:val="auto"/>
                <w:w w:val="99"/>
              </w:rPr>
              <w:t>$4,495,385,700</w:t>
            </w:r>
          </w:p>
        </w:tc>
        <w:tc>
          <w:tcPr>
            <w:tcW w:w="60" w:type="dxa"/>
            <w:vAlign w:val="bottom"/>
          </w:tcPr>
          <w:p>
            <w:pPr>
              <w:spacing w:after="0"/>
              <w:rPr>
                <w:sz w:val="16"/>
                <w:szCs w:val="16"/>
                <w:color w:val="auto"/>
              </w:rPr>
            </w:pPr>
          </w:p>
        </w:tc>
      </w:tr>
      <w:tr>
        <w:trPr>
          <w:trHeight w:val="177"/>
        </w:trPr>
        <w:tc>
          <w:tcPr>
            <w:tcW w:w="6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gridSpan w:val="5"/>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9"/>
              </w:rPr>
              <w:t>Karen Reidy</w:t>
            </w:r>
          </w:p>
        </w:tc>
        <w:tc>
          <w:tcPr>
            <w:tcW w:w="160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Registered Investment</w:t>
            </w:r>
          </w:p>
        </w:tc>
        <w:tc>
          <w:tcPr>
            <w:tcW w:w="148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232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168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200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60" w:type="dxa"/>
            <w:vAlign w:val="bottom"/>
          </w:tcPr>
          <w:p>
            <w:pPr>
              <w:spacing w:after="0"/>
              <w:rPr>
                <w:sz w:val="15"/>
                <w:szCs w:val="15"/>
                <w:color w:val="auto"/>
              </w:rPr>
            </w:pPr>
          </w:p>
        </w:tc>
      </w:tr>
      <w:tr>
        <w:trPr>
          <w:trHeight w:val="217"/>
        </w:trPr>
        <w:tc>
          <w:tcPr>
            <w:tcW w:w="620" w:type="dxa"/>
            <w:vAlign w:val="bottom"/>
            <w:tcBorders>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Companies:</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77"/>
        </w:trPr>
        <w:tc>
          <w:tcPr>
            <w:tcW w:w="62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9"/>
              </w:rPr>
              <w:t>Other Pooled</w:t>
            </w:r>
          </w:p>
        </w:tc>
        <w:tc>
          <w:tcPr>
            <w:tcW w:w="148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232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168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200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60" w:type="dxa"/>
            <w:vAlign w:val="bottom"/>
          </w:tcPr>
          <w:p>
            <w:pPr>
              <w:spacing w:after="0"/>
              <w:rPr>
                <w:sz w:val="15"/>
                <w:szCs w:val="15"/>
                <w:color w:val="auto"/>
              </w:rPr>
            </w:pPr>
          </w:p>
        </w:tc>
      </w:tr>
      <w:tr>
        <w:trPr>
          <w:trHeight w:val="217"/>
        </w:trPr>
        <w:tc>
          <w:tcPr>
            <w:tcW w:w="620" w:type="dxa"/>
            <w:vAlign w:val="bottom"/>
            <w:tcBorders>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Investment Vehicles:</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620" w:type="dxa"/>
            <w:vAlign w:val="bottom"/>
            <w:tcBorders>
              <w:right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gridSpan w:val="3"/>
          </w:tcPr>
          <w:p>
            <w:pPr>
              <w:jc w:val="center"/>
              <w:ind w:right="20"/>
              <w:spacing w:after="0" w:line="194" w:lineRule="exact"/>
              <w:rPr>
                <w:sz w:val="20"/>
                <w:szCs w:val="20"/>
                <w:color w:val="auto"/>
              </w:rPr>
            </w:pPr>
            <w:r>
              <w:rPr>
                <w:rFonts w:ascii="Times New Roman" w:cs="Times New Roman" w:eastAsia="Times New Roman" w:hAnsi="Times New Roman"/>
                <w:sz w:val="17"/>
                <w:szCs w:val="17"/>
                <w:color w:val="auto"/>
                <w:w w:val="98"/>
              </w:rPr>
              <w:t>Other Accounts:</w:t>
            </w:r>
          </w:p>
        </w:tc>
        <w:tc>
          <w:tcPr>
            <w:tcW w:w="1040" w:type="dxa"/>
            <w:vAlign w:val="bottom"/>
            <w:tcBorders>
              <w:bottom w:val="single" w:sz="8" w:color="auto"/>
            </w:tcBorders>
            <w:gridSpan w:val="2"/>
          </w:tcPr>
          <w:p>
            <w:pPr>
              <w:jc w:val="center"/>
              <w:ind w:left="336"/>
              <w:spacing w:after="0" w:line="194" w:lineRule="exact"/>
              <w:rPr>
                <w:sz w:val="20"/>
                <w:szCs w:val="20"/>
                <w:color w:val="auto"/>
              </w:rPr>
            </w:pPr>
            <w:r>
              <w:rPr>
                <w:rFonts w:ascii="Times New Roman" w:cs="Times New Roman" w:eastAsia="Times New Roman" w:hAnsi="Times New Roman"/>
                <w:sz w:val="17"/>
                <w:szCs w:val="17"/>
                <w:color w:val="auto"/>
              </w:rPr>
              <w:t>16</w:t>
            </w:r>
          </w:p>
        </w:tc>
        <w:tc>
          <w:tcPr>
            <w:tcW w:w="44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gridSpan w:val="3"/>
          </w:tcPr>
          <w:p>
            <w:pPr>
              <w:jc w:val="center"/>
              <w:ind w:right="20"/>
              <w:spacing w:after="0" w:line="194" w:lineRule="exact"/>
              <w:rPr>
                <w:sz w:val="20"/>
                <w:szCs w:val="20"/>
                <w:color w:val="auto"/>
              </w:rPr>
            </w:pPr>
            <w:r>
              <w:rPr>
                <w:rFonts w:ascii="Times New Roman" w:cs="Times New Roman" w:eastAsia="Times New Roman" w:hAnsi="Times New Roman"/>
                <w:sz w:val="17"/>
                <w:szCs w:val="17"/>
                <w:color w:val="auto"/>
                <w:w w:val="99"/>
              </w:rPr>
              <w:t>$4,495,385,700</w:t>
            </w:r>
          </w:p>
        </w:tc>
        <w:tc>
          <w:tcPr>
            <w:tcW w:w="1260" w:type="dxa"/>
            <w:vAlign w:val="bottom"/>
            <w:tcBorders>
              <w:bottom w:val="single" w:sz="8" w:color="auto"/>
            </w:tcBorders>
            <w:gridSpan w:val="2"/>
          </w:tcPr>
          <w:p>
            <w:pPr>
              <w:jc w:val="center"/>
              <w:ind w:left="296"/>
              <w:spacing w:after="0" w:line="194" w:lineRule="exact"/>
              <w:rPr>
                <w:sz w:val="20"/>
                <w:szCs w:val="20"/>
                <w:color w:val="auto"/>
              </w:rPr>
            </w:pPr>
            <w:r>
              <w:rPr>
                <w:rFonts w:ascii="Times New Roman" w:cs="Times New Roman" w:eastAsia="Times New Roman" w:hAnsi="Times New Roman"/>
                <w:sz w:val="17"/>
                <w:szCs w:val="17"/>
                <w:color w:val="auto"/>
                <w:w w:val="93"/>
              </w:rPr>
              <w:t>16</w:t>
            </w:r>
          </w:p>
        </w:tc>
        <w:tc>
          <w:tcPr>
            <w:tcW w:w="42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right w:val="single" w:sz="8" w:color="auto"/>
            </w:tcBorders>
            <w:gridSpan w:val="3"/>
          </w:tcPr>
          <w:p>
            <w:pPr>
              <w:jc w:val="center"/>
              <w:ind w:right="20"/>
              <w:spacing w:after="0" w:line="194" w:lineRule="exact"/>
              <w:rPr>
                <w:sz w:val="20"/>
                <w:szCs w:val="20"/>
                <w:color w:val="auto"/>
              </w:rPr>
            </w:pPr>
            <w:r>
              <w:rPr>
                <w:rFonts w:ascii="Times New Roman" w:cs="Times New Roman" w:eastAsia="Times New Roman" w:hAnsi="Times New Roman"/>
                <w:sz w:val="17"/>
                <w:szCs w:val="17"/>
                <w:color w:val="auto"/>
                <w:w w:val="99"/>
              </w:rPr>
              <w:t>$4,495,385,700</w:t>
            </w:r>
          </w:p>
        </w:tc>
        <w:tc>
          <w:tcPr>
            <w:tcW w:w="60" w:type="dxa"/>
            <w:vAlign w:val="bottom"/>
          </w:tcPr>
          <w:p>
            <w:pPr>
              <w:spacing w:after="0"/>
              <w:rPr>
                <w:sz w:val="16"/>
                <w:szCs w:val="16"/>
                <w:color w:val="auto"/>
              </w:rPr>
            </w:pPr>
          </w:p>
        </w:tc>
      </w:tr>
      <w:tr>
        <w:trPr>
          <w:trHeight w:val="177"/>
        </w:trPr>
        <w:tc>
          <w:tcPr>
            <w:tcW w:w="6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gridSpan w:val="5"/>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7"/>
              </w:rPr>
              <w:t>Kaelyn Abrell</w:t>
            </w:r>
          </w:p>
        </w:tc>
        <w:tc>
          <w:tcPr>
            <w:tcW w:w="160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Registered Investment</w:t>
            </w:r>
          </w:p>
        </w:tc>
        <w:tc>
          <w:tcPr>
            <w:tcW w:w="148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232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168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200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8"/>
              </w:rPr>
              <w:t>Not applicable</w:t>
            </w:r>
          </w:p>
        </w:tc>
        <w:tc>
          <w:tcPr>
            <w:tcW w:w="60" w:type="dxa"/>
            <w:vAlign w:val="bottom"/>
          </w:tcPr>
          <w:p>
            <w:pPr>
              <w:spacing w:after="0"/>
              <w:rPr>
                <w:sz w:val="15"/>
                <w:szCs w:val="15"/>
                <w:color w:val="auto"/>
              </w:rPr>
            </w:pPr>
          </w:p>
        </w:tc>
      </w:tr>
      <w:tr>
        <w:trPr>
          <w:trHeight w:val="217"/>
        </w:trPr>
        <w:tc>
          <w:tcPr>
            <w:tcW w:w="620" w:type="dxa"/>
            <w:vAlign w:val="bottom"/>
            <w:tcBorders>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Companies:</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77"/>
        </w:trPr>
        <w:tc>
          <w:tcPr>
            <w:tcW w:w="62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9"/>
              </w:rPr>
              <w:t>Other Pooled</w:t>
            </w:r>
          </w:p>
        </w:tc>
        <w:tc>
          <w:tcPr>
            <w:tcW w:w="1040" w:type="dxa"/>
            <w:vAlign w:val="bottom"/>
            <w:gridSpan w:val="2"/>
          </w:tcPr>
          <w:p>
            <w:pPr>
              <w:jc w:val="center"/>
              <w:ind w:left="336"/>
              <w:spacing w:after="0" w:line="177" w:lineRule="exact"/>
              <w:rPr>
                <w:sz w:val="20"/>
                <w:szCs w:val="20"/>
                <w:color w:val="auto"/>
              </w:rPr>
            </w:pPr>
            <w:r>
              <w:rPr>
                <w:rFonts w:ascii="Times New Roman" w:cs="Times New Roman" w:eastAsia="Times New Roman" w:hAnsi="Times New Roman"/>
                <w:sz w:val="17"/>
                <w:szCs w:val="17"/>
                <w:color w:val="auto"/>
              </w:rPr>
              <w:t>12</w:t>
            </w:r>
          </w:p>
        </w:tc>
        <w:tc>
          <w:tcPr>
            <w:tcW w:w="440" w:type="dxa"/>
            <w:vAlign w:val="bottom"/>
            <w:tcBorders>
              <w:right w:val="single" w:sz="8" w:color="auto"/>
            </w:tcBorders>
          </w:tcPr>
          <w:p>
            <w:pPr>
              <w:spacing w:after="0"/>
              <w:rPr>
                <w:sz w:val="15"/>
                <w:szCs w:val="15"/>
                <w:color w:val="auto"/>
              </w:rPr>
            </w:pPr>
          </w:p>
        </w:tc>
        <w:tc>
          <w:tcPr>
            <w:tcW w:w="232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9"/>
              </w:rPr>
              <w:t>$4,613,919,346</w:t>
            </w:r>
          </w:p>
        </w:tc>
        <w:tc>
          <w:tcPr>
            <w:tcW w:w="1260" w:type="dxa"/>
            <w:vAlign w:val="bottom"/>
            <w:gridSpan w:val="2"/>
          </w:tcPr>
          <w:p>
            <w:pPr>
              <w:jc w:val="center"/>
              <w:ind w:left="296"/>
              <w:spacing w:after="0" w:line="177" w:lineRule="exact"/>
              <w:rPr>
                <w:sz w:val="20"/>
                <w:szCs w:val="20"/>
                <w:color w:val="auto"/>
              </w:rPr>
            </w:pPr>
            <w:r>
              <w:rPr>
                <w:rFonts w:ascii="Times New Roman" w:cs="Times New Roman" w:eastAsia="Times New Roman" w:hAnsi="Times New Roman"/>
                <w:sz w:val="17"/>
                <w:szCs w:val="17"/>
                <w:color w:val="auto"/>
                <w:w w:val="93"/>
              </w:rPr>
              <w:t>12</w:t>
            </w:r>
          </w:p>
        </w:tc>
        <w:tc>
          <w:tcPr>
            <w:tcW w:w="42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color w:val="auto"/>
                <w:w w:val="99"/>
              </w:rPr>
              <w:t>$4,613,919,346</w:t>
            </w:r>
          </w:p>
        </w:tc>
        <w:tc>
          <w:tcPr>
            <w:tcW w:w="60" w:type="dxa"/>
            <w:vAlign w:val="bottom"/>
          </w:tcPr>
          <w:p>
            <w:pPr>
              <w:spacing w:after="0"/>
              <w:rPr>
                <w:sz w:val="15"/>
                <w:szCs w:val="15"/>
                <w:color w:val="auto"/>
              </w:rPr>
            </w:pPr>
          </w:p>
        </w:tc>
      </w:tr>
      <w:tr>
        <w:trPr>
          <w:trHeight w:val="217"/>
        </w:trPr>
        <w:tc>
          <w:tcPr>
            <w:tcW w:w="620" w:type="dxa"/>
            <w:vAlign w:val="bottom"/>
            <w:tcBorders>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Investment Vehicles:</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620" w:type="dxa"/>
            <w:vAlign w:val="bottom"/>
            <w:tcBorders>
              <w:right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gridSpan w:val="3"/>
          </w:tcPr>
          <w:p>
            <w:pPr>
              <w:jc w:val="center"/>
              <w:ind w:right="20"/>
              <w:spacing w:after="0" w:line="194" w:lineRule="exact"/>
              <w:rPr>
                <w:sz w:val="20"/>
                <w:szCs w:val="20"/>
                <w:color w:val="auto"/>
              </w:rPr>
            </w:pPr>
            <w:r>
              <w:rPr>
                <w:rFonts w:ascii="Times New Roman" w:cs="Times New Roman" w:eastAsia="Times New Roman" w:hAnsi="Times New Roman"/>
                <w:sz w:val="17"/>
                <w:szCs w:val="17"/>
                <w:color w:val="auto"/>
                <w:w w:val="98"/>
              </w:rPr>
              <w:t>Other Accounts:</w:t>
            </w:r>
          </w:p>
        </w:tc>
        <w:tc>
          <w:tcPr>
            <w:tcW w:w="1040" w:type="dxa"/>
            <w:vAlign w:val="bottom"/>
            <w:tcBorders>
              <w:bottom w:val="single" w:sz="8" w:color="auto"/>
            </w:tcBorders>
            <w:gridSpan w:val="2"/>
          </w:tcPr>
          <w:p>
            <w:pPr>
              <w:jc w:val="center"/>
              <w:ind w:left="336"/>
              <w:spacing w:after="0" w:line="194" w:lineRule="exact"/>
              <w:rPr>
                <w:sz w:val="20"/>
                <w:szCs w:val="20"/>
                <w:color w:val="auto"/>
              </w:rPr>
            </w:pPr>
            <w:r>
              <w:rPr>
                <w:rFonts w:ascii="Times New Roman" w:cs="Times New Roman" w:eastAsia="Times New Roman" w:hAnsi="Times New Roman"/>
                <w:sz w:val="17"/>
                <w:szCs w:val="17"/>
                <w:color w:val="auto"/>
              </w:rPr>
              <w:t>3</w:t>
            </w:r>
          </w:p>
        </w:tc>
        <w:tc>
          <w:tcPr>
            <w:tcW w:w="44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gridSpan w:val="3"/>
          </w:tcPr>
          <w:p>
            <w:pPr>
              <w:jc w:val="center"/>
              <w:ind w:right="40"/>
              <w:spacing w:after="0" w:line="194" w:lineRule="exact"/>
              <w:rPr>
                <w:sz w:val="20"/>
                <w:szCs w:val="20"/>
                <w:color w:val="auto"/>
              </w:rPr>
            </w:pPr>
            <w:r>
              <w:rPr>
                <w:rFonts w:ascii="Times New Roman" w:cs="Times New Roman" w:eastAsia="Times New Roman" w:hAnsi="Times New Roman"/>
                <w:sz w:val="17"/>
                <w:szCs w:val="17"/>
                <w:color w:val="auto"/>
                <w:w w:val="98"/>
              </w:rPr>
              <w:t>$328,938,503</w:t>
            </w:r>
          </w:p>
        </w:tc>
        <w:tc>
          <w:tcPr>
            <w:tcW w:w="1260" w:type="dxa"/>
            <w:vAlign w:val="bottom"/>
            <w:tcBorders>
              <w:bottom w:val="single" w:sz="8" w:color="auto"/>
            </w:tcBorders>
            <w:gridSpan w:val="2"/>
          </w:tcPr>
          <w:p>
            <w:pPr>
              <w:jc w:val="center"/>
              <w:ind w:left="296"/>
              <w:spacing w:after="0" w:line="194" w:lineRule="exact"/>
              <w:rPr>
                <w:sz w:val="20"/>
                <w:szCs w:val="20"/>
                <w:color w:val="auto"/>
              </w:rPr>
            </w:pPr>
            <w:r>
              <w:rPr>
                <w:rFonts w:ascii="Times New Roman" w:cs="Times New Roman" w:eastAsia="Times New Roman" w:hAnsi="Times New Roman"/>
                <w:sz w:val="17"/>
                <w:szCs w:val="17"/>
                <w:color w:val="auto"/>
                <w:w w:val="93"/>
              </w:rPr>
              <w:t>1</w:t>
            </w:r>
          </w:p>
        </w:tc>
        <w:tc>
          <w:tcPr>
            <w:tcW w:w="42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476"/>
              <w:spacing w:after="0" w:line="194" w:lineRule="exact"/>
              <w:rPr>
                <w:sz w:val="20"/>
                <w:szCs w:val="20"/>
                <w:color w:val="auto"/>
              </w:rPr>
            </w:pPr>
            <w:r>
              <w:rPr>
                <w:rFonts w:ascii="Times New Roman" w:cs="Times New Roman" w:eastAsia="Times New Roman" w:hAnsi="Times New Roman"/>
                <w:sz w:val="17"/>
                <w:szCs w:val="17"/>
                <w:color w:val="auto"/>
                <w:w w:val="96"/>
              </w:rPr>
              <w:t>$2,638,833</w:t>
            </w:r>
          </w:p>
        </w:tc>
        <w:tc>
          <w:tcPr>
            <w:tcW w:w="580" w:type="dxa"/>
            <w:vAlign w:val="bottom"/>
            <w:tcBorders>
              <w:bottom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596"/>
        </w:trPr>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t>Potential Conflicts of Interests</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Advisor and its affiliates manage funds and accounts other than those of the registrant that have similar investment objectives. The investment policies, Advisor compensation arrangements and other circumstances of the registrant may vary from those of these other funds and accounts. Accordingly, conflicts may arise regarding the allocation of investments or opportunities among the registrant and those other accounts. In certain cases, investment opportunities may be made available to the registrant by our Advisor other than on a pro rata basis. For example, the registrant may desire to retain an asset at the same time that one or more of those other funds or accounts desires to sell, or the registrant may not have additional capital to invest at the same time as such other funds and accounts. The Advisor intends to allocate investment opportunities to the registrant and those other funds and accounts in a manner that they believe, in their good faith judgment and based upon their fiduciary duties, to be appropriate considering a variety of factors such as the investment objectives, size of transaction, investable assets, alternative investments potentially available, prior allocations, liquidity, maturity, expected holding period, diversification, lender covenants and other limitations of the registrant and other funds or accounts.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There may be situations in which one or more funds or accounts managed by the Advisor or its affiliates might invest in different securities issued by the same company. It is possible that if the target company’s financial performance and condition deteriorates such that one or both investments are or could be impaired, the Advisor might face a conflict of interest given the difference in seniority of the respective investments. In such situations, the Advisor would review the conflict on a case-by-case basis and implement procedures consistent with its fiduciary duties to enable it to act fairly to each of its clients in the circumstances. Any steps by the Advisor will take into consideration the interests of each of the affected clients, the circumstances giving rise to the conflict, the procedural efficacy of various methods of addressing the conflict and applicable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377190</wp:posOffset>
            </wp:positionV>
            <wp:extent cx="71418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640"/>
          </w:cols>
          <w:pgMar w:left="920" w:top="823" w:right="339" w:bottom="1440" w:gutter="0" w:footer="0" w:header="0"/>
        </w:sectPr>
      </w:pPr>
    </w:p>
    <w:bookmarkStart w:id="67" w:name="page68"/>
    <w:bookmarkEnd w:id="67"/>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Our board of directors, including a majority of our directors who are independent, is responsible for reviewing and approving the terms of all transactions between the registrant and the Advisor or its affiliates or any member of our board of directors, including (when applicable) the economic, structural and other terms of the registrant’s investments and investment transactions and the review of any investment decisions that may present potential conflicts of interest among the Advisor and its affiliates, on one hand, and the registrant, on the other. The board of directors, including a majority of the directors who are independent, is also responsible for reviewing the Advisor’s performance and the fees and expenses that paid to the Advisor. In addition, the Adviser has adopted policies that are intended to provide reasonable oversight fair and equitable treatment to the Advisor’s clients over time.</w:t>
      </w:r>
    </w:p>
    <w:p>
      <w:pPr>
        <w:spacing w:after="0" w:line="17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(a)(3)</w:t>
        <w:tab/>
        <w:t>Compensation Structure of Portfolio Manager(s) or Management Team Members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As of December 31, 2025:</w:t>
      </w:r>
    </w:p>
    <w:p>
      <w:pPr>
        <w:spacing w:after="0" w:line="211" w:lineRule="exact"/>
        <w:rPr>
          <w:sz w:val="20"/>
          <w:szCs w:val="20"/>
          <w:color w:val="auto"/>
        </w:rPr>
      </w:pPr>
    </w:p>
    <w:p>
      <w:pPr>
        <w:jc w:val="both"/>
        <w:ind w:left="600"/>
        <w:spacing w:after="0" w:line="260" w:lineRule="auto"/>
        <w:rPr>
          <w:sz w:val="20"/>
          <w:szCs w:val="20"/>
          <w:color w:val="auto"/>
        </w:rPr>
      </w:pPr>
      <w:r>
        <w:rPr>
          <w:rFonts w:ascii="Times New Roman" w:cs="Times New Roman" w:eastAsia="Times New Roman" w:hAnsi="Times New Roman"/>
          <w:sz w:val="17"/>
          <w:szCs w:val="17"/>
          <w:color w:val="auto"/>
        </w:rPr>
        <w:t>Portfolio Manager compensation may include a variety of components and may vary from year to year based on a number of factors. The principal components of compensation include a base salary, a performance-based discretionary bonus, participation in various benefits programs and ownership economics of the Advisor and its affiliates.</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Base Compensation</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Generally, portfolio managers receive base compensation based on their position with the firm.</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Discretionary Incentive Compensation</w:t>
      </w:r>
    </w:p>
    <w:p>
      <w:pPr>
        <w:spacing w:after="0" w:line="211" w:lineRule="exact"/>
        <w:rPr>
          <w:sz w:val="20"/>
          <w:szCs w:val="20"/>
          <w:color w:val="auto"/>
        </w:rPr>
      </w:pPr>
    </w:p>
    <w:p>
      <w:pPr>
        <w:jc w:val="both"/>
        <w:ind w:left="600"/>
        <w:spacing w:after="0" w:line="260" w:lineRule="auto"/>
        <w:rPr>
          <w:sz w:val="20"/>
          <w:szCs w:val="20"/>
          <w:color w:val="auto"/>
        </w:rPr>
      </w:pPr>
      <w:r>
        <w:rPr>
          <w:rFonts w:ascii="Times New Roman" w:cs="Times New Roman" w:eastAsia="Times New Roman" w:hAnsi="Times New Roman"/>
          <w:sz w:val="17"/>
          <w:szCs w:val="17"/>
          <w:color w:val="auto"/>
        </w:rPr>
        <w:t>Discretionary incentive compensation is a function of several components: the performance of Advisor and its affiliates, the performance of the portfolio manager’s group, the investment performance, including risk-adjusted returns, of the firm’s assets or strategies under management or supervision by that portfolio manager, and/or the individual’s performance and contribution to the overall performance of the strategies under management.</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Other Compensation Benefits.</w:t>
      </w:r>
    </w:p>
    <w:p>
      <w:pPr>
        <w:spacing w:after="0" w:line="211" w:lineRule="exact"/>
        <w:rPr>
          <w:sz w:val="20"/>
          <w:szCs w:val="20"/>
          <w:color w:val="auto"/>
        </w:rPr>
      </w:pPr>
    </w:p>
    <w:p>
      <w:pPr>
        <w:jc w:val="both"/>
        <w:ind w:left="600"/>
        <w:spacing w:after="0" w:line="273" w:lineRule="auto"/>
        <w:rPr>
          <w:sz w:val="20"/>
          <w:szCs w:val="20"/>
          <w:color w:val="auto"/>
        </w:rPr>
      </w:pPr>
      <w:r>
        <w:rPr>
          <w:rFonts w:ascii="Times New Roman" w:cs="Times New Roman" w:eastAsia="Times New Roman" w:hAnsi="Times New Roman"/>
          <w:sz w:val="17"/>
          <w:szCs w:val="17"/>
          <w:color w:val="auto"/>
        </w:rPr>
        <w:t>In addition to base salary and discretionary incentive compensation, portfolio managers may be eligible to receive ownership economics of the Advisor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366395</wp:posOffset>
            </wp:positionV>
            <wp:extent cx="71418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8" w:name="page69"/>
    <w:bookmarkEnd w:id="68"/>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(a)(4)</w:t>
        <w:tab/>
        <w:t>Disclosure of Securities Ownership</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144145</wp:posOffset>
            </wp:positionV>
            <wp:extent cx="4636135" cy="382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636135" cy="382905"/>
                    </a:xfrm>
                    <a:prstGeom prst="rect">
                      <a:avLst/>
                    </a:prstGeom>
                    <a:noFill/>
                  </pic:spPr>
                </pic:pic>
              </a:graphicData>
            </a:graphic>
          </wp:anchor>
        </w:drawing>
      </w:r>
    </w:p>
    <w:p>
      <w:pPr>
        <w:spacing w:after="0" w:line="192"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Name of Portfolio</w:t>
            </w:r>
          </w:p>
        </w:tc>
        <w:tc>
          <w:tcPr>
            <w:tcW w:w="14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Manager or Team</w:t>
            </w:r>
          </w:p>
        </w:tc>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Dollar ($) Range of Fund Shares</w:t>
            </w:r>
          </w:p>
        </w:tc>
      </w:tr>
      <w:tr>
        <w:trPr>
          <w:trHeight w:val="22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Member</w:t>
            </w:r>
          </w:p>
        </w:tc>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Beneficially Owned</w:t>
            </w:r>
          </w:p>
        </w:tc>
      </w:tr>
      <w:tr>
        <w:trPr>
          <w:trHeight w:val="206"/>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Sanjai Bhonsle</w:t>
            </w:r>
          </w:p>
        </w:tc>
        <w:tc>
          <w:tcPr>
            <w:tcW w:w="14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$100,000 - $500,000</w:t>
            </w:r>
          </w:p>
        </w:tc>
      </w:tr>
      <w:tr>
        <w:trPr>
          <w:trHeight w:val="214"/>
        </w:trPr>
        <w:tc>
          <w:tcPr>
            <w:tcW w:w="3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Karen Reidy</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$100,000 - $500,000</w:t>
            </w:r>
          </w:p>
        </w:tc>
      </w:tr>
      <w:tr>
        <w:trPr>
          <w:trHeight w:val="21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Kaelyn Abrell</w:t>
            </w:r>
          </w:p>
        </w:tc>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None</w:t>
            </w:r>
          </w:p>
        </w:tc>
      </w:tr>
    </w:tbl>
    <w:p>
      <w:pPr>
        <w:spacing w:after="0" w:line="386" w:lineRule="exact"/>
        <w:rPr>
          <w:sz w:val="20"/>
          <w:szCs w:val="20"/>
          <w:color w:val="auto"/>
        </w:rPr>
      </w:pPr>
    </w:p>
    <w:p>
      <w:pPr>
        <w:ind w:left="600" w:hanging="599"/>
        <w:spacing w:after="0"/>
        <w:tabs>
          <w:tab w:leader="none" w:pos="60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Purchases of Equity Securities by Closed-End Management Investment Company and Affiliated Purchasers.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Submission of Matters to a Vote of Security Holders.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There have been no material changes to the procedures by which the shareholders may recommend nominees to the registrant’s board of directors, where those changes were implemented after the registrant last provided disclosure in response to the requirements of Item 407(c)(2)(iv) of Regulation S-K (17 CFR 229.407) (as required by Item 22(b)(15) of Schedule 14A (17 CFR 240.14a-101)), or this Item.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Controls and Procedures.</w:t>
      </w:r>
    </w:p>
    <w:p>
      <w:pPr>
        <w:spacing w:after="0" w:line="211" w:lineRule="exact"/>
        <w:rPr>
          <w:sz w:val="20"/>
          <w:szCs w:val="20"/>
          <w:color w:val="auto"/>
        </w:rPr>
      </w:pPr>
    </w:p>
    <w:p>
      <w:pPr>
        <w:jc w:val="both"/>
        <w:ind w:left="600" w:hanging="298"/>
        <w:spacing w:after="0" w:line="253" w:lineRule="auto"/>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principal executive and principal financial officers, or persons performing similar functions, have concluded that the registrant’s disclosure controls and procedures (as defined in Rule 30a-3(c) under the Investment Company Act of 1940, as amended (the “1940 Act”) (17 CFR 270.30a-3(c))) are effective, as of a date within 90 days of the filing date of the report that includes the disclosure required by this paragraph, based on their evaluation of these controls and procedures required by Rule 30a-3(b) under the 1940 Act (17 CFR 270.30a-3(b)) and Rules 13a-15(b) or 15d-15(b) under the Securities Exchange Act of 1934, as amended (17 CFR 240.13a-15(b) or 240.15d-15(b)).</w:t>
      </w:r>
    </w:p>
    <w:p>
      <w:pPr>
        <w:spacing w:after="0" w:line="176" w:lineRule="exact"/>
        <w:rPr>
          <w:rFonts w:ascii="Times New Roman" w:cs="Times New Roman" w:eastAsia="Times New Roman" w:hAnsi="Times New Roman"/>
          <w:sz w:val="17"/>
          <w:szCs w:val="17"/>
          <w:color w:val="auto"/>
        </w:rPr>
      </w:pPr>
    </w:p>
    <w:p>
      <w:pPr>
        <w:jc w:val="both"/>
        <w:ind w:left="600" w:hanging="298"/>
        <w:spacing w:after="0" w:line="260" w:lineRule="auto"/>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were no changes in the registrant’s internal control over financial reporting (as defined in Rule 30a-3(d) under the 1940 Act (17 CFR 270.30a-3(d))) that occurred during the period covered by this report that has materially affected, or is reasonably likely to materially affect,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373380</wp:posOffset>
            </wp:positionV>
            <wp:extent cx="7141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color w:val="auto"/>
        </w:rPr>
        <w:t>Item 17. Disclosure of Securities Lending Activities for Closed-End Management Investment Companies.</w:t>
      </w:r>
    </w:p>
    <w:p>
      <w:pPr>
        <w:spacing w:after="0" w:line="211" w:lineRule="exact"/>
        <w:rPr>
          <w:sz w:val="20"/>
          <w:szCs w:val="20"/>
          <w:color w:val="auto"/>
        </w:rPr>
      </w:pPr>
    </w:p>
    <w:p>
      <w:pPr>
        <w:ind w:left="520" w:hanging="218"/>
        <w:spacing w:after="0"/>
        <w:tabs>
          <w:tab w:leader="none" w:pos="5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6"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18. Recovery of Erroneously Awarded Compensation.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19. Exhibits.</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u w:val="single" w:color="auto"/>
          <w:color w:val="0000EE"/>
        </w:rPr>
        <w:t>(a)(1)</w:t>
      </w:r>
      <w:r>
        <w:rPr>
          <w:sz w:val="20"/>
          <w:szCs w:val="20"/>
          <w:color w:val="auto"/>
        </w:rPr>
        <w:tab/>
      </w:r>
      <w:r>
        <w:rPr>
          <w:rFonts w:ascii="Times New Roman" w:cs="Times New Roman" w:eastAsia="Times New Roman" w:hAnsi="Times New Roman"/>
          <w:sz w:val="17"/>
          <w:szCs w:val="17"/>
          <w:u w:val="single" w:color="auto"/>
          <w:color w:val="0000EE"/>
        </w:rPr>
        <w:t>Code of Ethics – See Item 2</w:t>
      </w:r>
    </w:p>
    <w:p>
      <w:pPr>
        <w:spacing w:after="0" w:line="2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color w:val="auto"/>
        </w:rPr>
        <w:t>(a)(2)</w:t>
      </w:r>
      <w:r>
        <w:rPr>
          <w:sz w:val="20"/>
          <w:szCs w:val="20"/>
          <w:color w:val="auto"/>
        </w:rPr>
        <w:tab/>
      </w:r>
      <w:r>
        <w:rPr>
          <w:rFonts w:ascii="Times New Roman" w:cs="Times New Roman" w:eastAsia="Times New Roman" w:hAnsi="Times New Roman"/>
          <w:sz w:val="17"/>
          <w:szCs w:val="17"/>
          <w:color w:val="auto"/>
        </w:rPr>
        <w:t>Not applicable.</w:t>
      </w:r>
    </w:p>
    <w:p>
      <w:pPr>
        <w:spacing w:after="0" w:line="2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u w:val="single" w:color="auto"/>
          <w:color w:val="0000EE"/>
        </w:rPr>
        <w:t>(a)(3)</w:t>
      </w:r>
      <w:r>
        <w:rPr>
          <w:sz w:val="20"/>
          <w:szCs w:val="20"/>
          <w:color w:val="auto"/>
        </w:rPr>
        <w:tab/>
      </w:r>
      <w:r>
        <w:rPr>
          <w:rFonts w:ascii="Times New Roman" w:cs="Times New Roman" w:eastAsia="Times New Roman" w:hAnsi="Times New Roman"/>
          <w:sz w:val="17"/>
          <w:szCs w:val="17"/>
          <w:u w:val="single" w:color="auto"/>
          <w:color w:val="0000EE"/>
        </w:rPr>
        <w:t>Certifications pursuant to Rule 30a-2(a) under the 1940 Act and Section 302 of the Sarbanes-Oxley Act of 2002 are attached hereto.</w:t>
      </w:r>
    </w:p>
    <w:p>
      <w:pPr>
        <w:spacing w:after="0" w:line="207" w:lineRule="exact"/>
        <w:rPr>
          <w:sz w:val="20"/>
          <w:szCs w:val="20"/>
          <w:color w:val="auto"/>
        </w:rPr>
      </w:pPr>
    </w:p>
    <w:p>
      <w:pPr>
        <w:ind w:left="900" w:hanging="899"/>
        <w:spacing w:after="0" w:line="273" w:lineRule="auto"/>
        <w:tabs>
          <w:tab w:leader="none" w:pos="880" w:val="left"/>
        </w:tabs>
        <w:rPr>
          <w:sz w:val="20"/>
          <w:szCs w:val="20"/>
          <w:color w:val="auto"/>
        </w:rPr>
      </w:pPr>
      <w:r>
        <w:rPr>
          <w:rFonts w:ascii="Times New Roman" w:cs="Times New Roman" w:eastAsia="Times New Roman" w:hAnsi="Times New Roman"/>
          <w:sz w:val="17"/>
          <w:szCs w:val="17"/>
          <w:color w:val="auto"/>
        </w:rPr>
        <w:t>(a)(4)</w:t>
      </w:r>
      <w:r>
        <w:rPr>
          <w:sz w:val="20"/>
          <w:szCs w:val="20"/>
          <w:color w:val="auto"/>
        </w:rPr>
        <w:tab/>
      </w:r>
      <w:r>
        <w:rPr>
          <w:rFonts w:ascii="Times New Roman" w:cs="Times New Roman" w:eastAsia="Times New Roman" w:hAnsi="Times New Roman"/>
          <w:sz w:val="17"/>
          <w:szCs w:val="17"/>
          <w:color w:val="auto"/>
        </w:rPr>
        <w:t>There were no written solicitations to purchase securities under Rule 23c-1 under the Act sent or given during the period covered by the report by or on behalf of the Registrant to 10 or more persons.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color w:val="auto"/>
        </w:rPr>
        <w:t>(a)(5)</w:t>
      </w:r>
      <w:r>
        <w:rPr>
          <w:sz w:val="20"/>
          <w:szCs w:val="20"/>
          <w:color w:val="auto"/>
        </w:rPr>
        <w:tab/>
      </w:r>
      <w:r>
        <w:rPr>
          <w:rFonts w:ascii="Times New Roman" w:cs="Times New Roman" w:eastAsia="Times New Roman" w:hAnsi="Times New Roman"/>
          <w:sz w:val="17"/>
          <w:szCs w:val="17"/>
          <w:color w:val="auto"/>
        </w:rPr>
        <w:t>There was no change in the Registrant’s independent public accountant during the period covered by the report.</w:t>
      </w:r>
    </w:p>
    <w:p>
      <w:pPr>
        <w:spacing w:after="0" w:line="207" w:lineRule="exact"/>
        <w:rPr>
          <w:sz w:val="20"/>
          <w:szCs w:val="20"/>
          <w:color w:val="auto"/>
        </w:rPr>
      </w:pPr>
    </w:p>
    <w:p>
      <w:pPr>
        <w:ind w:left="900" w:hanging="899"/>
        <w:spacing w:after="0"/>
        <w:tabs>
          <w:tab w:leader="none" w:pos="900" w:val="left"/>
        </w:tabs>
        <w:numPr>
          <w:ilvl w:val="0"/>
          <w:numId w:val="5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Certifications pursuant to Rule 30a-2(b) under the 1940 Act and Section 906 of the Sarbanes- Oxley Act of 2002 are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396875</wp:posOffset>
            </wp:positionV>
            <wp:extent cx="7141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color w:val="auto"/>
        </w:rPr>
        <w:t>(Registrant)</w:t>
        <w:tab/>
        <w:t>ArrowMark Financial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13970</wp:posOffset>
            </wp:positionV>
            <wp:extent cx="29286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28620" cy="8255"/>
                    </a:xfrm>
                    <a:prstGeom prst="rect">
                      <a:avLst/>
                    </a:prstGeom>
                    <a:noFill/>
                  </pic:spPr>
                </pic:pic>
              </a:graphicData>
            </a:graphic>
          </wp:anchor>
        </w:drawing>
      </w:r>
    </w:p>
    <w:p>
      <w:pPr>
        <w:spacing w:after="0" w:line="199"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7"/>
          <w:szCs w:val="17"/>
          <w:color w:val="auto"/>
        </w:rPr>
        <w:t>By (Signature and Title)*</w:t>
      </w:r>
      <w:r>
        <w:rPr>
          <w:sz w:val="20"/>
          <w:szCs w:val="20"/>
          <w:color w:val="auto"/>
        </w:rPr>
        <w:tab/>
      </w:r>
      <w:r>
        <w:rPr>
          <w:rFonts w:ascii="Times New Roman" w:cs="Times New Roman" w:eastAsia="Times New Roman" w:hAnsi="Times New Roman"/>
          <w:sz w:val="16"/>
          <w:szCs w:val="16"/>
          <w:color w:val="auto"/>
        </w:rPr>
        <w:t>/s/ Sanjai Bhonsle</w:t>
      </w:r>
    </w:p>
    <w:p>
      <w:pPr>
        <w:spacing w:after="0" w:line="2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Sanjai Bhonsle, Chief Executive Officer &amp;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-123190</wp:posOffset>
            </wp:positionV>
            <wp:extent cx="23539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53945" cy="8255"/>
                    </a:xfrm>
                    <a:prstGeom prst="rect">
                      <a:avLst/>
                    </a:prstGeom>
                    <a:noFill/>
                  </pic:spPr>
                </pic:pic>
              </a:graphicData>
            </a:graphic>
          </wp:anchor>
        </w:drawing>
      </w:r>
    </w:p>
    <w:p>
      <w:pPr>
        <w:ind w:left="1920"/>
        <w:spacing w:after="0"/>
        <w:rPr>
          <w:sz w:val="20"/>
          <w:szCs w:val="20"/>
          <w:color w:val="auto"/>
        </w:rPr>
      </w:pPr>
      <w:r>
        <w:rPr>
          <w:rFonts w:ascii="Times New Roman" w:cs="Times New Roman" w:eastAsia="Times New Roman" w:hAnsi="Times New Roman"/>
          <w:sz w:val="17"/>
          <w:szCs w:val="17"/>
          <w:color w:val="auto"/>
        </w:rPr>
        <w:t>of the Board</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9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Date</w:t>
        <w:tab/>
        <w:t>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13970</wp:posOffset>
            </wp:positionV>
            <wp:extent cx="32156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15640" cy="8255"/>
                    </a:xfrm>
                    <a:prstGeom prst="rect">
                      <a:avLst/>
                    </a:prstGeom>
                    <a:noFill/>
                  </pic:spPr>
                </pic:pic>
              </a:graphicData>
            </a:graphic>
          </wp:anchor>
        </w:drawing>
      </w:r>
    </w:p>
    <w:p>
      <w:pPr>
        <w:spacing w:after="0" w:line="19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(Signature and Title)*</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Sanjai Bhonsle</w:t>
            </w:r>
          </w:p>
        </w:tc>
      </w:tr>
      <w:tr>
        <w:trPr>
          <w:trHeight w:val="177"/>
        </w:trPr>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72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Sanjai Bhonsle, Chief Executive Officer &amp; Chairman</w:t>
            </w:r>
          </w:p>
        </w:tc>
      </w:tr>
      <w:tr>
        <w:trPr>
          <w:trHeight w:val="201"/>
        </w:trPr>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of the Board</w:t>
            </w:r>
          </w:p>
        </w:tc>
      </w:tr>
      <w:tr>
        <w:trPr>
          <w:trHeight w:val="217"/>
        </w:trPr>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0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March 6, 2026</w:t>
            </w:r>
          </w:p>
        </w:tc>
        <w:tc>
          <w:tcPr>
            <w:tcW w:w="3720" w:type="dxa"/>
            <w:vAlign w:val="bottom"/>
            <w:tcBorders>
              <w:bottom w:val="single" w:sz="8" w:color="auto"/>
            </w:tcBorders>
          </w:tcPr>
          <w:p>
            <w:pPr>
              <w:spacing w:after="0"/>
              <w:rPr>
                <w:sz w:val="24"/>
                <w:szCs w:val="24"/>
                <w:color w:val="auto"/>
              </w:rPr>
            </w:pPr>
          </w:p>
        </w:tc>
      </w:tr>
      <w:tr>
        <w:trPr>
          <w:trHeight w:val="395"/>
        </w:trPr>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(Signature and Title)*</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Patrick J. Farrell</w:t>
            </w:r>
          </w:p>
        </w:tc>
      </w:tr>
      <w:tr>
        <w:trPr>
          <w:trHeight w:val="177"/>
        </w:trPr>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72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Patrick J. Farrell, Chief Financial Officer</w:t>
            </w:r>
          </w:p>
        </w:tc>
      </w:tr>
      <w:tr>
        <w:trPr>
          <w:trHeight w:val="217"/>
        </w:trPr>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0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March 6, 2026</w:t>
            </w:r>
          </w:p>
        </w:tc>
        <w:tc>
          <w:tcPr>
            <w:tcW w:w="3720" w:type="dxa"/>
            <w:vAlign w:val="bottom"/>
            <w:tcBorders>
              <w:bottom w:val="single" w:sz="8" w:color="auto"/>
            </w:tcBorders>
          </w:tcPr>
          <w:p>
            <w:pPr>
              <w:spacing w:after="0"/>
              <w:rPr>
                <w:sz w:val="24"/>
                <w:szCs w:val="24"/>
                <w:color w:val="auto"/>
              </w:rPr>
            </w:pPr>
          </w:p>
        </w:tc>
      </w:tr>
    </w:tbl>
    <w:p>
      <w:pPr>
        <w:spacing w:after="0" w:line="118" w:lineRule="exact"/>
        <w:rPr>
          <w:sz w:val="20"/>
          <w:szCs w:val="20"/>
          <w:color w:val="auto"/>
        </w:rPr>
      </w:pPr>
    </w:p>
    <w:p>
      <w:pPr>
        <w:ind w:left="120" w:hanging="119"/>
        <w:spacing w:after="0"/>
        <w:tabs>
          <w:tab w:leader="none" w:pos="120" w:val="left"/>
        </w:tabs>
        <w:numPr>
          <w:ilvl w:val="0"/>
          <w:numId w:val="5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Print the name and title of each signing officer under his or her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382905</wp:posOffset>
            </wp:positionV>
            <wp:extent cx="71418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auto"/>
        </w:rPr>
        <w:t>Exhibit 99.CERT</w:t>
      </w:r>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Certification Pursuant to Rule 30a-2(a) under the 1940 Act and Section 302 of the Sarbanes-Oxley Act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Sanjai Bhonsle, certify that:</w:t>
      </w:r>
    </w:p>
    <w:p>
      <w:pPr>
        <w:spacing w:after="0" w:line="207" w:lineRule="exact"/>
        <w:rPr>
          <w:sz w:val="20"/>
          <w:szCs w:val="20"/>
          <w:color w:val="auto"/>
        </w:rPr>
      </w:pPr>
    </w:p>
    <w:p>
      <w:pPr>
        <w:ind w:left="600" w:hanging="599"/>
        <w:spacing w:after="0"/>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N-CSR of ArrowMark Financial Corp.;</w:t>
      </w:r>
    </w:p>
    <w:p>
      <w:pPr>
        <w:spacing w:after="0" w:line="206" w:lineRule="exact"/>
        <w:rPr>
          <w:rFonts w:ascii="Times New Roman" w:cs="Times New Roman" w:eastAsia="Times New Roman" w:hAnsi="Times New Roman"/>
          <w:sz w:val="17"/>
          <w:szCs w:val="17"/>
          <w:color w:val="auto"/>
        </w:rPr>
      </w:pPr>
    </w:p>
    <w:p>
      <w:pPr>
        <w:ind w:left="600" w:hanging="599"/>
        <w:spacing w:after="0" w:line="273" w:lineRule="auto"/>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0" w:lineRule="auto"/>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168" w:lineRule="exact"/>
        <w:rPr>
          <w:rFonts w:ascii="Times New Roman" w:cs="Times New Roman" w:eastAsia="Times New Roman" w:hAnsi="Times New Roman"/>
          <w:sz w:val="17"/>
          <w:szCs w:val="17"/>
          <w:color w:val="auto"/>
        </w:rPr>
      </w:pPr>
    </w:p>
    <w:p>
      <w:pPr>
        <w:jc w:val="both"/>
        <w:ind w:left="600" w:hanging="599"/>
        <w:spacing w:after="0" w:line="260" w:lineRule="auto"/>
        <w:tabs>
          <w:tab w:leader="none" w:pos="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68" w:lineRule="exact"/>
        <w:rPr>
          <w:rFonts w:ascii="Times New Roman" w:cs="Times New Roman" w:eastAsia="Times New Roman" w:hAnsi="Times New Roman"/>
          <w:sz w:val="17"/>
          <w:szCs w:val="17"/>
          <w:color w:val="auto"/>
        </w:rPr>
      </w:pPr>
    </w:p>
    <w:p>
      <w:pPr>
        <w:jc w:val="both"/>
        <w:ind w:left="900" w:hanging="296"/>
        <w:spacing w:after="0" w:line="260" w:lineRule="auto"/>
        <w:tabs>
          <w:tab w:leader="none" w:pos="90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7"/>
          <w:szCs w:val="17"/>
          <w:color w:val="auto"/>
        </w:rPr>
      </w:pPr>
    </w:p>
    <w:p>
      <w:pPr>
        <w:jc w:val="both"/>
        <w:ind w:left="900" w:hanging="296"/>
        <w:spacing w:after="0" w:line="260" w:lineRule="auto"/>
        <w:tabs>
          <w:tab w:leader="none" w:pos="90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7"/>
          <w:szCs w:val="17"/>
          <w:color w:val="auto"/>
        </w:rPr>
      </w:pPr>
    </w:p>
    <w:p>
      <w:pPr>
        <w:ind w:left="900" w:hanging="296"/>
        <w:spacing w:after="0" w:line="273" w:lineRule="auto"/>
        <w:tabs>
          <w:tab w:leader="none" w:pos="90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58" w:lineRule="exact"/>
        <w:rPr>
          <w:rFonts w:ascii="Times New Roman" w:cs="Times New Roman" w:eastAsia="Times New Roman" w:hAnsi="Times New Roman"/>
          <w:sz w:val="17"/>
          <w:szCs w:val="17"/>
          <w:color w:val="auto"/>
        </w:rPr>
      </w:pPr>
    </w:p>
    <w:p>
      <w:pPr>
        <w:ind w:left="900" w:hanging="296"/>
        <w:spacing w:after="0" w:line="273" w:lineRule="auto"/>
        <w:tabs>
          <w:tab w:leader="none" w:pos="90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382270</wp:posOffset>
            </wp:positionV>
            <wp:extent cx="71418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left="600" w:hanging="599"/>
        <w:spacing w:after="0" w:line="273" w:lineRule="auto"/>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900" w:hanging="296"/>
        <w:spacing w:after="0" w:line="273" w:lineRule="auto"/>
        <w:tabs>
          <w:tab w:leader="none" w:pos="9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900" w:hanging="296"/>
        <w:spacing w:after="0" w:line="273" w:lineRule="auto"/>
        <w:tabs>
          <w:tab w:leader="none" w:pos="9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March 6, 2026</w:t>
            </w: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/s/ Sanjai Bhonsle</w:t>
            </w:r>
          </w:p>
        </w:tc>
      </w:tr>
      <w:tr>
        <w:trPr>
          <w:trHeight w:val="177"/>
        </w:trPr>
        <w:tc>
          <w:tcPr>
            <w:tcW w:w="560" w:type="dxa"/>
            <w:vAlign w:val="bottom"/>
          </w:tcPr>
          <w:p>
            <w:pPr>
              <w:spacing w:after="0"/>
              <w:rPr>
                <w:sz w:val="15"/>
                <w:szCs w:val="15"/>
                <w:color w:val="auto"/>
              </w:rPr>
            </w:pPr>
          </w:p>
        </w:tc>
        <w:tc>
          <w:tcPr>
            <w:tcW w:w="4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Sanjai Bhonsle, Chief Executive Officer &amp; Chairman of the Board</w:t>
            </w:r>
          </w:p>
        </w:tc>
      </w:tr>
      <w:tr>
        <w:trPr>
          <w:trHeight w:val="217"/>
        </w:trPr>
        <w:tc>
          <w:tcPr>
            <w:tcW w:w="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629"/>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2" w:right="339" w:bottom="1440" w:gutter="0" w:footer="0" w:header="0"/>
        </w:sectPr>
      </w:pPr>
    </w:p>
    <w:bookmarkStart w:id="73" w:name="page74"/>
    <w:bookmarkEnd w:id="73"/>
    <w:p>
      <w:pPr>
        <w:ind w:left="1980"/>
        <w:spacing w:after="0"/>
        <w:rPr>
          <w:sz w:val="20"/>
          <w:szCs w:val="20"/>
          <w:color w:val="auto"/>
        </w:rPr>
      </w:pPr>
      <w:r>
        <w:rPr>
          <w:rFonts w:ascii="Times New Roman" w:cs="Times New Roman" w:eastAsia="Times New Roman" w:hAnsi="Times New Roman"/>
          <w:sz w:val="17"/>
          <w:szCs w:val="17"/>
          <w:b w:val="1"/>
          <w:bCs w:val="1"/>
          <w:color w:val="auto"/>
        </w:rPr>
        <w:t>Certification Pursuant to Rule 30a-2(a) under the 1940 Act and Section 302 of the Sarbanes-Oxley Act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Patrick J. Farrell, certify that:</w:t>
      </w:r>
    </w:p>
    <w:p>
      <w:pPr>
        <w:spacing w:after="0" w:line="207" w:lineRule="exact"/>
        <w:rPr>
          <w:sz w:val="20"/>
          <w:szCs w:val="20"/>
          <w:color w:val="auto"/>
        </w:rPr>
      </w:pPr>
    </w:p>
    <w:p>
      <w:pPr>
        <w:ind w:left="600" w:hanging="599"/>
        <w:spacing w:after="0"/>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N-CSR of ArrowMark Financial Corp.;</w:t>
      </w:r>
    </w:p>
    <w:p>
      <w:pPr>
        <w:spacing w:after="0" w:line="206" w:lineRule="exact"/>
        <w:rPr>
          <w:rFonts w:ascii="Times New Roman" w:cs="Times New Roman" w:eastAsia="Times New Roman" w:hAnsi="Times New Roman"/>
          <w:sz w:val="17"/>
          <w:szCs w:val="17"/>
          <w:color w:val="auto"/>
        </w:rPr>
      </w:pPr>
    </w:p>
    <w:p>
      <w:pPr>
        <w:ind w:left="600" w:hanging="599"/>
        <w:spacing w:after="0" w:line="273" w:lineRule="auto"/>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0" w:lineRule="auto"/>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168" w:lineRule="exact"/>
        <w:rPr>
          <w:rFonts w:ascii="Times New Roman" w:cs="Times New Roman" w:eastAsia="Times New Roman" w:hAnsi="Times New Roman"/>
          <w:sz w:val="17"/>
          <w:szCs w:val="17"/>
          <w:color w:val="auto"/>
        </w:rPr>
      </w:pPr>
    </w:p>
    <w:p>
      <w:pPr>
        <w:jc w:val="both"/>
        <w:ind w:left="600" w:hanging="599"/>
        <w:spacing w:after="0" w:line="260" w:lineRule="auto"/>
        <w:tabs>
          <w:tab w:leader="none" w:pos="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68" w:lineRule="exact"/>
        <w:rPr>
          <w:rFonts w:ascii="Times New Roman" w:cs="Times New Roman" w:eastAsia="Times New Roman" w:hAnsi="Times New Roman"/>
          <w:sz w:val="17"/>
          <w:szCs w:val="17"/>
          <w:color w:val="auto"/>
        </w:rPr>
      </w:pPr>
    </w:p>
    <w:p>
      <w:pPr>
        <w:jc w:val="both"/>
        <w:ind w:left="900" w:hanging="296"/>
        <w:spacing w:after="0" w:line="260" w:lineRule="auto"/>
        <w:tabs>
          <w:tab w:leader="none" w:pos="90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7"/>
          <w:szCs w:val="17"/>
          <w:color w:val="auto"/>
        </w:rPr>
      </w:pPr>
    </w:p>
    <w:p>
      <w:pPr>
        <w:jc w:val="both"/>
        <w:ind w:left="900" w:hanging="296"/>
        <w:spacing w:after="0" w:line="260" w:lineRule="auto"/>
        <w:tabs>
          <w:tab w:leader="none" w:pos="90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7"/>
          <w:szCs w:val="17"/>
          <w:color w:val="auto"/>
        </w:rPr>
      </w:pPr>
    </w:p>
    <w:p>
      <w:pPr>
        <w:ind w:left="900" w:hanging="296"/>
        <w:spacing w:after="0" w:line="273" w:lineRule="auto"/>
        <w:tabs>
          <w:tab w:leader="none" w:pos="90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382270</wp:posOffset>
            </wp:positionV>
            <wp:extent cx="7141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74" w:name="page75"/>
    <w:bookmarkEnd w:id="74"/>
    <w:p>
      <w:pPr>
        <w:ind w:left="900" w:hanging="296"/>
        <w:spacing w:after="0" w:line="273" w:lineRule="auto"/>
        <w:tabs>
          <w:tab w:leader="none" w:pos="90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7"/>
          <w:szCs w:val="17"/>
          <w:color w:val="auto"/>
        </w:rPr>
      </w:pPr>
    </w:p>
    <w:p>
      <w:pPr>
        <w:ind w:left="600" w:hanging="599"/>
        <w:spacing w:after="0" w:line="273" w:lineRule="auto"/>
        <w:tabs>
          <w:tab w:leader="none" w:pos="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900" w:hanging="296"/>
        <w:spacing w:after="0" w:line="273" w:lineRule="auto"/>
        <w:tabs>
          <w:tab w:leader="none" w:pos="9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900" w:hanging="296"/>
        <w:spacing w:after="0" w:line="273" w:lineRule="auto"/>
        <w:tabs>
          <w:tab w:leader="none" w:pos="9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March 6, 2026</w:t>
            </w: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/s/ Patrick J. Farrell</w:t>
            </w:r>
          </w:p>
        </w:tc>
      </w:tr>
      <w:tr>
        <w:trPr>
          <w:trHeight w:val="177"/>
        </w:trPr>
        <w:tc>
          <w:tcPr>
            <w:tcW w:w="560" w:type="dxa"/>
            <w:vAlign w:val="bottom"/>
          </w:tcPr>
          <w:p>
            <w:pPr>
              <w:spacing w:after="0"/>
              <w:rPr>
                <w:sz w:val="15"/>
                <w:szCs w:val="15"/>
                <w:color w:val="auto"/>
              </w:rPr>
            </w:pPr>
          </w:p>
        </w:tc>
        <w:tc>
          <w:tcPr>
            <w:tcW w:w="4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Patrick J. Farrell, Chief Financial Officer</w:t>
            </w:r>
          </w:p>
        </w:tc>
      </w:tr>
      <w:tr>
        <w:trPr>
          <w:trHeight w:val="217"/>
        </w:trPr>
        <w:tc>
          <w:tcPr>
            <w:tcW w:w="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629"/>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7"/>
          <w:szCs w:val="17"/>
          <w:b w:val="1"/>
          <w:bCs w:val="1"/>
          <w:color w:val="auto"/>
        </w:rPr>
        <w:t>Exhibit 99.906CERT</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Certification Pursuant to Rule 30a-2(b) under the 1940 Act and Section 906 of the Sarbanes-Oxley Act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Sanjai Bhonsle, Chief Executive Officer &amp; Chairman of the Board of ArrowMark Financial Corp. (the “Registrant”), certify that:</w:t>
      </w:r>
    </w:p>
    <w:p>
      <w:pPr>
        <w:spacing w:after="0" w:line="207" w:lineRule="exact"/>
        <w:rPr>
          <w:sz w:val="20"/>
          <w:szCs w:val="20"/>
          <w:color w:val="auto"/>
        </w:rPr>
      </w:pPr>
    </w:p>
    <w:p>
      <w:pPr>
        <w:ind w:left="1200" w:hanging="596"/>
        <w:spacing w:after="0" w:line="273" w:lineRule="auto"/>
        <w:tabs>
          <w:tab w:leader="none" w:pos="12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N-CSR of the Registrant (the “Report”) fully complies with the requirements of Section 13(a) or 15(d) of the Securities Exchange Act of 1934, as amended; and</w:t>
      </w:r>
    </w:p>
    <w:p>
      <w:pPr>
        <w:spacing w:after="0" w:line="158" w:lineRule="exact"/>
        <w:rPr>
          <w:rFonts w:ascii="Times New Roman" w:cs="Times New Roman" w:eastAsia="Times New Roman" w:hAnsi="Times New Roman"/>
          <w:sz w:val="17"/>
          <w:szCs w:val="17"/>
          <w:color w:val="auto"/>
        </w:rPr>
      </w:pPr>
    </w:p>
    <w:p>
      <w:pPr>
        <w:ind w:left="1200" w:hanging="596"/>
        <w:spacing w:after="0"/>
        <w:tabs>
          <w:tab w:leader="none" w:pos="12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March 6, 2026</w:t>
            </w: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/s/ Sanjai Bhonsle</w:t>
            </w:r>
          </w:p>
        </w:tc>
      </w:tr>
      <w:tr>
        <w:trPr>
          <w:trHeight w:val="177"/>
        </w:trPr>
        <w:tc>
          <w:tcPr>
            <w:tcW w:w="560" w:type="dxa"/>
            <w:vAlign w:val="bottom"/>
          </w:tcPr>
          <w:p>
            <w:pPr>
              <w:spacing w:after="0"/>
              <w:rPr>
                <w:sz w:val="15"/>
                <w:szCs w:val="15"/>
                <w:color w:val="auto"/>
              </w:rPr>
            </w:pPr>
          </w:p>
        </w:tc>
        <w:tc>
          <w:tcPr>
            <w:tcW w:w="4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Sanjai Bhonsle, Chief Executive Officer &amp; Chairman of the Board</w:t>
            </w:r>
          </w:p>
        </w:tc>
      </w:tr>
      <w:tr>
        <w:trPr>
          <w:trHeight w:val="217"/>
        </w:trPr>
        <w:tc>
          <w:tcPr>
            <w:tcW w:w="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Patrick J. Farrell, Chief Financial Officer of ArrowMark Financial Corp. (the “Registrant”), certify that:</w:t>
      </w:r>
    </w:p>
    <w:p>
      <w:pPr>
        <w:spacing w:after="0" w:line="207" w:lineRule="exact"/>
        <w:rPr>
          <w:sz w:val="20"/>
          <w:szCs w:val="20"/>
          <w:color w:val="auto"/>
        </w:rPr>
      </w:pPr>
    </w:p>
    <w:p>
      <w:pPr>
        <w:ind w:left="1200" w:hanging="596"/>
        <w:spacing w:after="0" w:line="273" w:lineRule="auto"/>
        <w:tabs>
          <w:tab w:leader="none" w:pos="12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N-CSR of the Registrant (the “Report”) fully complies with the requirements of Section 13(a) or 15(d) of the Securities Exchange Act of 1934, as amended; and</w:t>
      </w:r>
    </w:p>
    <w:p>
      <w:pPr>
        <w:spacing w:after="0" w:line="158" w:lineRule="exact"/>
        <w:rPr>
          <w:rFonts w:ascii="Times New Roman" w:cs="Times New Roman" w:eastAsia="Times New Roman" w:hAnsi="Times New Roman"/>
          <w:sz w:val="17"/>
          <w:szCs w:val="17"/>
          <w:color w:val="auto"/>
        </w:rPr>
      </w:pPr>
    </w:p>
    <w:p>
      <w:pPr>
        <w:ind w:left="1200" w:hanging="596"/>
        <w:spacing w:after="0"/>
        <w:tabs>
          <w:tab w:leader="none" w:pos="12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March 6, 2026</w:t>
            </w: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/s/ Patrick J. Farrell</w:t>
            </w:r>
          </w:p>
        </w:tc>
      </w:tr>
      <w:tr>
        <w:trPr>
          <w:trHeight w:val="177"/>
        </w:trPr>
        <w:tc>
          <w:tcPr>
            <w:tcW w:w="560" w:type="dxa"/>
            <w:vAlign w:val="bottom"/>
          </w:tcPr>
          <w:p>
            <w:pPr>
              <w:spacing w:after="0"/>
              <w:rPr>
                <w:sz w:val="15"/>
                <w:szCs w:val="15"/>
                <w:color w:val="auto"/>
              </w:rPr>
            </w:pPr>
          </w:p>
        </w:tc>
        <w:tc>
          <w:tcPr>
            <w:tcW w:w="4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Patrick J. Farrell, Chief Financial Officer</w:t>
            </w:r>
          </w:p>
        </w:tc>
      </w:tr>
      <w:tr>
        <w:trPr>
          <w:trHeight w:val="217"/>
        </w:trPr>
        <w:tc>
          <w:tcPr>
            <w:tcW w:w="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629"/>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lowerLetter"/>
      <w:start w:val="1"/>
    </w:lvl>
  </w:abstractNum>
  <w:abstractNum w:abstractNumId="1">
    <w:nsid w:val="737B8DDC"/>
    <w:multiLevelType w:val="hybridMultilevel"/>
    <w:lvl w:ilvl="0">
      <w:lvlJc w:val="left"/>
      <w:lvlText w:val="1"/>
      <w:numFmt w:val="bullet"/>
      <w:start w:val="1"/>
    </w:lvl>
  </w:abstractNum>
  <w:abstractNum w:abstractNumId="2">
    <w:nsid w:val="6CEAF087"/>
    <w:multiLevelType w:val="hybridMultilevel"/>
    <w:lvl w:ilvl="0">
      <w:lvlJc w:val="left"/>
      <w:lvlText w:val="3"/>
      <w:numFmt w:val="bullet"/>
      <w:start w:val="1"/>
    </w:lvl>
  </w:abstractNum>
  <w:abstractNum w:abstractNumId="3">
    <w:nsid w:val="22221A70"/>
    <w:multiLevelType w:val="hybridMultilevel"/>
    <w:lvl w:ilvl="0">
      <w:lvlJc w:val="left"/>
      <w:lvlText w:val="1"/>
      <w:numFmt w:val="bullet"/>
      <w:start w:val="1"/>
    </w:lvl>
  </w:abstractNum>
  <w:abstractNum w:abstractNumId="4">
    <w:nsid w:val="4516DDE9"/>
    <w:multiLevelType w:val="hybridMultilevel"/>
    <w:lvl w:ilvl="0">
      <w:lvlJc w:val="left"/>
      <w:lvlText w:val="2"/>
      <w:numFmt w:val="bullet"/>
      <w:start w:val="1"/>
    </w:lvl>
  </w:abstractNum>
  <w:abstractNum w:abstractNumId="5">
    <w:nsid w:val="3006C83E"/>
    <w:multiLevelType w:val="hybridMultilevel"/>
    <w:lvl w:ilvl="0">
      <w:lvlJc w:val="left"/>
      <w:lvlText w:val="5"/>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2"/>
      <w:numFmt w:val="bullet"/>
      <w:start w:val="1"/>
    </w:lvl>
  </w:abstractNum>
  <w:abstractNum w:abstractNumId="13">
    <w:nsid w:val="7724C67E"/>
    <w:multiLevelType w:val="hybridMultilevel"/>
    <w:lvl w:ilvl="0">
      <w:lvlJc w:val="left"/>
      <w:lvlText w:val="3"/>
      <w:numFmt w:val="bullet"/>
      <w:start w:val="1"/>
    </w:lvl>
  </w:abstractNum>
  <w:abstractNum w:abstractNumId="14">
    <w:nsid w:val="5C482A97"/>
    <w:multiLevelType w:val="hybridMultilevel"/>
    <w:lvl w:ilvl="0">
      <w:lvlJc w:val="left"/>
      <w:lvlText w:val="4"/>
      <w:numFmt w:val="bullet"/>
      <w:start w:val="1"/>
    </w:lvl>
  </w:abstractNum>
  <w:abstractNum w:abstractNumId="15">
    <w:nsid w:val="2463B9EA"/>
    <w:multiLevelType w:val="hybridMultilevel"/>
    <w:lvl w:ilvl="0">
      <w:lvlJc w:val="left"/>
      <w:lvlText w:val="5"/>
      <w:numFmt w:val="bullet"/>
      <w:start w:val="1"/>
    </w:lvl>
  </w:abstractNum>
  <w:abstractNum w:abstractNumId="16">
    <w:nsid w:val="5E884ADC"/>
    <w:multiLevelType w:val="hybridMultilevel"/>
    <w:lvl w:ilvl="0">
      <w:lvlJc w:val="left"/>
      <w:lvlText w:val="6"/>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decimal"/>
      <w:start w:val="25"/>
    </w:lvl>
  </w:abstractNum>
  <w:abstractNum w:abstractNumId="19">
    <w:nsid w:val="580BD78F"/>
    <w:multiLevelType w:val="hybridMultilevel"/>
    <w:lvl w:ilvl="0">
      <w:lvlJc w:val="left"/>
      <w:lvlText w:val="%1"/>
      <w:numFmt w:val="decimal"/>
      <w:start w:val="27"/>
    </w:lvl>
  </w:abstractNum>
  <w:abstractNum w:abstractNumId="20">
    <w:nsid w:val="153EA438"/>
    <w:multiLevelType w:val="hybridMultilevel"/>
    <w:lvl w:ilvl="0">
      <w:lvlJc w:val="left"/>
      <w:lvlText w:val="%1"/>
      <w:numFmt w:val="decimal"/>
      <w:start w:val="29"/>
    </w:lvl>
  </w:abstractNum>
  <w:abstractNum w:abstractNumId="21">
    <w:nsid w:val="3855585C"/>
    <w:multiLevelType w:val="hybridMultilevel"/>
    <w:lvl w:ilvl="0">
      <w:lvlJc w:val="left"/>
      <w:lvlText w:val="%1"/>
      <w:numFmt w:val="decimal"/>
      <w:start w:val="31"/>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decimal"/>
      <w:start w:val="33"/>
    </w:lvl>
  </w:abstractNum>
  <w:abstractNum w:abstractNumId="24">
    <w:nsid w:val="2A487CB0"/>
    <w:multiLevelType w:val="hybridMultilevel"/>
    <w:lvl w:ilvl="0">
      <w:lvlJc w:val="left"/>
      <w:lvlText w:val="%1"/>
      <w:numFmt w:val="decimal"/>
      <w:start w:val="35"/>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37"/>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lowerLetter"/>
      <w:start w:val="3"/>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2"/>
    </w:lvl>
  </w:abstractNum>
  <w:abstractNum w:abstractNumId="34">
    <w:nsid w:val="7644A45C"/>
    <w:multiLevelType w:val="hybridMultilevel"/>
    <w:lvl w:ilvl="0">
      <w:lvlJc w:val="left"/>
      <w:lvlText w:val="(%1)"/>
      <w:numFmt w:val="lowerLetter"/>
      <w:start w:val="3"/>
    </w:lvl>
  </w:abstractNum>
  <w:abstractNum w:abstractNumId="35">
    <w:nsid w:val="32FFF902"/>
    <w:multiLevelType w:val="hybridMultilevel"/>
    <w:lvl w:ilvl="0">
      <w:lvlJc w:val="left"/>
      <w:lvlText w:val="(%1)"/>
      <w:numFmt w:val="lowerLetter"/>
      <w:start w:val="4"/>
    </w:lvl>
  </w:abstractNum>
  <w:abstractNum w:abstractNumId="36">
    <w:nsid w:val="684A481A"/>
    <w:multiLevelType w:val="hybridMultilevel"/>
    <w:lvl w:ilvl="0">
      <w:lvlJc w:val="left"/>
      <w:lvlText w:val="(%1)"/>
      <w:numFmt w:val="lowerLetter"/>
      <w:start w:val="6"/>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1"/>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upperLetter"/>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lvl w:ilvl="1">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upperLetter"/>
      <w:start w:val="1"/>
    </w:lvl>
    <w:lvl w:ilvl="1">
      <w:lvlJc w:val="left"/>
      <w:lvlText w:val="●"/>
      <w:numFmt w:val="bullet"/>
      <w:start w:val="1"/>
    </w:lvl>
  </w:abstractNum>
  <w:abstractNum w:abstractNumId="45">
    <w:nsid w:val="520EEDD1"/>
    <w:multiLevelType w:val="hybridMultilevel"/>
    <w:lvl w:ilvl="0">
      <w:lvlJc w:val="left"/>
      <w:lvlText w:val="%1."/>
      <w:numFmt w:val="upperLetter"/>
      <w:start w:val="3"/>
    </w:lvl>
  </w:abstractNum>
  <w:abstractNum w:abstractNumId="46">
    <w:nsid w:val="374A3FE6"/>
    <w:multiLevelType w:val="hybridMultilevel"/>
    <w:lvl w:ilvl="0">
      <w:lvlJc w:val="left"/>
      <w:lvlText w:val="1"/>
      <w:numFmt w:val="bullet"/>
      <w:start w:val="1"/>
    </w:lvl>
  </w:abstractNum>
  <w:abstractNum w:abstractNumId="47">
    <w:nsid w:val="4F4EF005"/>
    <w:multiLevelType w:val="hybridMultilevel"/>
    <w:lvl w:ilvl="0">
      <w:lvlJc w:val="left"/>
      <w:lvlText w:val="2"/>
      <w:numFmt w:val="bullet"/>
      <w:start w:val="1"/>
    </w:lvl>
  </w:abstractNum>
  <w:abstractNum w:abstractNumId="48">
    <w:nsid w:val="23F9C13C"/>
    <w:multiLevelType w:val="hybridMultilevel"/>
    <w:lvl w:ilvl="0">
      <w:lvlJc w:val="left"/>
      <w:lvlText w:val="5"/>
      <w:numFmt w:val="bullet"/>
      <w:start w:val="1"/>
    </w:lvl>
  </w:abstractNum>
  <w:abstractNum w:abstractNumId="49">
    <w:nsid w:val="649BB77C"/>
    <w:multiLevelType w:val="hybridMultilevel"/>
    <w:lvl w:ilvl="0">
      <w:lvlJc w:val="left"/>
      <w:lvlText w:val="(%1)"/>
      <w:numFmt w:val="lowerLetter"/>
      <w:start w:val="2"/>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2"/>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lvl w:ilvl="1">
      <w:lvlJc w:val="left"/>
      <w:lvlText w:val="(%2)"/>
      <w:numFmt w:val="lowerLetter"/>
      <w:start w:val="1"/>
    </w:lvl>
  </w:abstractNum>
  <w:abstractNum w:abstractNumId="55">
    <w:nsid w:val="47398C89"/>
    <w:multiLevelType w:val="hybridMultilevel"/>
    <w:lvl w:ilvl="0">
      <w:lvlJc w:val="left"/>
      <w:lvlText w:val="%1."/>
      <w:numFmt w:val="decimal"/>
      <w:start w:val="5"/>
    </w:lvl>
    <w:lvl w:ilvl="1">
      <w:lvlJc w:val="left"/>
      <w:lvlText w:val="(%2)"/>
      <w:numFmt w:val="lowerLetter"/>
      <w:start w:val="1"/>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4"/>
    </w:lvl>
  </w:abstractNum>
  <w:abstractNum w:abstractNumId="58">
    <w:nsid w:val="741226BB"/>
    <w:multiLevelType w:val="hybridMultilevel"/>
    <w:lvl w:ilvl="0">
      <w:lvlJc w:val="left"/>
      <w:lvlText w:val="%1."/>
      <w:numFmt w:val="decimal"/>
      <w:start w:val="5"/>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2026-03-06T12:56:09Z</dcterms:created>
  <dcterms:modified xsi:type="dcterms:W3CDTF">2026-03-06T12:56:09Z</dcterms:modified>
</cp:coreProperties>
</file>