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333-281004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Base Prospectus effective February 18, 2025)</w:t>
      </w:r>
    </w:p>
    <w:p>
      <w:pPr>
        <w:spacing w:after="0" w:line="20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Up to $25,000,000</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ArrowMark Financial Corp.</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7"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ArrowMark Financial Corp. (the “Company”) has entered into distribution agreement, dated December 15, 2025 (the “Distribution Agreement”), with ALPS Distributors, Inc. (the “Distributor”), relating to the Company’s common stock, par value $0.001 per share (“Common Stock”), offered by this Prospectus Supplement and the accompanying Prospectus. In accordance with the terms of the Distribution Agreement, the Company may offer and sell its Common Stock having an aggregate offering price of up to $25,000,000 from time to time through the Distributor for the offer and sales of shares of Common Stock. Under the Investment Company Act of 1940, as amended (the “1940 Act”), the Company may not sell any shares of Common Stock at a price below the current net asset value (“NAV”) of such Common Stock, exclusive of any distributing commission or discount.</w:t>
      </w:r>
    </w:p>
    <w:p>
      <w:pPr>
        <w:spacing w:after="0" w:line="183"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is a non-diversified, closed-end management investment company. The Company is managed by ArrowMark Asset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LLC (the “Adviser”), an investment adviser that is a wholly-owned subsidiary of ArrowMark Colorado Holdings, LLC.</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Objectives. </w:t>
      </w:r>
      <w:r>
        <w:rPr>
          <w:rFonts w:ascii="Times New Roman" w:cs="Times New Roman" w:eastAsia="Times New Roman" w:hAnsi="Times New Roman"/>
          <w:sz w:val="18"/>
          <w:szCs w:val="18"/>
          <w:color w:val="auto"/>
        </w:rPr>
        <w:t>The Company’s investment objective is to provide its stockholders with current income, and, to a lesser extent,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appreciation. There can be no assurance that the Company will achieve its investment objectives.</w:t>
      </w:r>
    </w:p>
    <w:p>
      <w:pPr>
        <w:spacing w:after="0" w:line="155"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Principal Investment Strategies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attempts to achieve its investment objective primarily by investing in regulatory capital relief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but may also invest in preferred equity, debt and subordinated debt, structured notes and securities, convertible securities (including contingent convertible securities), and common equity issued or structured by banks and financial institutions including community banks, larger regional, national and money center banks domiciled in the United States and foreign and global money center banks (“banking-related securities”). The Company makes investments that will generally be expected to pay the Company dividends and interest on a current basis and generate capital gains over time. The Company may seek to enhance its returns through the use of warrants, options and other equity conversion features. The term “risk-adjusted returns” refers to the profile of expected asset returns across a range of potential macroeconomic scenarios, and does not imply that a particular strategy or investment should be considered low-risk. The Company has a policy to invest, under normal circumstances, at least 80% of the value of its net assets plus the amount of any borrowings for investment purposes in such banking-related securities.</w:t>
      </w:r>
    </w:p>
    <w:p>
      <w:pPr>
        <w:spacing w:after="0" w:line="188"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 Listing. </w:t>
      </w:r>
      <w:r>
        <w:rPr>
          <w:rFonts w:ascii="Times New Roman" w:cs="Times New Roman" w:eastAsia="Times New Roman" w:hAnsi="Times New Roman"/>
          <w:sz w:val="18"/>
          <w:szCs w:val="18"/>
          <w:color w:val="auto"/>
        </w:rPr>
        <w:t>The Company’s currently outstanding shares of Common Stock are, and the shares of Common Stock offered by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Supplement will be, subject to notice of issuance, listed on the NASDAQ Global Select Market (“NASDAQ”) under the symbol “BANX.” As of December 11, 2025, the last reported sale price for the Company’s Common Stock on NASDAQ was $21.92 per share, and the NAV of the Common Stock was $22.60 per share, representing a discount to NAV of (3.01)%.</w:t>
      </w:r>
    </w:p>
    <w:p>
      <w:pPr>
        <w:spacing w:after="0" w:line="180"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of shares of the Company’s Common Stock, if any, under this Prospectus Supplement and the accompanying Prospectus may be made by any method that is deemed to be an “at the market offering” as defined in Rule 415 under the Securities Act of 1933 Act, as amended. The minimum price on any day at which shares of Common Stock may be sold will not be less than the Minimum Price, which will be equal to the then current NAV per share of Common Stock plus the amount of the commission per share of Common Stock to be paid to the Distributor (the “Minimum Price”). The Company and the Distributor will determine whether any sales of shares of Common Stock will be authorized on a particular day. The Company and the Distributor, however, will not authorize sales of shares of Common Stock if the price per share of Common Stock is less than the Minimum Price. The Company and the Distributor may elect not to authorize sales of shares of Common Stock on a particular day even if the price per share of Common Stock is equal to or greater than the Minimum Price or may only authorize a fixed number of shares of Common Stock to be sold on any particular day. The Company and the Distributor will have full discretion regarding whether sales of shares of Common Stock will be authorized on a particular day and, if so, in what amounts.</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Distributor may enter into sub-placement agent agreements with one or more selected dealers. The Distributor has entered into a sub-placement agent agreement, dated December 15, 2025, with UBS Securities LLC (the “Sub-Placement Agent”) relating to the shares of Common Stock offered by this Prospectus Supplement and the accompanying Prospectus. In accordance with the terms of the Sub-Placement Agent Agreement, the Company may offer and sell shares of Common Stock from time to time through the Sub-Placement Agent as sub-placement agent for the offer and sale of shares of Common Stock. The Company will compensate the Distributor with respect to sales of shares of Common Stock at a commission rate of 1.00% of the gross proceeds of the sale of shares of Common Stock. Out of this commission, the Distributor will compensate the Sub-Placement Agent at a rate of up to 0.80% of the gross sales proceeds of the sale of shares of Common Stock sold by the Sub-Placement Agent. The Adviser may, from time to time, in its sole discretion, pay some or all of the commissions payable under the Distribution Agreement or make additional supplemental payments to ensure that the sales price per share of Common Stock in connection with all of the offerings made hereunder will not be less than the Company’s current NAV per share. Any such payments made by the Adviser will not be subject to reimbursement by the Company. In connection with the sale of shares of Common Stock on behalf of the Company, the Distributor may be deemed to be an “underwriter” within the meaning of the Securities Act of 1933, as amended, and the compensation paid to the Distributor may be deemed to be underwriting commissions or discounts.</w:t>
      </w:r>
    </w:p>
    <w:p>
      <w:pPr>
        <w:spacing w:after="0" w:line="18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 Company’s Common Stock involves certain risks. You could lose some or all of your investment. See “Risk factors” on page 28 of the accompanying Prospectus.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Prospectus Supplement is dated December 15,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incorporated herein or therein by reference, which contain important information about the Company that you should know before deciding whether to invest, and retain them for future reference. A Statement of Additional Information, dated February 18, 2025, as supplemented and restated December 15, 2025 (the “SAI”), containing additional information about the Company, has been filed with the SEC and is included with this Prospectus Supplement and is incorporated by reference in its entirety into the accompanying Prospectus. This Prospectus Supplement, the accompanying Prospectus and the SAI are part of a “shelf” Registration Statement that the Company filed with the SEC. This Prospectus Supplement describes the specific details regarding this offering, including the method of distribution. If information in this Prospectus Supplement is inconsistent with the accompanying Prospectus or the SAI, you should rely on this Prospectus Supplement. You may request free copies of the SAI, annual and semi-annual reports to stockholders and other information about the Company, and make stockholder inquiries, by calling the Company at (303) 398-2929 or by writing to the Company, or you may obtain a copy (and other information regarding the Company) from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Free copies of the Company’s Prospectus, SAI, reports and any incorporated information will also be available from the Company’s website at </w:t>
      </w:r>
      <w:r>
        <w:rPr>
          <w:rFonts w:ascii="Times New Roman" w:cs="Times New Roman" w:eastAsia="Times New Roman" w:hAnsi="Times New Roman"/>
          <w:sz w:val="18"/>
          <w:szCs w:val="18"/>
          <w:u w:val="single" w:color="auto"/>
          <w:color w:val="auto"/>
        </w:rPr>
        <w:t>https://ir.arrowmarkfinancialcorp.com/</w:t>
      </w:r>
      <w:r>
        <w:rPr>
          <w:rFonts w:ascii="Times New Roman" w:cs="Times New Roman" w:eastAsia="Times New Roman" w:hAnsi="Times New Roman"/>
          <w:sz w:val="18"/>
          <w:szCs w:val="18"/>
          <w:color w:val="auto"/>
        </w:rPr>
        <w:t>. Information contained on the Company’s website is not considered to be a part of, nor incorporated by reference in, this Prospectus Supplement or the accompanying Prospectus.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of the Company’s Common Stock do not represent a deposit or obligation of, and are not guaranteed or endorsed by, any bank or other insured depository institution and are not federally insured by the Federal Deposit Insurance Corporation, the Federal Reserve Board or any other government agency.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SAI contain (or will contain) or incorporate (or will incorporate) by reference “forward-looking statements.” Forward-looking statements can be identified by the words “may,” “will,” “intend,” “expect,” “estimate,” “continue,” “plan,” “anticipate,” and similar terms with the negative of such terms. By their nature, all forward-looking statements involve risks and uncertainties, and actual results could differ materially from those contemplated by the forward-looking statements. Several factors that could materially affect the Company’s actual results are the performance of the portfolio of securities the Company holds, the price at which the Company’s Common Stock trades in the public markets and other factors discussed in this Prospectus Supplement, the accompanying Prospectus and the SAI, and in the Company’s periodic filings with the SEC.</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the Company believes that the expectations expressed in the forward-looking statements are reasonable, actual results could differ materially from those projected or assumed in the Company’s forward-looking statements. Future financial condition and results of operations, as well as any forward-looking statements, are subject to change and are subject to inherent risks and uncertainties, such as those disclosed in the “Risk Factors” section of the accompanying Prospectus. All forward-looking statements contained in this Prospectus Supplement, the accompanying Prospectus or in the SAI are made as of the date of this Prospectus Supplement, the accompanying Prospectus or SAI, as the case may be. Except for ongoing obligations under the federal securities laws, the Company does not intend and is not obligated, to update any forward-looking statement.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Prospectus. Neither the Company nor the underwriter has authorized any person to provide you with different information. If anyone provides you with different or inconsistent information, you should not rely on it. The Company is not making an offer to sell these securities in any jurisdiction where the offer or sale is not permitted. You should not assume that the information in this Prospectus Supplement and the accompanying Prospectus is accurate as of any date other than the date of this Prospectus Supplement. The Company’s business, financial condition and results of operations may have changed since that date. The Company will amend this Prospectus Supplement and the accompanying Prospectus if, during the period that this Prospectus Supplement and the accompanying Prospectus is required to be delivered, there are any subsequent material changes.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that are not otherwise defined shall have the meanings assigned to them in the accompanying Prospectus.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4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540" w:type="dxa"/>
            <w:vAlign w:val="bottom"/>
            <w:gridSpan w:val="9"/>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7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6"/>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Company expenses</w:t>
            </w:r>
          </w:p>
        </w:tc>
        <w:tc>
          <w:tcPr>
            <w:tcW w:w="2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gridSpan w:val="6"/>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6360" w:type="dxa"/>
            <w:vAlign w:val="bottom"/>
            <w:gridSpan w:val="9"/>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6"/>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gridSpan w:val="6"/>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Market and net asset value information</w:t>
            </w: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6"/>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300" w:type="dxa"/>
            <w:vAlign w:val="bottom"/>
            <w:gridSpan w:val="19"/>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gridSpan w:val="7"/>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w w:val="93"/>
              </w:rPr>
              <w:t>S-10</w:t>
            </w: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0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7300" w:type="dxa"/>
            <w:vAlign w:val="bottom"/>
            <w:gridSpan w:val="19"/>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6"/>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w w:val="88"/>
              </w:rPr>
              <w:t>S-11</w:t>
            </w: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2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gridSpan w:val="6"/>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w w:val="88"/>
              </w:rPr>
              <w:t>S-11</w:t>
            </w: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9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780" w:type="dxa"/>
            <w:vAlign w:val="bottom"/>
            <w:gridSpan w:val="13"/>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7"/>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w w:val="93"/>
              </w:rPr>
              <w:t>S-12</w:t>
            </w:r>
          </w:p>
        </w:tc>
        <w:tc>
          <w:tcPr>
            <w:tcW w:w="0" w:type="dxa"/>
            <w:vAlign w:val="bottom"/>
          </w:tcPr>
          <w:p>
            <w:pPr>
              <w:spacing w:after="0"/>
              <w:rPr>
                <w:sz w:val="1"/>
                <w:szCs w:val="1"/>
                <w:color w:val="auto"/>
              </w:rPr>
            </w:pPr>
          </w:p>
        </w:tc>
      </w:tr>
      <w:tr>
        <w:trPr>
          <w:trHeight w:val="237"/>
        </w:trPr>
        <w:tc>
          <w:tcPr>
            <w:tcW w:w="6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7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40" w:type="dxa"/>
            <w:vAlign w:val="bottom"/>
            <w:gridSpan w:val="9"/>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Fees and Expenses</w:t>
            </w:r>
          </w:p>
        </w:tc>
        <w:tc>
          <w:tcPr>
            <w:tcW w:w="2480" w:type="dxa"/>
            <w:vAlign w:val="bottom"/>
            <w:gridSpan w:val="8"/>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Financial Highlights</w:t>
            </w:r>
          </w:p>
        </w:tc>
        <w:tc>
          <w:tcPr>
            <w:tcW w:w="2480" w:type="dxa"/>
            <w:vAlign w:val="bottom"/>
            <w:gridSpan w:val="8"/>
          </w:tcPr>
          <w:p>
            <w:pPr>
              <w:jc w:val="right"/>
              <w:spacing w:after="0" w:line="176"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Trading and Net Asset Value Information</w:t>
            </w:r>
          </w:p>
        </w:tc>
        <w:tc>
          <w:tcPr>
            <w:tcW w:w="2480" w:type="dxa"/>
            <w:vAlign w:val="bottom"/>
            <w:gridSpan w:val="8"/>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720" w:type="dxa"/>
            <w:vAlign w:val="bottom"/>
            <w:gridSpan w:val="5"/>
          </w:tcPr>
          <w:p>
            <w:pPr>
              <w:spacing w:after="0"/>
              <w:rPr>
                <w:sz w:val="15"/>
                <w:szCs w:val="15"/>
                <w:color w:val="auto"/>
              </w:rPr>
            </w:pPr>
          </w:p>
        </w:tc>
        <w:tc>
          <w:tcPr>
            <w:tcW w:w="2480" w:type="dxa"/>
            <w:vAlign w:val="bottom"/>
            <w:gridSpan w:val="8"/>
          </w:tcPr>
          <w:p>
            <w:pPr>
              <w:jc w:val="right"/>
              <w:spacing w:after="0" w:line="176" w:lineRule="exact"/>
              <w:rPr>
                <w:sz w:val="20"/>
                <w:szCs w:val="20"/>
                <w:color w:val="auto"/>
              </w:rPr>
            </w:pPr>
            <w:r>
              <w:rPr>
                <w:rFonts w:ascii="Times New Roman" w:cs="Times New Roman" w:eastAsia="Times New Roman" w:hAnsi="Times New Roman"/>
                <w:sz w:val="18"/>
                <w:szCs w:val="18"/>
                <w:color w:val="0000EE"/>
              </w:rPr>
              <w:t>12</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Distribution Policy</w:t>
            </w:r>
          </w:p>
        </w:tc>
        <w:tc>
          <w:tcPr>
            <w:tcW w:w="2480" w:type="dxa"/>
            <w:vAlign w:val="bottom"/>
            <w:gridSpan w:val="8"/>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12</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8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7320" w:type="dxa"/>
            <w:vAlign w:val="bottom"/>
            <w:tcBorders>
              <w:top w:val="single" w:sz="8" w:color="CCEEFF"/>
            </w:tcBorders>
            <w:gridSpan w:val="20"/>
          </w:tcPr>
          <w:p>
            <w:pPr>
              <w:spacing w:after="0"/>
              <w:rPr>
                <w:sz w:val="15"/>
                <w:szCs w:val="15"/>
                <w:color w:val="auto"/>
              </w:rPr>
            </w:pPr>
          </w:p>
        </w:tc>
        <w:tc>
          <w:tcPr>
            <w:tcW w:w="2300" w:type="dxa"/>
            <w:vAlign w:val="bottom"/>
            <w:tcBorders>
              <w:top w:val="single" w:sz="8" w:color="CCEEFF"/>
            </w:tcBorders>
            <w:gridSpan w:val="5"/>
          </w:tcPr>
          <w:p>
            <w:pPr>
              <w:spacing w:after="0"/>
              <w:rPr>
                <w:sz w:val="15"/>
                <w:szCs w:val="15"/>
                <w:color w:val="auto"/>
              </w:rPr>
            </w:pPr>
          </w:p>
        </w:tc>
        <w:tc>
          <w:tcPr>
            <w:tcW w:w="180" w:type="dxa"/>
            <w:vAlign w:val="bottom"/>
            <w:tcBorders>
              <w:top w:val="single" w:sz="8" w:color="0000EE"/>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Leverage</w:t>
            </w:r>
          </w:p>
        </w:tc>
        <w:tc>
          <w:tcPr>
            <w:tcW w:w="8020" w:type="dxa"/>
            <w:vAlign w:val="bottom"/>
            <w:tcBorders>
              <w:bottom w:val="single" w:sz="8" w:color="CCEEFF"/>
            </w:tcBorders>
            <w:gridSpan w:val="29"/>
            <w:shd w:val="clear" w:color="auto" w:fill="CCEEFF"/>
          </w:tcPr>
          <w:p>
            <w:pPr>
              <w:spacing w:after="0"/>
              <w:rPr>
                <w:sz w:val="17"/>
                <w:szCs w:val="17"/>
                <w:color w:val="auto"/>
              </w:rPr>
            </w:pPr>
          </w:p>
        </w:tc>
        <w:tc>
          <w:tcPr>
            <w:tcW w:w="230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21</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7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2480" w:type="dxa"/>
            <w:vAlign w:val="bottom"/>
            <w:gridSpan w:val="8"/>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780" w:type="dxa"/>
            <w:vAlign w:val="bottom"/>
            <w:tcBorders>
              <w:bottom w:val="single" w:sz="8" w:color="CCEEFF"/>
            </w:tcBorders>
            <w:gridSpan w:val="28"/>
            <w:shd w:val="clear" w:color="auto" w:fill="CCEEFF"/>
          </w:tcPr>
          <w:p>
            <w:pPr>
              <w:spacing w:after="0"/>
              <w:rPr>
                <w:sz w:val="17"/>
                <w:szCs w:val="17"/>
                <w:color w:val="auto"/>
              </w:rPr>
            </w:pPr>
          </w:p>
        </w:tc>
        <w:tc>
          <w:tcPr>
            <w:tcW w:w="230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28</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7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2480" w:type="dxa"/>
            <w:vAlign w:val="bottom"/>
            <w:gridSpan w:val="8"/>
          </w:tcPr>
          <w:p>
            <w:pPr>
              <w:jc w:val="right"/>
              <w:spacing w:after="0" w:line="176" w:lineRule="exact"/>
              <w:rPr>
                <w:sz w:val="20"/>
                <w:szCs w:val="20"/>
                <w:color w:val="auto"/>
              </w:rPr>
            </w:pPr>
            <w:r>
              <w:rPr>
                <w:rFonts w:ascii="Times New Roman" w:cs="Times New Roman" w:eastAsia="Times New Roman" w:hAnsi="Times New Roman"/>
                <w:sz w:val="18"/>
                <w:szCs w:val="18"/>
                <w:color w:val="0000EE"/>
              </w:rPr>
              <w:t>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6620" w:type="dxa"/>
            <w:vAlign w:val="bottom"/>
            <w:tcBorders>
              <w:bottom w:val="single" w:sz="8" w:color="CCEEFF"/>
            </w:tcBorders>
            <w:gridSpan w:val="10"/>
            <w:shd w:val="clear" w:color="auto" w:fill="CCEEFF"/>
          </w:tcPr>
          <w:p>
            <w:pPr>
              <w:spacing w:after="0"/>
              <w:rPr>
                <w:sz w:val="17"/>
                <w:szCs w:val="17"/>
                <w:color w:val="auto"/>
              </w:rPr>
            </w:pPr>
          </w:p>
        </w:tc>
        <w:tc>
          <w:tcPr>
            <w:tcW w:w="230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47</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7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480" w:type="dxa"/>
            <w:vAlign w:val="bottom"/>
            <w:gridSpan w:val="8"/>
          </w:tcPr>
          <w:p>
            <w:pPr>
              <w:jc w:val="right"/>
              <w:spacing w:after="0" w:line="176" w:lineRule="exact"/>
              <w:rPr>
                <w:sz w:val="20"/>
                <w:szCs w:val="20"/>
                <w:color w:val="auto"/>
              </w:rPr>
            </w:pPr>
            <w:r>
              <w:rPr>
                <w:rFonts w:ascii="Times New Roman" w:cs="Times New Roman" w:eastAsia="Times New Roman" w:hAnsi="Times New Roman"/>
                <w:sz w:val="18"/>
                <w:szCs w:val="18"/>
                <w:color w:val="0000EE"/>
              </w:rPr>
              <w:t>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900" w:type="dxa"/>
            <w:vAlign w:val="bottom"/>
            <w:tcBorders>
              <w:bottom w:val="single" w:sz="8" w:color="CCEEFF"/>
            </w:tcBorders>
            <w:gridSpan w:val="14"/>
            <w:shd w:val="clear" w:color="auto" w:fill="CCEEFF"/>
          </w:tcPr>
          <w:p>
            <w:pPr>
              <w:spacing w:after="0"/>
              <w:rPr>
                <w:sz w:val="17"/>
                <w:szCs w:val="17"/>
                <w:color w:val="auto"/>
              </w:rPr>
            </w:pPr>
          </w:p>
        </w:tc>
        <w:tc>
          <w:tcPr>
            <w:tcW w:w="230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50</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7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2480" w:type="dxa"/>
            <w:vAlign w:val="bottom"/>
            <w:gridSpan w:val="8"/>
          </w:tcPr>
          <w:p>
            <w:pPr>
              <w:jc w:val="right"/>
              <w:spacing w:after="0" w:line="176" w:lineRule="exact"/>
              <w:rPr>
                <w:sz w:val="20"/>
                <w:szCs w:val="20"/>
                <w:color w:val="auto"/>
              </w:rPr>
            </w:pPr>
            <w:r>
              <w:rPr>
                <w:rFonts w:ascii="Times New Roman" w:cs="Times New Roman" w:eastAsia="Times New Roman" w:hAnsi="Times New Roman"/>
                <w:sz w:val="18"/>
                <w:szCs w:val="18"/>
                <w:color w:val="0000EE"/>
              </w:rPr>
              <w:t>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Erisa Considerations</w:t>
            </w:r>
          </w:p>
        </w:tc>
        <w:tc>
          <w:tcPr>
            <w:tcW w:w="6620" w:type="dxa"/>
            <w:vAlign w:val="bottom"/>
            <w:tcBorders>
              <w:bottom w:val="single" w:sz="8" w:color="CCEEFF"/>
            </w:tcBorders>
            <w:gridSpan w:val="10"/>
            <w:shd w:val="clear" w:color="auto" w:fill="CCEEFF"/>
          </w:tcPr>
          <w:p>
            <w:pPr>
              <w:spacing w:after="0"/>
              <w:rPr>
                <w:sz w:val="17"/>
                <w:szCs w:val="17"/>
                <w:color w:val="auto"/>
              </w:rPr>
            </w:pPr>
          </w:p>
        </w:tc>
        <w:tc>
          <w:tcPr>
            <w:tcW w:w="230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62</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7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Closed-end Fund Structure</w:t>
            </w:r>
          </w:p>
        </w:tc>
        <w:tc>
          <w:tcPr>
            <w:tcW w:w="2480" w:type="dxa"/>
            <w:vAlign w:val="bottom"/>
            <w:gridSpan w:val="8"/>
          </w:tcPr>
          <w:p>
            <w:pPr>
              <w:jc w:val="right"/>
              <w:spacing w:after="0" w:line="176" w:lineRule="exact"/>
              <w:rPr>
                <w:sz w:val="20"/>
                <w:szCs w:val="20"/>
                <w:color w:val="auto"/>
              </w:rPr>
            </w:pPr>
            <w:r>
              <w:rPr>
                <w:rFonts w:ascii="Times New Roman" w:cs="Times New Roman" w:eastAsia="Times New Roman" w:hAnsi="Times New Roman"/>
                <w:sz w:val="18"/>
                <w:szCs w:val="18"/>
                <w:color w:val="0000EE"/>
              </w:rPr>
              <w:t>62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Independent Registered Public Accounting Firm</w:t>
            </w:r>
          </w:p>
        </w:tc>
        <w:tc>
          <w:tcPr>
            <w:tcW w:w="5200" w:type="dxa"/>
            <w:vAlign w:val="bottom"/>
            <w:tcBorders>
              <w:bottom w:val="single" w:sz="8" w:color="CCEEFF"/>
            </w:tcBorders>
            <w:gridSpan w:val="4"/>
            <w:shd w:val="clear" w:color="auto" w:fill="CCEEFF"/>
          </w:tcPr>
          <w:p>
            <w:pPr>
              <w:spacing w:after="0"/>
              <w:rPr>
                <w:sz w:val="17"/>
                <w:szCs w:val="17"/>
                <w:color w:val="auto"/>
              </w:rPr>
            </w:pPr>
          </w:p>
        </w:tc>
        <w:tc>
          <w:tcPr>
            <w:tcW w:w="230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63</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7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Administrator, Custodian, Transfer and Dividend Paying Agent and Registrar</w:t>
            </w:r>
          </w:p>
        </w:tc>
        <w:tc>
          <w:tcPr>
            <w:tcW w:w="2480" w:type="dxa"/>
            <w:vAlign w:val="bottom"/>
            <w:gridSpan w:val="8"/>
          </w:tcPr>
          <w:p>
            <w:pPr>
              <w:jc w:val="right"/>
              <w:spacing w:after="0" w:line="176" w:lineRule="exact"/>
              <w:rPr>
                <w:sz w:val="20"/>
                <w:szCs w:val="20"/>
                <w:color w:val="auto"/>
              </w:rPr>
            </w:pPr>
            <w:r>
              <w:rPr>
                <w:rFonts w:ascii="Times New Roman" w:cs="Times New Roman" w:eastAsia="Times New Roman" w:hAnsi="Times New Roman"/>
                <w:sz w:val="18"/>
                <w:szCs w:val="18"/>
                <w:color w:val="0000EE"/>
              </w:rPr>
              <w:t>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7680" w:type="dxa"/>
            <w:vAlign w:val="bottom"/>
            <w:tcBorders>
              <w:bottom w:val="single" w:sz="8" w:color="CCEEFF"/>
            </w:tcBorders>
            <w:gridSpan w:val="25"/>
            <w:shd w:val="clear" w:color="auto" w:fill="CCEEFF"/>
          </w:tcPr>
          <w:p>
            <w:pPr>
              <w:spacing w:after="0"/>
              <w:rPr>
                <w:sz w:val="17"/>
                <w:szCs w:val="17"/>
                <w:color w:val="auto"/>
              </w:rPr>
            </w:pPr>
          </w:p>
        </w:tc>
        <w:tc>
          <w:tcPr>
            <w:tcW w:w="2300" w:type="dxa"/>
            <w:vAlign w:val="bottom"/>
            <w:tcBorders>
              <w:bottom w:val="single" w:sz="8" w:color="CCEEFF"/>
            </w:tcBorders>
            <w:gridSpan w:val="5"/>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63</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70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2480" w:type="dxa"/>
            <w:vAlign w:val="bottom"/>
            <w:gridSpan w:val="8"/>
          </w:tcPr>
          <w:p>
            <w:pPr>
              <w:jc w:val="right"/>
              <w:spacing w:after="0" w:line="176" w:lineRule="exact"/>
              <w:rPr>
                <w:sz w:val="20"/>
                <w:szCs w:val="20"/>
                <w:color w:val="auto"/>
              </w:rPr>
            </w:pPr>
            <w:r>
              <w:rPr>
                <w:rFonts w:ascii="Times New Roman" w:cs="Times New Roman" w:eastAsia="Times New Roman" w:hAnsi="Times New Roman"/>
                <w:sz w:val="18"/>
                <w:szCs w:val="18"/>
                <w:color w:val="0000EE"/>
              </w:rPr>
              <w:t>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2480" w:type="dxa"/>
            <w:vAlign w:val="bottom"/>
            <w:gridSpan w:val="8"/>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65</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6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4140" w:type="dxa"/>
            <w:vAlign w:val="bottom"/>
            <w:tcBorders>
              <w:top w:val="single" w:sz="8" w:color="CCEEFF"/>
              <w:bottom w:val="single" w:sz="8" w:color="auto"/>
            </w:tcBorders>
            <w:gridSpan w:val="2"/>
          </w:tcPr>
          <w:p>
            <w:pPr>
              <w:jc w:val="center"/>
              <w:ind w:right="2020"/>
              <w:spacing w:after="0"/>
              <w:rPr>
                <w:sz w:val="20"/>
                <w:szCs w:val="20"/>
                <w:color w:val="auto"/>
              </w:rPr>
            </w:pPr>
            <w:r>
              <w:rPr>
                <w:rFonts w:ascii="Times New Roman" w:cs="Times New Roman" w:eastAsia="Times New Roman" w:hAnsi="Times New Roman"/>
                <w:sz w:val="18"/>
                <w:szCs w:val="18"/>
                <w:color w:val="auto"/>
                <w:w w:val="95"/>
              </w:rPr>
              <w:t>S-4</w:t>
            </w:r>
          </w:p>
        </w:tc>
        <w:tc>
          <w:tcPr>
            <w:tcW w:w="21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is only a summary of information contained elsewhere in this Prospectus Supplement and the accompanying Prospectus. This summary does not contain all the information that you should consider before investing in the Company’s Common Stock. You should carefully read the more detailed information contained in this Prospectus Supplement and the accompanying Prospectus and the Statement of Additional Information, dated February 18, 2025, as supplemented and restated December 15, 2025 (the “SAI”).</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Company</w:t>
            </w: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ArrowMark Financial Corp. (the “Company” or “we”) is a non-diversified, closed-end management investment</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company registered under the Investment Company Act of 1940, as amended (the “1940 Act”). The Company was</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organized as a corporation under the laws of the State of Delaware on February 7, 2013. The Company is managed</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by ArrowMark Asset Management, LLC (the “Adviser”), an investment adviser that is a wholly-owned subsidiary</w:t>
            </w:r>
          </w:p>
        </w:tc>
      </w:tr>
      <w:tr>
        <w:trPr>
          <w:trHeight w:val="234"/>
        </w:trPr>
        <w:tc>
          <w:tcPr>
            <w:tcW w:w="2160" w:type="dxa"/>
            <w:vAlign w:val="bottom"/>
          </w:tcPr>
          <w:p>
            <w:pPr>
              <w:spacing w:after="0"/>
              <w:rPr>
                <w:sz w:val="20"/>
                <w:szCs w:val="20"/>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of ArrowMark Colorado Holdings, LLC.</w:t>
            </w:r>
          </w:p>
        </w:tc>
      </w:tr>
      <w:tr>
        <w:trPr>
          <w:trHeight w:val="414"/>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Listing and Symbol</w:t>
            </w: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Shares of the Company’s currently outstanding Common Stock are, and the shares of Common Stock offered by this</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Prospectus Supplement and the accompanying Prospectus will be, subject to notice of issuance, listed on the</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NASDAQ Global Select Market (“NASDAQ”) under the symbol “BANX.” As of December 11, 2025, the last</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reported sale price for the Company’s Common Stock on NASDAQ was $21.92 per share, and the net asset value</w:t>
            </w:r>
          </w:p>
        </w:tc>
      </w:tr>
      <w:tr>
        <w:trPr>
          <w:trHeight w:val="234"/>
        </w:trPr>
        <w:tc>
          <w:tcPr>
            <w:tcW w:w="2160" w:type="dxa"/>
            <w:vAlign w:val="bottom"/>
          </w:tcPr>
          <w:p>
            <w:pPr>
              <w:spacing w:after="0"/>
              <w:rPr>
                <w:sz w:val="20"/>
                <w:szCs w:val="20"/>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(“NAV”) of the Company’s Common Stock was $22.60 per share, representing a discount to NAV of (3.01)%.</w:t>
            </w:r>
          </w:p>
        </w:tc>
      </w:tr>
      <w:tr>
        <w:trPr>
          <w:trHeight w:val="414"/>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 has entered into a distribution agreement, dated December 15, 2025 (the “Distribution Agreement”),</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with ALPS Distributors, Inc. (the “Distributor”), pursuant to which the Company may offer and sell shares of its</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Common Stock having an aggregate offering price of up to $25,000,000 from time to time through the Distributor,</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 transactions that are deemed to be “at the market” as defined in Rule 415 under the Securities Act of 1933, as</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amended (the “Securities Act”). The minimum price on any day at which shares of Common Stock may be sold will</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 be less than the Minimum Price, which will be equal to the then current NAV per share of Common Stock plus</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amount of the commission per share of Common Stock to be paid to the Distributor (the “Minimum Price”). The</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Company and the Distributor will determine whether any sales of shares of Common Stock will be authorized on a</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particular day. The Company and the Distributor, however, will not authorize sales of shares of Common Stock if the</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price per share of Common Stock is less than the Minimum Price. The Company and the Distributor may elect not to</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authorize sales of shares of Common Stock on a particular day even if the price per share of Common Stock is equal</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 or greater than the Minimum Price, or may only authorize a fixed number of shares of Common Stock to be sold</w:t>
            </w:r>
          </w:p>
        </w:tc>
      </w:tr>
      <w:tr>
        <w:trPr>
          <w:trHeight w:val="216"/>
        </w:trPr>
        <w:tc>
          <w:tcPr>
            <w:tcW w:w="2160" w:type="dxa"/>
            <w:vAlign w:val="bottom"/>
          </w:tcPr>
          <w:p>
            <w:pPr>
              <w:spacing w:after="0"/>
              <w:rPr>
                <w:sz w:val="18"/>
                <w:szCs w:val="18"/>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on any particular day. The Company and the Distributor will have full discretion regarding whether sales of shares</w:t>
            </w:r>
          </w:p>
        </w:tc>
      </w:tr>
      <w:tr>
        <w:trPr>
          <w:trHeight w:val="234"/>
        </w:trPr>
        <w:tc>
          <w:tcPr>
            <w:tcW w:w="2160" w:type="dxa"/>
            <w:vAlign w:val="bottom"/>
          </w:tcPr>
          <w:p>
            <w:pPr>
              <w:spacing w:after="0"/>
              <w:rPr>
                <w:sz w:val="20"/>
                <w:szCs w:val="20"/>
                <w:color w:val="auto"/>
              </w:rPr>
            </w:pPr>
          </w:p>
        </w:tc>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of Common Stock will be authorized on a particular day and, if so, in what amounts.</w:t>
            </w:r>
          </w:p>
        </w:tc>
      </w:tr>
      <w:tr>
        <w:trPr>
          <w:trHeight w:val="648"/>
        </w:trPr>
        <w:tc>
          <w:tcPr>
            <w:tcW w:w="216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240"/>
          </w:cols>
          <w:pgMar w:left="320" w:top="873" w:right="339" w:bottom="1440" w:gutter="0" w:footer="0" w:header="0"/>
        </w:sectPr>
      </w:pPr>
    </w:p>
    <w:bookmarkStart w:id="5" w:name="page6"/>
    <w:bookmarkEnd w:id="5"/>
    <w:p>
      <w:pPr>
        <w:jc w:val="both"/>
        <w:ind w:left="2820"/>
        <w:spacing w:after="0" w:line="254" w:lineRule="auto"/>
        <w:rPr>
          <w:sz w:val="20"/>
          <w:szCs w:val="20"/>
          <w:color w:val="auto"/>
        </w:rPr>
      </w:pPr>
      <w:r>
        <w:rPr>
          <w:rFonts w:ascii="Times New Roman" w:cs="Times New Roman" w:eastAsia="Times New Roman" w:hAnsi="Times New Roman"/>
          <w:sz w:val="18"/>
          <w:szCs w:val="18"/>
          <w:color w:val="auto"/>
        </w:rPr>
        <w:t>The Distributor may enter into sub-placement agent agreements with one or more selected dealers. The Distributor has entered into a sub-placement agent agreement, dated December 15, 2025, with UBS Securities LLC (the “Sub-Placement Agent”) relating to the shares of Common Stock offered by this Prospectus Supplement and the accompanying Prospectus. In accordance with the terms of the Sub-Placement Agent Agreement, the Company may offer and sell its Common Stock from time to time through the Sub-Placement Agent as sub-placement agent for the offer and sale of shares of its Common Stock. The Company will compensate the Distributor with respect to sales of Common Stock at a commission rate of 1.00% of the gross proceeds of the sale of shares of Common Stock. Out of this commission, the Distributor will compensate the Sub-Placement Agent at a rate of up to 0.80% of the gross sales proceeds of the sale of shares of Common Stock sold by the Sub-Placement Agent.</w:t>
      </w:r>
    </w:p>
    <w:p>
      <w:pPr>
        <w:spacing w:after="0" w:line="188" w:lineRule="exact"/>
        <w:rPr>
          <w:sz w:val="20"/>
          <w:szCs w:val="20"/>
          <w:color w:val="auto"/>
        </w:rPr>
      </w:pPr>
    </w:p>
    <w:p>
      <w:pPr>
        <w:jc w:val="both"/>
        <w:ind w:left="2820" w:right="20"/>
        <w:spacing w:after="0" w:line="261" w:lineRule="auto"/>
        <w:rPr>
          <w:sz w:val="20"/>
          <w:szCs w:val="20"/>
          <w:color w:val="auto"/>
        </w:rPr>
      </w:pPr>
      <w:r>
        <w:rPr>
          <w:rFonts w:ascii="Times New Roman" w:cs="Times New Roman" w:eastAsia="Times New Roman" w:hAnsi="Times New Roman"/>
          <w:sz w:val="18"/>
          <w:szCs w:val="18"/>
          <w:color w:val="auto"/>
        </w:rPr>
        <w:t>The Adviser may, from time to time, in its sole discretion, pay some or all of the commissions payable under the Distribution Agreement or make additional supplemental payments to ensure that the sales price per share of Common Stock in connection with all of the offerings made hereunder will not be less than the Company’s current NAV per share. Any such payments made by the Adviser will not be subject to reimbursement by the Company.</w:t>
      </w:r>
    </w:p>
    <w:p>
      <w:pPr>
        <w:sectPr>
          <w:pgSz w:w="11900" w:h="16838" w:orient="portrait"/>
          <w:cols w:equalWidth="0" w:num="1">
            <w:col w:w="11240"/>
          </w:cols>
          <w:pgMar w:left="320" w:top="877"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“Risk factors” beginning on page 28 of the accompanying Prospectus for a discussion of factors you should consider carefully before deciding to invest in the Company’s Common Stock.</w:t>
      </w:r>
    </w:p>
    <w:p>
      <w:pPr>
        <w:spacing w:after="0" w:line="158" w:lineRule="exact"/>
        <w:rPr>
          <w:sz w:val="20"/>
          <w:szCs w:val="20"/>
          <w:color w:val="auto"/>
        </w:rPr>
      </w:pPr>
    </w:p>
    <w:p>
      <w:pPr>
        <w:sectPr>
          <w:pgSz w:w="11900" w:h="16838" w:orient="portrait"/>
          <w:cols w:equalWidth="0" w:num="2">
            <w:col w:w="2100" w:space="720"/>
            <w:col w:w="8420"/>
          </w:cols>
          <w:pgMar w:left="320" w:top="87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intends to invest the net proceeds of the offering in accordance with its investment objectives and policies as stated in the accompanying Prospectus under the headings “Investment Objectives” and “Investment Strategies.” It is currently anticipated that the Company will be able to invest substantially all of the net proceeds of the offering in accordance with its investment objectives and policies within three months after the completion of the offering. However, until it is able to do so, the Company may invest in temporary investments, such as cash, cash equivalents, short-term debt securities or U.S. government securities, which could negatively impact the Company’s returns during such period. A delay in the anticipated use of proceeds could lower returns and reduce the Company’s distributions to holders of the Company’s Common Stock.</w:t>
      </w:r>
    </w:p>
    <w:p>
      <w:pPr>
        <w:spacing w:after="0" w:line="188" w:lineRule="exact"/>
        <w:rPr>
          <w:sz w:val="20"/>
          <w:szCs w:val="20"/>
          <w:color w:val="auto"/>
        </w:rPr>
      </w:pPr>
    </w:p>
    <w:p>
      <w:pPr>
        <w:sectPr>
          <w:pgSz w:w="11900" w:h="16838" w:orient="portrait"/>
          <w:cols w:equalWidth="0" w:num="2">
            <w:col w:w="2100" w:space="720"/>
            <w:col w:w="8420"/>
          </w:cols>
          <w:pgMar w:left="320" w:top="87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OF COMPANY EXPENSES</w:t>
      </w:r>
    </w:p>
    <w:p>
      <w:pPr>
        <w:sectPr>
          <w:pgSz w:w="11900" w:h="16838" w:orient="portrait"/>
          <w:cols w:equalWidth="0" w:num="1">
            <w:col w:w="11240"/>
          </w:cols>
          <w:pgMar w:left="320" w:top="877" w:right="339" w:bottom="1440" w:gutter="0" w:footer="0" w:header="0"/>
          <w:type w:val="continuous"/>
        </w:sectPr>
      </w:pPr>
    </w:p>
    <w:p>
      <w:pPr>
        <w:spacing w:after="0" w:line="2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purpose of the following table and the example below is to help you understand the fees and expenses that holders of shares of Common Stock (“Common Stockholders”) would bear directly or indirectly. The expenses shown in the table below under “Other expenses” are estimated for the Company’s current fiscal year. The expenses shown in the table below under “Interest expenses on bank borrowings,” “Total annual expenses” and “Total annual expenses after expense reimbursement” are estimated based on the Company’s capital structure for the current fiscal year after giving effect to the anticipated net proceeds of this offering. The tables also reflect the estimated use of leverage by the Company through bank borrowings representing 30% of Managed Assets (as defined below), consistent with the percentage of leverage in place as of June 30, 2025, of the Company’s total assets (including the assets subject to, and obtained with the proceeds of, such borrowings), and show Company expenses as a percentage of net assets attributable to Common Stock. The table reflects the anticipated net proceeds of the sales of shares of Common Stock offered pursuant to this Prospectus Supplement and the accompanying Prospectus and assuming the Company incurs the estimated offering expenses. If the Company issues fewer than all of the shares of Common Stock available for sale pursuant to the Distribution Agreement and the net proceeds to the Company are less, all other things being equal, the total annual expenses shown would increase.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Stockholder Transaction Expenses</w:t>
            </w: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price)(1)</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 (as a percentage of offering price)(2)</w:t>
            </w:r>
          </w:p>
        </w:tc>
        <w:tc>
          <w:tcPr>
            <w:tcW w:w="2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 (3)</w:t>
            </w:r>
          </w:p>
        </w:tc>
        <w:tc>
          <w:tcPr>
            <w:tcW w:w="980" w:type="dxa"/>
            <w:vAlign w:val="bottom"/>
          </w:tcPr>
          <w:p>
            <w:pPr>
              <w:spacing w:after="0"/>
              <w:rPr>
                <w:sz w:val="19"/>
                <w:szCs w:val="19"/>
                <w:color w:val="auto"/>
              </w:rPr>
            </w:pPr>
          </w:p>
        </w:tc>
        <w:tc>
          <w:tcPr>
            <w:tcW w:w="14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None</w:t>
            </w:r>
          </w:p>
        </w:tc>
      </w:tr>
      <w:tr>
        <w:trPr>
          <w:trHeight w:val="209"/>
        </w:trPr>
        <w:tc>
          <w:tcPr>
            <w:tcW w:w="8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 Transaction Expenses</w:t>
            </w:r>
          </w:p>
        </w:tc>
        <w:tc>
          <w:tcPr>
            <w:tcW w:w="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03"/>
        </w:trPr>
        <w:tc>
          <w:tcPr>
            <w:tcW w:w="8860" w:type="dxa"/>
            <w:vAlign w:val="bottom"/>
          </w:tcPr>
          <w:p>
            <w:pPr>
              <w:spacing w:after="0"/>
              <w:rPr>
                <w:sz w:val="24"/>
                <w:szCs w:val="24"/>
                <w:color w:val="auto"/>
              </w:rPr>
            </w:pPr>
          </w:p>
        </w:tc>
        <w:tc>
          <w:tcPr>
            <w:tcW w:w="23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Annual Expenses</w:t>
            </w:r>
          </w:p>
        </w:tc>
      </w:tr>
      <w:tr>
        <w:trPr>
          <w:trHeight w:val="216"/>
        </w:trPr>
        <w:tc>
          <w:tcPr>
            <w:tcW w:w="8860" w:type="dxa"/>
            <w:vAlign w:val="bottom"/>
          </w:tcPr>
          <w:p>
            <w:pPr>
              <w:spacing w:after="0"/>
              <w:rPr>
                <w:sz w:val="18"/>
                <w:szCs w:val="18"/>
                <w:color w:val="auto"/>
              </w:rPr>
            </w:pPr>
          </w:p>
        </w:tc>
        <w:tc>
          <w:tcPr>
            <w:tcW w:w="23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(as a percentage of net assets</w:t>
            </w:r>
          </w:p>
        </w:tc>
      </w:tr>
      <w:tr>
        <w:trPr>
          <w:trHeight w:val="229"/>
        </w:trPr>
        <w:tc>
          <w:tcPr>
            <w:tcW w:w="8860" w:type="dxa"/>
            <w:vAlign w:val="bottom"/>
          </w:tcPr>
          <w:p>
            <w:pPr>
              <w:spacing w:after="0"/>
              <w:rPr>
                <w:sz w:val="19"/>
                <w:szCs w:val="19"/>
                <w:color w:val="auto"/>
              </w:rPr>
            </w:pPr>
          </w:p>
        </w:tc>
        <w:tc>
          <w:tcPr>
            <w:tcW w:w="23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attributable to</w:t>
            </w:r>
          </w:p>
        </w:tc>
      </w:tr>
      <w:tr>
        <w:trPr>
          <w:trHeight w:val="238"/>
        </w:trPr>
        <w:tc>
          <w:tcPr>
            <w:tcW w:w="886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 Stock)(4)</w:t>
            </w:r>
          </w:p>
        </w:tc>
        <w:tc>
          <w:tcPr>
            <w:tcW w:w="180" w:type="dxa"/>
            <w:vAlign w:val="bottom"/>
            <w:tcBorders>
              <w:bottom w:val="single" w:sz="8" w:color="CCEEFF"/>
            </w:tcBorders>
            <w:gridSpan w:val="2"/>
          </w:tcPr>
          <w:p>
            <w:pPr>
              <w:spacing w:after="0"/>
              <w:rPr>
                <w:sz w:val="20"/>
                <w:szCs w:val="20"/>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Fee(4)</w:t>
            </w:r>
          </w:p>
        </w:tc>
        <w:tc>
          <w:tcPr>
            <w:tcW w:w="2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Funds(5)</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Expenses(6)</w:t>
            </w:r>
          </w:p>
        </w:tc>
        <w:tc>
          <w:tcPr>
            <w:tcW w:w="2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8"/>
        </w:trPr>
        <w:tc>
          <w:tcPr>
            <w:tcW w:w="8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Annual Expenses (7)</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r>
    </w:tbl>
    <w:p>
      <w:pPr>
        <w:spacing w:after="0" w:line="189"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commission with respect to the shares of Common Stock being sold in this offering.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expenses payable by the Company will be deducted from the proceeds, before expenses, to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associated with the administration of our dividend reinvestment plan are included in “Other Expenses.” Participants in the dividend reinvestment plan that instruct the plan administrator to sell shares obtained under the plan may be accessed a $15 transaction fee by the plan administrator and the proceeds of such sale will be net of brokerage commissions, fees and transaction costs. For more details about the dividend reinvestment plan, see “Dividend Reinvestment Plan” in the accompanying Prospectus.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calculating our expenses, we have assumed the maximum contractual management fee of 1.75% of “Managed Assets.” “Managed Assets” means our total assets (including cash and cash equivalents and any assets purchased with or attributable to any borrowed funds). Managed Assets will be higher than our net assets because net assets reflect the reduction of our expenses and liabilities. Because the fee we pay to the Adviser is based on Managed Assets, the Management Fee will be higher if we utilize leverage. See “Management—Management Agreement” in the accompanying Prospectus.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entered into a revolving credit agreement on June 9, 2014. Interest expense assumes that leverage will represent approximately 30% of our Managed Assets (as defined under “Management—Management Agreement — Management Fee” in the accompanying Prospectus), and charge interest or involve payment at a rate set by an interest rate transaction at the rate of 7.02% as of June 30, 2025. We have assumed for purposes of these expense estimates that we will utilize leverage for the entire year.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management agreement, our Adviser furnishes us, or arranges for the furnishing of office facilities and clerical and administrative services necessary for our operation (other than services provided by our custodian, accounting agent, administrator, dividend and interest paying agent and other service providers). We bear all expenses incurred in our operations, and we will bear the expenses related to any future offering. “Other Expenses” above includes all such costs not borne by our Adviser, which may include but are not limited to overhead costs of our business, commissions, fees and expenses connected with our investments and auditing, accounting and legal expenses, and fees and expenses we incurred indirectly as a result of investment in shares of one or more other funds (such funds, “Acquired Funds”, and the fees and expenses incurred in connection with our investment therein, if any, “Acquired Fund Fees and Expenses”).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89"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Total Annual Expenses may not correlate to the ratio of expenses to average net assets disclosed in the Company’s annual and semi-annual reports to stockholders in the financial highlights table, which reflects operating expenses of the Company and does not include “Acquired Fund Fees and Expenses.” For the year ended December 31, 2024, the Adviser voluntarily reimbursed the Fund $82,936 for expenses related to investor relations.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example demonstrates the hypothetical dollar amount of total cumulative expenses that would be incurred over various periods with respect to a hypothetical investment in our Common Stock. These amounts are based upon the assumption that our annual operating expenses remain at the levels set forth in the table above and that the annual return on investments before fees and expenses is 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10 Years</w:t>
            </w:r>
          </w:p>
        </w:tc>
      </w:tr>
      <w:tr>
        <w:trPr>
          <w:trHeight w:val="209"/>
        </w:trPr>
        <w:tc>
          <w:tcPr>
            <w:tcW w:w="2080" w:type="dxa"/>
            <w:vAlign w:val="bottom"/>
            <w:tcBorders>
              <w:top w:val="single" w:sz="8" w:color="auto"/>
            </w:tcBorders>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1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177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purpose of the table and example above is to assist you in understanding the various costs and expenses that an investor in any future offering will bear directly or indirectly. The expenses in the example and table above should not be considered a representation of our future expenses, and actual expenses may be greater or less than those shown.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while the example above assumes, as required by the Securities and Exchange Commission (the “SEC”), a 5% annual return, our performance will vary and may result in a return greater or less than 5%. In addition, while the example assumes reinvestment of all distributions at NAV, participants in our dividend reinvestment plan may receive shares of Common Stock valued at the market price in effect at that time. This price may be at, above or below NAV. See “Dividend Reinvestment Plan” in the accompanying Prospectus for additional information regarding our dividend reinvestment plan.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“Other Expenses” shown in the table and related footnote above are based on estimated amounts for our current fiscal year of operation unless otherwise indicated. If we issue fewer shares of Common Stock, all other things being equal, certain of these percentages would increase. For additional information with respect to our expenses, see “Management” and “Dividend Reinvestment Plan” in the accompanying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Distribution Agreement with the Distributor, the Company may offer and sell up to $25,000,000 of the Company’s Common Stock from time to time through the Distributor for the offer and sale of shares of Common Stock under this Prospectus Supplement and the accompanying Prospectus. There is no guarantee that there will be any sales of shares of the Company’s Common Stock pursuant to this Prospectus Supplement and the accompanying Prospectus. The table below shows (i) the Company’s historical capitalization as of June 30, 2025; (ii) the estimated capitalization of the Company assuming the sale of all $25,000,000 of shares of the Company’s Common Stock that are subject to the Distribution Agreement (assumes the Company sells 1,140,511 shares of Common Stock at an offering price of $21.92, which is the last reported sale price per share on NASDAQ as of December 11, 2025) on a pro forma, as adjusted basis as of December 11, 2025. Actual sales, if any, of the Company’s Common Stock, and the actual application of the proceeds thereof, under this Prospectus Supplement and the accompanying Prospectus may be different than as set forth in the table below. In addition, the price per share of any such sale may be greater or less than $21.92 depending on the market price of the Common Stock at the time of any such sale. The Company and the Distributor will determine whether any sales of shares of Common Stock will be authorized on a particular day. The Company and the Distributor, however, will not authorize sales of shares Common Stock if the price per share is less than the Minimum Price. The Company and the Distributor may elect not to authorize sales of shares of Common Stock on a particular day even if the price per share of Common Stock is equal to or greater than the Minimum Price or may only authorize a fixed number of shares of Common Stock to be sold on any particular day. The Company and the Distributor will have full discretion regarding whether sales of shares of Common Stock will be authorized on a particular day and, if so, in what amounts.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Adjusted as</w:t>
            </w:r>
          </w:p>
        </w:tc>
      </w:tr>
      <w:tr>
        <w:trPr>
          <w:trHeight w:val="216"/>
        </w:trPr>
        <w:tc>
          <w:tcPr>
            <w:tcW w:w="8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Actual as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8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81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Stockholders’ Equity: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par value $0.001 per share; 40,000,000 shares authorized (The “Actual” column reflects the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7,128,872 shares outstanding as of June 30, 2025. The “As Adjusted” column assumes the issuance of</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1,140,511 shares of Common Stock in this offering.)</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7,128,872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8,269,383</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Paid-in capital*</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156,111,634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180,712,634</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Total distributable earnings</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2,302,795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2,302,795</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158,414,429</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183,015,429</w:t>
            </w:r>
          </w:p>
        </w:tc>
      </w:tr>
    </w:tbl>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As adjusted paid-in surplus reflects a deduction for estimated offering expenses of $149,000 and assumed agent discounts and commissions of $250,000.</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intends to invest the net proceeds of the offering in accordance with its investment objectives and policies as stated in the accompanying Prospectus under the heading “Investment objectives and principal investment strategy.” It is currently anticipated that the Company will be able to invest substantially all of the net proceeds of the offering in accordance with its investment objectives and policies within three months after the completion of the offering. However, until it is able to do so, the Company may invest in temporary investments, such as cash, cash equivalents, short-term debt securities or U.S. government securities, which could negatively impact the Company’s returns during such period. A delay in the anticipated use of proceeds could lower returns and reduce the Company’s distribution to Common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NET ASSET VALUE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Shares of the Company’s currently outstanding Common Stock are, and the Common Stock offered pursuant to this Prospectus Supplement and the accompanying Prospectus will be, subject to notice of issuance, listed on NASDAQ. The Company commenced operations on November 13, 2013.</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Shares of the Company’s Common Stock have traded both at a premium and at a discount to the Company’s NAV per share of Common Stock. Although the Common Stock recently have traded at a premium to NAV, there can be no assurance that this will continue after the offering nor that the Common Stock will not trade at a discount in the future. Shares of closed-end investment companies frequently trade at a discount to NAV. The Company’s NAV will be reduced immediately following an offering of the Common Stock due to the costs of such offering, which will be borne entirely by the Company. The sale of shares of Common Stock by the Company (or the perception that such sales may occur) may have an adverse effect on price of Common Stock in the secondary market. An increase in the number of shares of Common Stock available may result in downward pressure on the market price for Common Stock.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7,130,725 shares of Common Stock were outstanding. The last reported sales price, NAV per share of Common Stock and percentage discount to NAV per share of Common Stock on December 11, 2025 was $21.92, $22.60 and (3.01)%, respectively. The Company cannot predict whether its Common Stock will trade in the future at a premium to or discount to NAV, or the level of any premium or discount. Shares of closed-end investment companies frequently trade at a discount from NAV.</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entered into the Distribution Agreement with ALPS Distributors, Inc., pursuant to which the Company may offer and sell up to $25,000,000 of shares of Common Stock from time to time through the Distributor in transactions that are deemed to be “at the market” as defined in Rule 415 under the Securities Act. The minimum price on any day at which shares of Common Stock may be sold will not be less than the Minimum Price, which will be equal to the then current NAV per share of Common Stock plus the amount of the commission per share of Common Stock to be paid to the Distributor. The Company and the Distributor will determine whether any sales of shares of Common Stock will be authorized on a particular day. The Company and the Distributor, however, will not authorize sales of shares of Common Stock if the price per share of Common Stock is less than the Minimum Price. The Company and the Distributor may elect not to authorize sales of shares of Common Stock on a particular day even if the price per share of Common Stock is equal to or greater than the Minimum Price or may only authorize a fixed number of shares of Common Stock to be sold on any particular day. The Company and the Distributor will have full discretion regarding whether sales of shares of Common Stock will be authorized on a particular day and, if so, in what amounts.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Distributor may enter into sub-placement agent agreements with one or more selected dealers. The Distributor has entered into the Sub-Placement Agent Agreement with UBS Securities LLC relating to shares of Common Stock offered by this Prospectus Supplement and the accompanying Prospectus. In accordance with the terms of the Sub-Placement Agent Agreement, the Company may offer and sell shares of its Common Stock from time to time through the Sub-Placement Agent as sub-placement agent for the offer and sale of shares of its Common Stock.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Distributor (or the Sub-Placement Agent) will provide written confirmation to the Company not later than the opening of the trading day on NASDAQ following any trading day on which shares of Common Stock are sold. Each confirmation will include the number of shares of Common Stock sold on the preceding day, the net proceeds to the Company and the compensation payable by the Company to the Distributor in connection with the sales.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will compensate the Distributor with respect to sales of shares of Common Stock at a commission rate of 1.00% of the gross proceeds of the sale of shares of Common Stock. Out of this commission, the Distributor will compensate the Sub-Placement Agent at a rate of up to 0.80% of the gross sales proceeds of the sale of shares of Common Stock sold by the Sub-Placement Agent. There is no guarantee that there will be any sales of shares of Common Stock under this Prospectus Supplement and the accompanying Prospectus.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Adviser may, from time to time, in its sole discretion, pay some or all of the commissions payable under the Distribution Agreement or make additional supplemental payments to ensure that the sales price per share of Common Stock in connection with all of the offerings made hereunder will not be less than the Company’s current NAV per share. Any such payments made by the Adviser will not be subject to reimbursement by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Settlement for sales of shares of Common Stock will occur on the first trading day following the date on which such sales are made in return for payment of the net proceeds to the Company. There is no arrangement for funds to be deposited in escrow, trust or similar arrangement.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sale of shares of Common Stock on behalf of the Company, the Distributor may be deemed to be an “underwriter” within the meaning of the Securities Act, and the compensation paid to the Distributor may be deemed to be underwriting commissions or discounts.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agreed to indemnify the Distributor against certain civil liabilities, including liabilities under the Securities Act. The Distributor has agreed to indemnify the Sub-Placement Agent against certain civil liabilities, including liabilities under the Securities 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offering of shares of Common Stock pursuant to the Distribution Agreement will terminate upon the earlier of (1) the sale of all shares of Common Stock subject to the Distribution Agreement or (2) the termination of the Distribution Agreement. The Distribution Agreement may be terminated at any time, without the payment of any penalty, by the Company or by the Distributor, on sixty days’ written notice to the other party.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Shares of Common Stock may not be sold through the Distributor or the Sub-Placement Agent without delivery or deemed delivery of this Prospectus Supplement and the accompanying Prospectus describing the method and terms of the offering of shares of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Sub-Placement Agent, its affiliates or their respective employees hold or may hold in the future, directly or indirectly, investment interests in the Company. The interests held by the Sub-Placement Agent, its affiliates or their respective employees are not attributable to, and no investment discretion is held by, the Sub-Placement Agent, its affiliates or their respective affiliates.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business address of ALPS Distributors, Inc. is 1290 Broadway, Suite 1000, Denver, Colorado 80203. The principal business address of UBS Securities LLC is 1285 Avenue of the Americas, New York, New York 10019.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legal matters in connection with the offering of shares of Common Stock will be passed on for the Company by Troutman Pepper Locke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including the accompanying Prospectus, is part of a Registration Statement that the Company has filed with the SEC. The Company is permitted to “incorporate by reference” the information that it files with the SEC, which means that the Company can disclose important information to you by referring you to those documents. The information incorporated by reference is an important part of this Prospectus Supplement and the accompanying Prospectus, and later information that the Company files with the Securities and Exchange Commission (the “SEC”) will automatically update and supersede this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documents listed below, and any reports and other documents subsequently filed with the SEC pursuant to Rule 30(b)(2) under the 1940 Act and Sections 13(a), 13(c), 14 or 15(d) of the Securities Exchange Act of 1934, as amended (the “Exchange Act”), prior to the termination of this offering, are incorporated by reference into this Prospectus Supplement and the accompanying Prospectus and deemed to be part of this Prospectus Supplement and accompanying Prospectus from the date of the filing of such reports and documents:</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SAI, filed with this Prospectus Supplement;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w:t>
      </w:r>
      <w:hyperlink r:id="rId16">
        <w:r>
          <w:rPr>
            <w:rFonts w:ascii="Times New Roman" w:cs="Times New Roman" w:eastAsia="Times New Roman" w:hAnsi="Times New Roman"/>
            <w:sz w:val="18"/>
            <w:szCs w:val="18"/>
            <w:u w:val="single" w:color="auto"/>
            <w:color w:val="0000EE"/>
          </w:rPr>
          <w:t>Annual Report on Form N-CSR</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7, 2025 (“Annual Report”);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w:t>
      </w:r>
      <w:hyperlink r:id="rId17">
        <w:r>
          <w:rPr>
            <w:rFonts w:ascii="Times New Roman" w:cs="Times New Roman" w:eastAsia="Times New Roman" w:hAnsi="Times New Roman"/>
            <w:sz w:val="18"/>
            <w:szCs w:val="18"/>
            <w:u w:val="single" w:color="auto"/>
            <w:color w:val="0000EE"/>
          </w:rPr>
          <w:t>Semi-Annual Report on Form N-CSRS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period ended June 30, 2025, filed with the SEC on August 28,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 on </w:t>
      </w:r>
      <w:hyperlink r:id="rId18">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with the SEC on March 25, 2025;</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definitive proxy statement on </w:t>
      </w:r>
      <w:hyperlink r:id="rId19">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Company’s 2025 annual meeting of Common Stockholders, filed with the SEC on May 6, 2025 (“Proxy Statement”);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w:t>
      </w:r>
      <w:hyperlink r:id="rId20">
        <w:r>
          <w:rPr>
            <w:rFonts w:ascii="Times New Roman" w:cs="Times New Roman" w:eastAsia="Times New Roman" w:hAnsi="Times New Roman"/>
            <w:sz w:val="18"/>
            <w:szCs w:val="18"/>
            <w:u w:val="single" w:color="auto"/>
            <w:color w:val="0000EE"/>
          </w:rPr>
          <w:t>Description of Common Stock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contained in the Company’s Registration Statement on Form 8-A filed with the SEC on November 6, 2013.</w:t>
      </w:r>
    </w:p>
    <w:p>
      <w:pPr>
        <w:spacing w:after="0" w:line="162" w:lineRule="exact"/>
        <w:rPr>
          <w:rFonts w:ascii="Times New Roman" w:cs="Times New Roman" w:eastAsia="Times New Roman" w:hAnsi="Times New Roman"/>
          <w:sz w:val="18"/>
          <w:szCs w:val="18"/>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obtain copies of these filings, see “Additional Information” in this Prospectus Supplement and “Where You Can Find More Information” in the accompanying Prospectus.</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herein or therein by reference constitute part of a Registration Statement filed by the Company with the SEC under the Securities Act, and the 1940 Act (File Nos. 333-281004 and 811-22853). This Prospectus Supplement and the accompanying Prospectus omit certain of the information contained in the Registration Statement, and reference is hereby made to the Registration Statement and related exhibits for further information with respect to the Company and the shares of Common Stock offered hereby. Any statements contained herein concerning the provisions of any document are not necessarily complete, and, in each instance, reference is made to the copy of such document filed as an exhibit to the Registration Statement or otherwise filed with the SEC. Each such statement is qualified in its entirety by such reference. The complete Registration Statement may be obtained from the SEC upon payment of the fee prescribed by its rules and regulations or free of charge through the SEC’s website (www.sec.gov). Free copies of the Company’s Prospectus, SAI, reports and any incorporated information will also be available from the Company’s website at http:/www.abrdnawp.com. Information contained on the Company’s website is not considered to be a part of, nor incorporated by reference in, this Prospectus Supplement or the accompanying Prospectus.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BASE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154305</wp:posOffset>
            </wp:positionV>
            <wp:extent cx="3257550" cy="771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25755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ArrowMark Financial Corp. (“we,” “us,” “our” or “the Company”) is a non-diversified, closed-end management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 the Investment Company Act of 1940, as amended (the “Investment Company Act”). We have elected to be treated, and intend to comply with the requirements to qualify annually, as a regulated investment company (“RIC”) under Subchapter M of the Internal Revenue Code of 1986, as amended (the “Code”). We are managed by ArrowMark Asset Management, LLC (“ArrowMark” or the “Adviser”), an investment adviser that is a wholly-owned subsidiary of ArrowMark Colorado Holdings, LLC (“ArrowMark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Objectives</w:t>
      </w:r>
      <w:r>
        <w:rPr>
          <w:rFonts w:ascii="Times New Roman" w:cs="Times New Roman" w:eastAsia="Times New Roman" w:hAnsi="Times New Roman"/>
          <w:sz w:val="18"/>
          <w:szCs w:val="18"/>
          <w:color w:val="auto"/>
        </w:rPr>
        <w:t>. Our primary investment objective is to provide stockholders with current income, and to a lesser extent, capital appreciation.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we will achieve our investment objectives.</w:t>
      </w: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Investment Strategy</w:t>
      </w:r>
      <w:r>
        <w:rPr>
          <w:rFonts w:ascii="Times New Roman" w:cs="Times New Roman" w:eastAsia="Times New Roman" w:hAnsi="Times New Roman"/>
          <w:sz w:val="18"/>
          <w:szCs w:val="18"/>
          <w:color w:val="auto"/>
        </w:rPr>
        <w:t>. The Company is focused on income generation, capital preservation, and providing risk-adjusted returns The Company attempts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 its investment objective primarily by investing in regulatory capital relief securities but may also invest in preferred equity, debt and subordinated debt, structured notes and securities, convertible securities (including contingent convertible securities), and common equity issued or structured by banks and financial institutions including community banks, larger regional, national and money center banks domiciled in the United States and foreign and global money center banks (“banking-related securities”). The Company makes investments that will generally be expected to pay the Company dividends and interest on a current basis and generate capital gains over time. The Company may seek to enhance the Company’s returns through the use of warrants, options and other equity conversion features. The term “risk-adjusted returns” refers to the profile of expected asset returns across a range of potential macroeconomic scenarios, and does not imply that a particular strategy or investment should be considered low-risk. The Company has a policy to invest, under normal circumstances, at least 80% of the value of its net assets plus the amount of any borrowings for investment purposes in such banking-related securities.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focuses its portfolio on making long-term, passive, non-control investments in the banking sector, including “regulatory capital relief securities” which are credit risk transfer securities issued or structured by banks seeking capital that is treated more favorably under banking regulations than other types of capital, acquisitions and other refinancing activities. Regulatory capital relief securities are issued or structured by a bank to maintain or reduce its regulatory capital requirements by transferring certain credit risks to investors. Regulatory capital relief securities may be structured in a variety of ways and are highly bespoke to the needs of the bank or other deposit-taking institution involved. Regulatory capital relief securities may be in the form of structured notes (e.g., credit-linked notes), convertible securities (including contingent convertible securities), and other structured products or transactions. The Company intends to continue to make direct investments in numerous issuers differentiated by asset size, business models and geographies. The Company also may invest in an option strategy that will normally consist of writing (selling) call options on bank equity securities in the Company’s portfolio (“covered calls”).The Company invests in foreign securities and the Company is not limited in the amount of assets the Company may invest in such foreign securities. The Company may also invest in other securities and instruments that the Adviser believes are consistent with the Company’s investment objectives.</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indirectly invests in securities issued or structured by banks through structured securities and credit derivatives, including collateralized loan obligations (CLOs) and credit-linked notes. The Company currently invests in credit-linked notes for which the performance and payment of principal and interest is tied to a reference asset such as a pool of loans originated by a bank and held on its balance sheet. The Company also invests in equity and junior debt tranches of CLOs, and other debt securitizations, that are collateralized by a portfolio consisting primarily of unsecured, subordinated loans made to (and, to a lesser extent, unsecured, subordinated debentures and notes issued by) community banks or savings institutions or their respective holding companies. The Company may also invest in other securities and instruments that are similar to these investments, including senior debt tranches of CLOs and loan accumulation facilities. These indirect investments provide exposure to and focus on the same types of direct investments that the Company makes in banking companies and, accordingly, the Company’s investments in structured securities (such as credit-linked notes and CLOs) and credit derivatives that provide exposure to the banking industry are considered an investment in banking securities. The loans or other assets pledged as collateral in these securitizations may not be publicly rated by any rating agency, and may have greater credit and liquidity risks than investment-grade corporate obligations that are publicly rated. The Company believes that the use of such instruments complements the Company’s overall strategy and enhance the diversity of the Company’s holdings.</w:t>
      </w:r>
    </w:p>
    <w:p>
      <w:pPr>
        <w:spacing w:after="0" w:line="19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may also incur additional leverage to the extent permitted by the Investment Company Act. Although the Company normally seeks to invest substantially all of the Company’s assets in banking-related securities, the Company reserves the ability to invest up to 20% of the Company’s assets in other types of securities and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3" w:name="page14"/>
    <w:bookmarkEnd w:id="13"/>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the Company may take temporary defensive positions that are inconsistent with the Company’s investment strategy in attempting to respond to adverse market, economic, political or other conditions. If the Company does so, the Company may not achieve the Company’s investment objective. The Company may also choose not to take defensive positions.</w:t>
      </w:r>
    </w:p>
    <w:p>
      <w:pPr>
        <w:spacing w:after="0" w:line="17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color w:val="auto"/>
        </w:rPr>
        <w:t>Additional Information</w:t>
      </w:r>
      <w:r>
        <w:rPr>
          <w:rFonts w:ascii="Times New Roman" w:cs="Times New Roman" w:eastAsia="Times New Roman" w:hAnsi="Times New Roman"/>
          <w:sz w:val="18"/>
          <w:szCs w:val="18"/>
          <w:color w:val="auto"/>
        </w:rPr>
        <w:t>. This prospectus is part of a registration statement that the Company has filed with the U.S. Securities and Exchange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 using the “shelf” registration process. Under the shelf registration process, the Company may offer, from time to time, in one or more offerings, up to $150,000,000 of common stock, preferred stock, subscription rights or debt securities, which we refer to, collectively, as the “securities,” on terms to be determined at the time of the offering. This prospectus provides you with a general description of the securities that the Company may offer. Each time the Company uses this prospectus to offer securities, the Company will provide a prospectus supplement that will contain specific information about the terms of that offering. The prospectus supplement may also add, update or change information contained in this prospectus. You should read this prospectus and the applicable prospectus supplement, which contain important information about the Company, carefully before you invest in the securities. Securities may be offered directly to one or more purchasers, through agents designated from time to time by the Company, or to or through underwriters or dealers. The prospectus supplement relating to an offering will identify any agents, underwriters or dealers involved in the sale of securities, and will set forth any applicable purchase price, fee, commission or discount arrangement between the Company and its agents or underwriters, or among the Company’s underwriters, or the basis upon which such amount may be calculated. See “Plan of Distribution.” In the event we offer common stock, the offering price per share of our common stock exclusive of any underwriting commissions or discounts will not be less than the net asset value (“NAV”) per share of our common stock at the time we make the offering except (1) in connection with a rights offering to our existing stockholders,</w:t>
      </w:r>
    </w:p>
    <w:p>
      <w:pPr>
        <w:spacing w:after="0" w:line="5" w:lineRule="exact"/>
        <w:rPr>
          <w:sz w:val="20"/>
          <w:szCs w:val="20"/>
          <w:color w:val="auto"/>
        </w:rPr>
      </w:pPr>
    </w:p>
    <w:p>
      <w:pPr>
        <w:ind w:right="140" w:firstLine="8"/>
        <w:spacing w:after="0" w:line="255"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majority of our common stockholders and approval of our board of directors or (3) under such circumstances as the SEC may permit. The Company may not sell any securities through agents, underwriters or dealers without delivery or deemed delivery of a prospectus supplement describing the method and terms of the particular offering of the securities.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You should retain this prospectus and any prospectus supplement for future reference. A Statement of Additional Information, dated February 13, 2025, containing additional information about the Company has been filed with the SEC and is incorporated by reference in its entirety into this prospectus. You may request a free copy of the Statement of Additional Information, request the Company’s most recent annual and semiannual reports, request information about the Company and make stockholder inquiries by calling Destra Capital Advisors toll-free (877)-855-3434. Destra Capital Advisors provides secondary market servicing to the Fund. You may also write to us at 100 Fillmore Street, Suite 325, Denver, Colorado 80206. You can also obtain, free of charge, a copy of our Statement of Additional Information and our annual and semiannual reports to stockholders on our website at https://ir.arrowmarkfinancialcorp.com.You can obtain the same information, free of charge, from the SEC’s website (http://www.sec.gov).</w:t>
      </w:r>
    </w:p>
    <w:p>
      <w:pPr>
        <w:spacing w:after="0" w:line="18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Our common stock does not represent a deposit or obligation of, and is not guaranteed or endorsed by, any bank or other insured depository institution and is not federally insured by the Federal Deposit Insurance Corporation, the Federal Reserve Board or any other government agency.</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“BANX”. The last reported sale price of our common stock, as reported by the NASDAQ on December 31, 2024 was 20.80 per share. The NAV of our common stock at the close of business on December 31, 2024 was $21.80 per share, representing a discount to NAV of (4.59)%.</w:t>
      </w:r>
    </w:p>
    <w:p>
      <w:pPr>
        <w:spacing w:after="0" w:line="17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Investment in the Company’s securities involves substantial risks arising from, among other strategies, the Company’s ability to make long-term, passive, non-control investments in the banking sector, including “regulatory capital relief securities” which are securities issued or structured by banks seeking capital that is treated more favorably under banking regulations than other types of capital, acquisitions and other refinancing activities regulatory capital relief securities are issued or structured by a bank to maintain or reduce its regulatory capital requirements by transferring certain credit risks to investors.</w:t>
      </w:r>
    </w:p>
    <w:p>
      <w:pPr>
        <w:spacing w:after="0" w:line="16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assets will be concentrated in the banking industry, potentially exposing the Company to greater risks than companies that invest in multiple sectors. In addition, because of the risks associated with non-diversification, the use of leverage, and investment in below investment grade securities, an investment in the fund should be considered speculative and involving a high degree of risk, including the risk of a substantial loss of investment. Before investing in the Company’s securities, you should read the discussion of the principal risks of investing in the Fund in “Principal Risks of the Fund.” Certain of these risks are summarized in “Prospectus Summary—Principal Risks of the Fund.”</w:t>
      </w:r>
    </w:p>
    <w:p>
      <w:pPr>
        <w:spacing w:after="0" w:line="1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any related prospectus supplement. The Company has not authorized anyone to provide you with information other than that contained or incorporated by reference in this prospectus or any applicable prospectus supplement, and any free writing prospectus that the Company distributes. The Company does not take any responsibility for, and does not provide any assurances as to the reliability of, any other information that others may give you. The Company is not making an offer of these securities in any jurisdiction where the offer is not permitted. You should not assume that the information contained in this prospectus or any applicable prospectus supplement is accurate as of any date other than the date on the front hereof or thereof. The Company’s business, financial condition, results of operations and prospects may have changed since that date.</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Neither the U.S. Securities and Exchange Commission nor the U.S. Commodity Futures Trading Commission has approved or disapproved of these securities or determined that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1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gridSpan w:val="5"/>
          </w:tcPr>
          <w:p>
            <w:pPr>
              <w:ind w:left="15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6"/>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7240" w:type="dxa"/>
            <w:vAlign w:val="bottom"/>
            <w:gridSpan w:val="11"/>
            <w:shd w:val="clear" w:color="auto" w:fill="CCEEFF"/>
          </w:tcPr>
          <w:p>
            <w:pPr>
              <w:spacing w:after="0"/>
              <w:rPr>
                <w:sz w:val="15"/>
                <w:szCs w:val="15"/>
                <w:color w:val="auto"/>
              </w:rPr>
            </w:pPr>
          </w:p>
        </w:tc>
        <w:tc>
          <w:tcPr>
            <w:tcW w:w="19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FEES AND EXPENSES</w:t>
            </w:r>
          </w:p>
        </w:tc>
        <w:tc>
          <w:tcPr>
            <w:tcW w:w="7240" w:type="dxa"/>
            <w:vAlign w:val="bottom"/>
            <w:gridSpan w:val="11"/>
          </w:tcPr>
          <w:p>
            <w:pPr>
              <w:spacing w:after="0"/>
              <w:rPr>
                <w:sz w:val="15"/>
                <w:szCs w:val="15"/>
                <w:color w:val="auto"/>
              </w:rPr>
            </w:pP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HIGHLIGHTS</w:t>
            </w:r>
          </w:p>
        </w:tc>
        <w:tc>
          <w:tcPr>
            <w:tcW w:w="7220" w:type="dxa"/>
            <w:vAlign w:val="bottom"/>
            <w:tcBorders>
              <w:bottom w:val="single" w:sz="8" w:color="CCEEFF"/>
            </w:tcBorders>
            <w:gridSpan w:val="10"/>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TRADING AND NET ASSET VALUE INFORMATION</w:t>
            </w: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9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DISTRIBUTION POLICY</w:t>
            </w: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19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LEVERAGE</w:t>
            </w:r>
          </w:p>
        </w:tc>
        <w:tc>
          <w:tcPr>
            <w:tcW w:w="8060" w:type="dxa"/>
            <w:vAlign w:val="bottom"/>
            <w:tcBorders>
              <w:top w:val="single" w:sz="8" w:color="CCEEFF"/>
            </w:tcBorders>
            <w:gridSpan w:val="18"/>
          </w:tcPr>
          <w:p>
            <w:pPr>
              <w:spacing w:after="0"/>
              <w:rPr>
                <w:sz w:val="15"/>
                <w:szCs w:val="15"/>
                <w:color w:val="auto"/>
              </w:rPr>
            </w:pPr>
          </w:p>
        </w:tc>
        <w:tc>
          <w:tcPr>
            <w:tcW w:w="172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9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30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8040" w:type="dxa"/>
            <w:vAlign w:val="bottom"/>
            <w:tcBorders>
              <w:top w:val="single" w:sz="8" w:color="CCEEFF"/>
            </w:tcBorders>
            <w:gridSpan w:val="17"/>
          </w:tcPr>
          <w:p>
            <w:pPr>
              <w:spacing w:after="0"/>
              <w:rPr>
                <w:sz w:val="15"/>
                <w:szCs w:val="15"/>
                <w:color w:val="auto"/>
              </w:rPr>
            </w:pPr>
          </w:p>
        </w:tc>
        <w:tc>
          <w:tcPr>
            <w:tcW w:w="172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DETERMINATION OF NET ASSET VALUE</w:t>
            </w:r>
          </w:p>
        </w:tc>
        <w:tc>
          <w:tcPr>
            <w:tcW w:w="5960" w:type="dxa"/>
            <w:vAlign w:val="bottom"/>
            <w:tcBorders>
              <w:bottom w:val="single" w:sz="8" w:color="CCEEFF"/>
            </w:tcBorders>
            <w:gridSpan w:val="6"/>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DIVIDEND REINVESTMENT PLAN</w:t>
            </w: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280" w:type="dxa"/>
            <w:vAlign w:val="bottom"/>
            <w:tcBorders>
              <w:bottom w:val="single" w:sz="8" w:color="CCEEFF"/>
            </w:tcBorders>
            <w:gridSpan w:val="12"/>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U.S. FEDERAL INCOME TAX CONSIDERATIONS</w:t>
            </w:r>
          </w:p>
        </w:tc>
        <w:tc>
          <w:tcPr>
            <w:tcW w:w="4460" w:type="dxa"/>
            <w:vAlign w:val="bottom"/>
            <w:tcBorders>
              <w:bottom w:val="single" w:sz="8" w:color="CCEEFF"/>
            </w:tcBorders>
            <w:gridSpan w:val="3"/>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CERTAIN ERISA CONSIDERATIONS</w:t>
            </w: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CLOSED-END FUND STRUCTURE</w:t>
            </w:r>
          </w:p>
        </w:tc>
        <w:tc>
          <w:tcPr>
            <w:tcW w:w="19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ADMINISTRATOR, CUSTODIAN, TRANSFER AND DIVIDEND PAYING AGENT AND REGISTRAR</w:t>
            </w:r>
          </w:p>
        </w:tc>
        <w:tc>
          <w:tcPr>
            <w:tcW w:w="15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3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90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190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6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2880" w:type="dxa"/>
            <w:vAlign w:val="bottom"/>
            <w:tcBorders>
              <w:top w:val="single" w:sz="8" w:color="CCEEFF"/>
            </w:tcBorders>
            <w:gridSpan w:val="2"/>
          </w:tcPr>
          <w:p>
            <w:pPr>
              <w:spacing w:after="0"/>
              <w:rPr>
                <w:sz w:val="15"/>
                <w:szCs w:val="15"/>
                <w:color w:val="auto"/>
              </w:rPr>
            </w:pPr>
          </w:p>
        </w:tc>
        <w:tc>
          <w:tcPr>
            <w:tcW w:w="172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summary highlights information contained elsewhere in this prospectus. You should read the entire prospectus, including “Risk Factors,” before making a decision to invest in our securities. This summary may not contain all of the information that you should consider before investing in the securities of ArrowMark Financial Corp. In the prospectus, unless the context suggests otherwise, references to “we,” “us,” “Company,” “our company” or “our” refer to ArrowMark Financial Corp., a Delaware corporation and its subsidiaries; references to “Adviser” mean ArrowMark Asset Management, LLC (“ArrowMark”), a Delaware limited liability company; references to “ArrowMark Partners” mean ArrowMark Colorado Holdings, LLC, the parent of our Adviser; references to “common stock” or “shares” mean the common stock of ArrowMark Financial Corp; and references to “securities” mean the common stock, preferred stock, subscription rights and debt securities of ArrowMark Financial Corp.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ArrowMark Financial Corp. is a non-diversified, closed-end management investment company registered under the Investment Company Act of 1940, as amended (the “Investment Company Act”). We have elected to be treated, and intend to comply with the requirements to qualify annually, as a regulated investment company (“RIC”) under Subchapter M of the Internal Revenue Code of 1986, as amended (the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Objectives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primary investment objective is to provide stockholders with current income, and to a lesser extent, capital appreciation. There can be no assurance that we will achieve our investment objectives.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Strategies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focused on income generation, capital preservation, and providing risk-adjusted returns. We attempt to achieve our investment objective through investments in regulatory capital relief securities, preferred equity, debt and subordinated debt, structured notes and securities, convertible securities (including contingent convertible securities), and common equity issued or structured by banks and financial institutions including community banks, larger regional, national and money center banks domiciled in the United States and foreign and global money center banks. (“banking-related securities”). See “Banking Sector Focus” and “Regulatory Capital Relief Securities.” We make investments that will generally be expected to pay us dividends and interest on a current basis and generate capital gains over time. We may seek to enhance our returns through the use of warrants, options and other equity conversion features. The term “risk-adjusted returns” refers to the profile of expected asset returns across a range of potential macroeconomic scenarios, and does not imply that a particular strategy or investment should be considered low-risk. We have a policy to invest, under normal circumstances, at least 80% of the value of our net assets plus the amount of any borrowings for investment purposes in such banking-related securities.</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focus our portfolio on making long-term, passive, non-control investments in the banking sector, including “regulatory capital relief securities” which are credit risk transfer securities issued or structured by banks seeking capital that is treated more favorably under banking regulations than other types of capital, acquisitions and other refinancing activities Regulatory capital relief securities are issued or structured by a bank to maintain or reduce its regulatory capital requirements by transferring certain credit risks to investors. Regulatory capital relief securities may be structured in a variety of ways and are highly bespoke to the needs of the bank or other deposit-taking institution involved. Regulatory capital relief securities may be in the form of structured notes (e.g., credit-linked notes), convertible securities (including contingent convertible securities), and other structured products or transactions. We intend to continue to direct investments in numerous issuers differentiated by asset size, business models and geographies. We also may invest in an option strategy that will normally consist of writing (selling) call options on bank equity securities in our portfolio (“covered calls”). We invest in foreign securities and we are not limited in the amount of assets we may invest in such foreign securities. The Company may also invest in other securities and instruments that the Adviser believes are consistent with the Company’s investment objectives.</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indirectly invest in securities issued or structured by banks through structured securities and credit derivatives, including collateralized loan obligations (CLOs) and credit-linked notes. We currently invest in credit-linked notes for which the performance and payment of principal and interest is tied to a reference asset such as a pool of loans originated by a bank and held on its balance sheet. We also invest in equity and junior debt tranches of CLOs, and other debt securitizations, that are collateralized by a portfolio consisting primarily of unsecured, subordinated loans made to (and, to a lesser extent, unsecured, subordinated debentures and notes issued by) community banks or savings institutions or their respective holding companies. The CLO securities in which we may invest may be rated below investment grade or unrated and, therefore are considered speculative with respect to timely payment of interest and repayment of principal. We may also invest in other securities and instruments that are similar to these investments, including senior debt tranches of CLOs and loan accumulation facilities. These indirect investments provide exposure to and focus on the same types of direct investments that we make in banking companies and, accordingly, our investments in structured securities (such as credit-linked notes and CLOs) and credit derivatives that provide exposure to the banking industry are considered an investment in banking securities. The loans or other assets pledged as collateral in these securitizations may not be publicly rated by any rating agency, and may have greater credit and liquidity risks than investment-grade corporate obligations that are publicly rated. Below investment grade and unrated securities are sometimes referred to as “junk” securities. We believe that the use of such instruments complements our overall strategy and enhance the diversity of our holdings.</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Fund will invest the proceeds of future equity offerings in accordance with its investment objective.. We may also incur additional leverage to the extent permitted by the Investment Company Act. See “Leverage.” Although we normally seek to invest substantially all of our assets in banking-related securities, we reserve the ability to invest up to 20% of our assets in other types of securities and instruments.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ind w:right="520"/>
        <w:spacing w:after="0" w:line="266" w:lineRule="auto"/>
        <w:rPr>
          <w:sz w:val="20"/>
          <w:szCs w:val="20"/>
          <w:color w:val="auto"/>
        </w:rPr>
      </w:pPr>
      <w:r>
        <w:rPr>
          <w:rFonts w:ascii="Times New Roman" w:cs="Times New Roman" w:eastAsia="Times New Roman" w:hAnsi="Times New Roman"/>
          <w:sz w:val="18"/>
          <w:szCs w:val="18"/>
          <w:color w:val="auto"/>
        </w:rPr>
        <w:t>Additionally, we may take temporary defensive positions that are inconsistent with our investment strategy in response to adverse market, economic, political or other conditions. If we do so, we may not achieve our investment objective. We may also choose not to take defensive positions. These investment strategies are not fundamental policies of ours and may be changed without prior approval of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Adviser</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ArrowMark Asset Management, LLC (“ArrowMark” or the “Adviser”), an SEC-registered investment adviser dedicated to the banking sector, manages our assets. Our Adviser is registered with the SEC under the Investment Advisers Act of 1940, as amended (the “Investment Advisers Act”) See “Our Adviser” below for additional information about ArrowMark. .</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Banking Sector Focus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pursue our investment objective by taking advantage of a broad spectrum of available investment opportunities in the bank sector, including securities in U.S. community banks, larger regional, national and money center banks domiciled in the United States, and global money center banks.</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predominantly invest in securities of larger regional, national and money center banks domiciled in the United States, and global money center banks through regulatory capital relief securities, such as credit-linked notes, consistent with our investment strategy. We typically invest in regulatory capital relief securities issued by larger, regulated global money center banks that provide exposure to loans and other credits provided to a diverse range of corporate entities that were originated by the issuing bank and held on its balance sheet. Banks enter into regulatory capital relief transactions to optimize capital ratios, reduce balance sheet concentrations and respond to regulatory changes. For example, through a credit-linked note, the issuing bank retains meaningful exposure to the underlying reference portfolio which aligns the bank with investors and promotes disciplined loan origination and underwriting standards. Regulatory capital relief transactions are typically privately negotiated transactions driven by long-term trusted relationships and, until recently, only a relatively small group of financial institutions were known to participate. We intend to continue to direct investments into regulatory capital relief securities with high quality reference portfolio loans, as determined by our Advisor, and diversified exposure that has the potential to generate floating rate current income. The reference portfolio loans within a regulatory capital relief transaction may not be publicly rated by any rating agency, and may have greater credit and liquidity risks than investment-grade corporate obligations that are publicly rated. Below investment grade and unrated securities are sometimes referred to as “junk” securities.We also nvest in public and privately-held community banks located throughout the United States. We consider “community banks” to be banks, savings associations and their holding companies with less than $10 billion in consolidated assets that serve local markets. As of December 31, 2023, the community banking sector is a highly fragmented $3.5 trillion industry, comprised of 4,429 banks located throughout the United States, including underserved rural, semi-rural, suburban and other niche markets. Community banks generally have simple, straightforward business models and geographically concentrated credit exposure. Community banks typically do not have exposure to non-U.S. credit and are focused on lending to borrowers in their distinct communities. As a result, we believe that community banks frequently have a better understanding of the local businesses they finance than larger banking organizations. Many of these community banks are well established, having been in business on average for more than 90 years, and having survived many economic cycles, including the most recent financial crisis. We invest directly in community banks differentiated by asset sizes, business models and geographies.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was formed to support the ongoing capital needs of banks and banking-related institutions. We believe that the banking sector continues to offer a broad spectrum of available opportunities that are consistent with our investment objective. The Company believes that investments in regulatory capital relief securities of larger U.S. banks, and global money center banks represent attractive market opportunities. Regulatory capital relief securities remain an important component of the Company’s overall investment portfolio. As ofJune 30, 2024, regulatory capital relief securities comprised approximately 87.7% of the Company’s investment portfolio. As with all investments, investments in regulatory capital relief securities are subject to several risks. We believe that the community banking sector continues to be attractive due to the strong long-term performance of community banks and the general lack of investment competition from institutional investors. The Company seeks investment opportunities in preferred equity, subordinated debt, structured notes, convertible securities (including contingent convertible securities) and common equity in the U.S. community bank sector as well as regulatory capital relief securities issued by larger U.S. banks, and global money center banks. See,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Principal Risks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 investment in our securities involves risk, and we urge you to consult your tax and legal advisors before making an investment in our securities. You could lose some or all of your investment. See “Risk Factors.” There can be no assurance that we will achieve our investment objective.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investment in our common stock involves significant risks, including: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Investing in the Banking Sector</w:t>
      </w:r>
    </w:p>
    <w:p>
      <w:pPr>
        <w:spacing w:after="0" w:line="229" w:lineRule="exact"/>
        <w:rPr>
          <w:sz w:val="20"/>
          <w:szCs w:val="20"/>
          <w:color w:val="auto"/>
        </w:rPr>
      </w:pPr>
    </w:p>
    <w:p>
      <w:pPr>
        <w:ind w:left="1300" w:right="32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will be concentrated in the banking industry, potentially exposing us to greater risks than companies that invest in multiple sectors.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primarily invest in equity and debt securities issued by banks, subjecting us to unique risks.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ind w:left="1300" w:right="580" w:hanging="644"/>
        <w:spacing w:after="0" w:line="26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investments are subject to liquidity risk, but we may face higher liquidity risk if we invest in debt obligations and other securities that are unrated and issued by banks that have no corporate rating. Below investment grade and unrated securities are sometimes referred to as “junk” securities.</w:t>
      </w:r>
    </w:p>
    <w:p>
      <w:pPr>
        <w:spacing w:after="0" w:line="17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keep our portfolio of securities and investments focused on the bank sector, which would make us more economically vulnerable in the event of a downturn in the banking industry.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number of banks may fail during times of economic stress.</w:t>
      </w:r>
    </w:p>
    <w:p>
      <w:pPr>
        <w:spacing w:after="0" w:line="225"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keep our portfolio of securities and investments focused on the bank sector including community banks whose business is subject to greater lending risks than larger banks.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Banking Regulations and Banking Investments Affecting Our Business</w:t>
      </w:r>
    </w:p>
    <w:p>
      <w:pPr>
        <w:spacing w:after="0" w:line="229" w:lineRule="exact"/>
        <w:rPr>
          <w:sz w:val="20"/>
          <w:szCs w:val="20"/>
          <w:color w:val="auto"/>
        </w:rPr>
      </w:pPr>
    </w:p>
    <w:p>
      <w:pPr>
        <w:ind w:left="1300" w:right="14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banking institutions in which we invest, including global money center banks, are subject to substantial regulations that could adversely affect their ability to operate and the value of our investments. In addition, geopolitical instability, natural disasters, including outbreaks of infectious diseases, or in times of significant global market downturns, which may impact the value of regulatory capital relief securities or other investments.</w:t>
      </w:r>
    </w:p>
    <w:p>
      <w:pPr>
        <w:spacing w:after="0" w:line="179" w:lineRule="exact"/>
        <w:rPr>
          <w:rFonts w:ascii="Times New Roman" w:cs="Times New Roman" w:eastAsia="Times New Roman" w:hAnsi="Times New Roman"/>
          <w:sz w:val="18"/>
          <w:szCs w:val="18"/>
          <w:color w:val="auto"/>
        </w:rPr>
      </w:pPr>
    </w:p>
    <w:p>
      <w:pPr>
        <w:ind w:left="1300" w:hanging="644"/>
        <w:spacing w:after="0" w:line="273" w:lineRule="auto"/>
        <w:tabs>
          <w:tab w:leader="none" w:pos="1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capital relief securities are subject to several risks. Banking regulators could change or amend existing banking regulations which could affect the regulatory treatment of regulatory capital relief securities, where changes in regulation could make regulatory capital relief securities less desirable, or undesirable, for banks to issue, reducing the supply of new investments. Should an adverse regulatory development occur in the future, it would likely result in the bank issuer of such securities being able to redeem an investment early, which subjects the Company to reinvestment risk. Regulatory capital relief securities remain subject to the same sector specific and other risks as any banking-related investment that the Company may acquire, including, but not limited to, credit risk, interest rate risk, currency risk, prepayments, adverse changes in market value or liquidity and the quality of the loans extended by each bank to its clients.</w:t>
      </w:r>
    </w:p>
    <w:p>
      <w:pPr>
        <w:spacing w:after="0" w:line="171"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adverse current or future banking regulations.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stock by certain types of regulated institutions may subject us to additional regulations.</w:t>
      </w:r>
    </w:p>
    <w:p>
      <w:pPr>
        <w:spacing w:after="0" w:line="225" w:lineRule="exact"/>
        <w:rPr>
          <w:rFonts w:ascii="Times New Roman" w:cs="Times New Roman" w:eastAsia="Times New Roman" w:hAnsi="Times New Roman"/>
          <w:sz w:val="18"/>
          <w:szCs w:val="18"/>
          <w:color w:val="auto"/>
        </w:rPr>
      </w:pPr>
    </w:p>
    <w:p>
      <w:pPr>
        <w:ind w:left="1300" w:right="68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banking institutions and transactions related to our portfolio investments may require approval from one or more regulatory authorities.</w:t>
      </w:r>
    </w:p>
    <w:p>
      <w:pPr>
        <w:spacing w:after="0" w:line="161"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deemed to be a bank holding company or thrift holding company, bank holding companies or thrift holding companies that invest in us would be subject to certain restrictions and regulations.</w:t>
      </w:r>
    </w:p>
    <w:p>
      <w:pPr>
        <w:spacing w:after="0" w:line="161" w:lineRule="exact"/>
        <w:rPr>
          <w:rFonts w:ascii="Times New Roman" w:cs="Times New Roman" w:eastAsia="Times New Roman" w:hAnsi="Times New Roman"/>
          <w:sz w:val="18"/>
          <w:szCs w:val="18"/>
          <w:color w:val="auto"/>
        </w:rPr>
      </w:pPr>
    </w:p>
    <w:p>
      <w:pPr>
        <w:ind w:left="1300" w:hanging="644"/>
        <w:spacing w:after="0" w:line="254"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Accounting Standards Board, or FASB, has issued a new credit impairment model, the Current Expected Credit Loss, or CECL model, which must be implemented by banks and certain other companies beginning in 2021. Under the CECL model, entities subject to the model will be required to present certain financial assets carried at amortized cost, such as loans held for investment and held-to-maturity debt securities, at the net amount expected to be collected. The measurement of expected credit losses is to be based on information about past events, including historical experience, current conditions, and reasonable and supportable forecasts that affect the collectability of the reported amount. This measurement will take place at the time the financial asset is first added to the balance sheet and periodically thereafter. This differs significantly from the "incurred loss" model, which delays recognition until it is probable a loss has been incurred. CECL may create more volatility in the companies in which we invest, and this in turn could affect the value of our portfolio.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Investments</w:t>
      </w:r>
    </w:p>
    <w:p>
      <w:pPr>
        <w:spacing w:after="0" w:line="229" w:lineRule="exact"/>
        <w:rPr>
          <w:sz w:val="20"/>
          <w:szCs w:val="20"/>
          <w:color w:val="auto"/>
        </w:rPr>
      </w:pPr>
    </w:p>
    <w:p>
      <w:pPr>
        <w:ind w:left="1300" w:right="180" w:hanging="644"/>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will be subject to dividend and interest rate fluctuations, and we are subject to interest rate risk. In particular, our investments in subordinated or unsecured debt securities that are perpetual or have maturities in excess of ten years subject us to a high degree of interest rate risk.</w:t>
      </w:r>
    </w:p>
    <w:p>
      <w:pPr>
        <w:spacing w:after="0" w:line="175"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our assets will be unrated, illiquid, and their fair value may not be readily determinable. As a consequence, the Company may be unable to sell such assets at an attractive value for a period of time, if at all. The assets in which we invest may not be publicly rated by any rating agency, and may have greater credit and liquidity risks than investment-grade corporate obligations that are publicly rated. Below investment grade and unrated securities are sometimes referred to as “junk” securities.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8" w:name="page19"/>
    <w:bookmarkEnd w:id="18"/>
    <w:p>
      <w:pPr>
        <w:ind w:left="1300" w:hanging="644"/>
        <w:spacing w:after="0" w:line="253"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regulatory capital relief securities subject us to the risks of the counterparty and underlying bank assets. Regulatory capital relief securities are credit risk transfer securities issued by banks or other financial institutions. In addition to the credit risks associated with directly or indirectly holding fixed-income investments including loans and high-yield debt securities, we may have a contractual relationship only with the counterparty of such regulatory capital relief security, and not with the reference obligor of the reference asset. We generally will have no right to directly enforce compliance by the reference obligor with the terms of the reference asset nor will we have any rights of setoff against the reference obligor or rights with respect to the reference asset. We will not directly benefit from the reference portfolio loans supporting the reference asset and will not have the benefit of the remedies that would normally be available to a holder of such reference asset. In addition, in the event of the insolvency of the counterparty, we may be treated as a general creditor of such counterparty, and will not have any claim with respect to the reference asset. Consequently, we will be subject to the credit risk of the counterparty as well as that of the reference obligor. As a result, concentrations of regulatory capital relief securities in any one counterparty subject us to an additional degree of risk with respect to defaults by such counterparty as well as by the reference obligor.</w:t>
      </w:r>
    </w:p>
    <w:p>
      <w:pPr>
        <w:spacing w:after="0" w:line="189"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credit-linked notes include those risks associated with fixed-income instruments and those of the underlying reference instrument or credit obligation including but not limited to market risk, interest rate risk, credit (default) risk, counterparty risk, valuation risk, foreign security and foreign currency risk.</w:t>
      </w:r>
    </w:p>
    <w:p>
      <w:pPr>
        <w:spacing w:after="0" w:line="175" w:lineRule="exact"/>
        <w:rPr>
          <w:rFonts w:ascii="Times New Roman" w:cs="Times New Roman" w:eastAsia="Times New Roman" w:hAnsi="Times New Roman"/>
          <w:sz w:val="18"/>
          <w:szCs w:val="18"/>
          <w:color w:val="auto"/>
        </w:rPr>
      </w:pPr>
    </w:p>
    <w:p>
      <w:pPr>
        <w:ind w:left="1300" w:right="40" w:hanging="644"/>
        <w:spacing w:after="0" w:line="253"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CLO equity and junior debt securities that are subordinated to more senior tranches of CLO debt. CLOs present risks including credit(default), interest rate and prepayment risks. Investors in CLO securities indirectly bear risks of the collateral held by such CLOs. The prices of CLOs (and, therefore, the prices of the CLOs’ securities) are influenced by the same types of political and economic events that affect issuers of securities and capital markets generally. CLO interests are generally thinly traded or have only a limited trading market. CLO securities are typically privately offered and sold, even in the secondary market. As a result, investments in CLO securities are illiquid and the price at which these securities are sold may be less than the price used to calculate our NAV. CLO equity and junior debt securities are typically highly levered and, therefore, the junior debt and equity tranches in which we are currently invested and in which we may invest will be subject to a higher degree of risk of total loss. The CLO securities in which we may invest may be rated below investment grade or unrated and, therefore, are considered speculative with respect to timely payment of interest and repayment of principal. The loans or other assets pledged as collateral in a CLO may not be publicly rated by any rating agency, and may have greater credit and liquidity risks than investment-grade corporate obligations that are publicly rated. Below investment grade and unrated securities are sometimes referred to as “junk” securities.</w:t>
      </w:r>
    </w:p>
    <w:p>
      <w:pPr>
        <w:spacing w:after="0" w:line="189"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securities may experience greater price volatility and changes in value. Investments denominated in foreign currencies as well as currency hedge transactions will be subject to fluctuations in value.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transactions may limit our income or result in losses.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Use of Leverage</w:t>
      </w:r>
    </w:p>
    <w:p>
      <w:pPr>
        <w:spacing w:after="0" w:line="229" w:lineRule="exact"/>
        <w:rPr>
          <w:sz w:val="20"/>
          <w:szCs w:val="20"/>
          <w:color w:val="auto"/>
        </w:rPr>
      </w:pPr>
    </w:p>
    <w:p>
      <w:pPr>
        <w:ind w:left="1300" w:right="1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 bank loan to finance investments as a form of leverage. We also have authority to issue preferred stock or engage in reverse repurchase agreements to finance investments.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exaggerates the effects of market downturns or upturns on the NAV and market value of our common stock, as well as on distributions to holders of our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can also increase the volatility of our NAV, and expenses related to leverage can reduce our income.</w:t>
      </w:r>
    </w:p>
    <w:p>
      <w:pPr>
        <w:spacing w:after="0" w:line="22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leverage, if our assets decline in value so that asset coverage requirements for any borrowings or preferred stock would not be met, we may be prevented from paying distributions, which could jeopardize our qualification for pass-through tax treatment, make us liable for excise taxes and/or force us to sell portfolio securities at an inopportune time.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leverage through investments such as CLO equity or junior debt securities that inherently involve leverage, may magnify our risk of loss. CLO equity or junior debt securities are very highly leveraged, and therefore the CLO securities in which we are currently invested and in which we intend to invest are subject to a higher degree of loss since the use of leverage magnifies losses.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utilizes a revolving credit agreement with Texas Capital Bank to provide for a maximum borrowing amount of $70 million and a fee of Secured Overnight Funding Rate (“SOFR”) + 2.61%, with a maturity date of May 27, 2025 (which may be extended until May 27, 2026 at the option of the Company) (the “Credit Facility”).</w:t>
      </w:r>
    </w:p>
    <w:p>
      <w:pPr>
        <w:spacing w:after="0" w:line="175"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Facility imposes asset coverage requirements, which are more stringent than those imposed by the Investment Company Act, or by our policies. In addition, we agreed not to purchase assets not contemplated by the investment policies and restrictions in effect when the Credit Facility became effective unless changes to these policies and restrictions are consented to by Texas Capital Bank.</w:t>
      </w:r>
    </w:p>
    <w:p>
      <w:pPr>
        <w:spacing w:after="0" w:line="157" w:lineRule="exact"/>
        <w:rPr>
          <w:rFonts w:ascii="Times New Roman" w:cs="Times New Roman" w:eastAsia="Times New Roman" w:hAnsi="Times New Roman"/>
          <w:sz w:val="17"/>
          <w:szCs w:val="17"/>
          <w:color w:val="auto"/>
        </w:rPr>
      </w:pPr>
    </w:p>
    <w:p>
      <w:pPr>
        <w:jc w:val="both"/>
        <w:ind w:left="1300" w:hanging="644"/>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or guidelines under the Credit Facility could impede the Adviser from fully managing our portfolio in accordance with our investment objectives and policies. Furthermore, non-compliance with such covenants or the occurrence of other events could lead to the cancellation of the Credit Facility.</w:t>
      </w:r>
    </w:p>
    <w:p>
      <w:pPr>
        <w:spacing w:after="0" w:line="175" w:lineRule="exact"/>
        <w:rPr>
          <w:rFonts w:ascii="Times New Roman" w:cs="Times New Roman" w:eastAsia="Times New Roman" w:hAnsi="Times New Roman"/>
          <w:sz w:val="18"/>
          <w:szCs w:val="18"/>
          <w:color w:val="auto"/>
        </w:rPr>
      </w:pPr>
    </w:p>
    <w:p>
      <w:pPr>
        <w:ind w:left="1300" w:right="82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the Credit Facility remains in effect, we may not incur additional debt under any other facility, except in limited circumstances.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77" w:right="359" w:bottom="285" w:gutter="0" w:footer="0" w:header="0"/>
        </w:sectPr>
      </w:pPr>
    </w:p>
    <w:bookmarkStart w:id="19" w:name="page20"/>
    <w:bookmarkEnd w:id="19"/>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Facility allows us to prepay borrowings under the Credit Facility at any time.</w:t>
      </w:r>
    </w:p>
    <w:p>
      <w:pPr>
        <w:spacing w:after="0" w:line="225" w:lineRule="exact"/>
        <w:rPr>
          <w:rFonts w:ascii="Times New Roman" w:cs="Times New Roman" w:eastAsia="Times New Roman" w:hAnsi="Times New Roman"/>
          <w:sz w:val="18"/>
          <w:szCs w:val="18"/>
          <w:color w:val="auto"/>
        </w:rPr>
      </w:pPr>
    </w:p>
    <w:p>
      <w:pPr>
        <w:ind w:left="1300" w:right="80" w:hanging="644"/>
        <w:spacing w:after="0" w:line="312" w:lineRule="auto"/>
        <w:tabs>
          <w:tab w:leader="none" w:pos="1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anticipate that the requirements of the Credit Facility will have a material adverse effect on the holders of our common stock or on our ability to achieve our investment objectives. We may also consider alternative measures of obtaining leverage in the future.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“Leverage,” and also “Risk Factors—Risks Related to Our Use of Leverage,”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9"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is highly dependent on our Adviser.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may rely on assumptions that prove to be incorrect.</w:t>
      </w:r>
    </w:p>
    <w:p>
      <w:pPr>
        <w:spacing w:after="0" w:line="225"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may serve as investment adviser to other funds, investment vehicles and investors, which may create conflicts of interest not in the best interest of us or our stockholders.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generate low or negative rates of return on capital, and we may not be able to execute our business plans as expected, if at all.</w:t>
      </w:r>
    </w:p>
    <w:p>
      <w:pPr>
        <w:spacing w:after="0" w:line="225" w:lineRule="exact"/>
        <w:rPr>
          <w:rFonts w:ascii="Times New Roman" w:cs="Times New Roman" w:eastAsia="Times New Roman" w:hAnsi="Times New Roman"/>
          <w:sz w:val="18"/>
          <w:szCs w:val="18"/>
          <w:color w:val="auto"/>
        </w:rPr>
      </w:pPr>
    </w:p>
    <w:p>
      <w:pPr>
        <w:ind w:left="1300" w:right="380" w:hanging="644"/>
        <w:spacing w:after="0" w:line="312" w:lineRule="auto"/>
        <w:tabs>
          <w:tab w:leader="none" w:pos="1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model depends to a significant extent upon strong referral relationships, and our inability to maintain or develop these relationships, as well as the failure of these relationships to generate investment opportunities, could adversely affect our business.</w:t>
      </w:r>
    </w:p>
    <w:p>
      <w:pPr>
        <w:spacing w:after="0" w:line="13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effectively, we may be unable to achieve our investment objective.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may fluctuate.</w:t>
      </w:r>
    </w:p>
    <w:p>
      <w:pPr>
        <w:spacing w:after="0" w:line="225" w:lineRule="exact"/>
        <w:rPr>
          <w:rFonts w:ascii="Times New Roman" w:cs="Times New Roman" w:eastAsia="Times New Roman" w:hAnsi="Times New Roman"/>
          <w:sz w:val="18"/>
          <w:szCs w:val="18"/>
          <w:color w:val="auto"/>
        </w:rPr>
      </w:pPr>
    </w:p>
    <w:p>
      <w:pPr>
        <w:ind w:left="1300" w:hanging="644"/>
        <w:spacing w:after="0" w:line="25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distributions to our stockholders on a quarterly basis. If the amount of any distribution exceeds our net investment income or capital gains, then all or a portion of such distribution could constitute a return of capital to stockholders rather than dividend income for tax purposes. A return of capital distribution has the effect of lowering stockholders’ basis in their shares, which will result in higher tax liability when the shares are sold, even if such shares have not increased in value or have, in fact, lost value. In addition to the tax consequences, such a distribution is a return of a shareholder’s own investment, but distributed net of Company expenses, and will decrease the funds available for investment by the Company.</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arrangements with lenders or preferred shareholders may limit our ability to make dividend payments to our stockholders.</w:t>
      </w:r>
    </w:p>
    <w:p>
      <w:pPr>
        <w:spacing w:after="0" w:line="225"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change our business strategy and operational policies without stockholder consent (unless stockholder consent is specifically required by the Investment Company Act), which may result in a determination to pursue riskier business activities.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may prohibit the banks in which we invest from paying interest and/or dividends to 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could occur that may adversely affect us.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register as a commodity pool operator.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fluctuations caused by force majeure, terrorism, global pandemics, or certain other acts may adversely affect our performance.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may affect our net investment income, reinvestment risk and the probability of defaults of our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Adviser and/or its Affiliates</w:t>
      </w:r>
    </w:p>
    <w:p>
      <w:pPr>
        <w:spacing w:after="0" w:line="229"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is dependent on our Adviser, and we may not find a suitable replacement if the management agreement is terminated.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or death of any of the members of senior management of our Adviser or ArrowMark Partners may adversely affect our ability to achieve our business objective; our management agreement does not require the availability to us of any particular individuals.</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Adviser ceases to be our manager under our management agreement, financial institutions that provided our credit facilities may not provide future financing to us.</w:t>
      </w:r>
    </w:p>
    <w:p>
      <w:pPr>
        <w:spacing w:after="0" w:line="161"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Adviser’s liability is limited under our management agreement, and we have agreed to indemnify our Adviser against certain liabilities.</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potential conflicts of interest between our management and our Adviser, on one hand, and the interest of our common stockholders, on the other.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limited in our ability to conduct transactions with affiliates.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77" w:right="439" w:bottom="933" w:gutter="0" w:footer="0" w:header="0"/>
        </w:sectPr>
      </w:pPr>
    </w:p>
    <w:bookmarkStart w:id="20" w:name="page21"/>
    <w:bookmarkEnd w:id="20"/>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Adviser’s investment committee is not independent from its management.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compete with our Adviser’s current and future investment vehicles for access to capital and assets.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other conflicts of interest in our relationship with our Adviser and/or its affiliates that could negatively affect our earnings.</w:t>
      </w:r>
    </w:p>
    <w:p>
      <w:pPr>
        <w:spacing w:after="0" w:line="225"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Adviser’s management of our business is subject to the oversight of our board of directors, but our board of directors will not approve each business decision made by our Adviser.</w:t>
      </w:r>
    </w:p>
    <w:p>
      <w:pPr>
        <w:spacing w:after="0" w:line="161"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may be incentivized to incur additional leverage, up to the extent permitted by regulations, even if additional leverage is not in the best interests of the Company’s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Offerings</w:t>
      </w:r>
    </w:p>
    <w:p>
      <w:pPr>
        <w:spacing w:after="0" w:line="229"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our common stock may be volatile.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for our common stock is subject to market risk and may trade at a discount to our NAV.</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offerings of debt securities or preferred stock, which would rank senior to our common stock upon our liquidation, and future offerings of equity securities, which would dilute our existing stockholders and may be senior to our common stock for the purposes of dividend and liquidating distributions, may adversely affect the market value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9"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our election to be treated as a RIC, we may not be able to meet the requirements to maintain an election to be treated as a RIC.</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federal income tax on all of our income if we are unable to maintain RIC status under Subchapter M of the Code.</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investment in a RIC is appropriate for a Non-U.S. Stockholder will depend upon the Non-U.S. Stockholder’s particular circumstances.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strongly urge you to review carefully the discussion under “Material U.S. Federal Income Tax Considerations” and to seek advice based on your particular circumstances from an independent tax advisor.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believe that our significant focus on the banking sector provides us with a strong competitive advantage relative to non-specialized investors. We believe that we are well-suited to meet the capital needs of the banking sector.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Targeted Investment Characteristics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business strategy focuses on minimizing risk by using a disciplined underwriting process for all of our sector investments. Proprietary fundamental research is the basis for all investment decisions.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investments in community banks, we seek banks that exhibit the following characteristics:</w:t>
      </w:r>
    </w:p>
    <w:p>
      <w:pPr>
        <w:spacing w:after="0" w:line="221" w:lineRule="exact"/>
        <w:rPr>
          <w:sz w:val="20"/>
          <w:szCs w:val="20"/>
          <w:color w:val="auto"/>
        </w:rPr>
      </w:pPr>
    </w:p>
    <w:p>
      <w:pPr>
        <w:ind w:left="1300" w:right="80" w:hanging="644"/>
        <w:spacing w:after="0" w:line="26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Experienced Management. </w:t>
      </w:r>
      <w:r>
        <w:rPr>
          <w:rFonts w:ascii="Times New Roman" w:cs="Times New Roman" w:eastAsia="Times New Roman" w:hAnsi="Times New Roman"/>
          <w:sz w:val="18"/>
          <w:szCs w:val="18"/>
          <w:color w:val="auto"/>
        </w:rPr>
        <w:t>We seek to invest in community banks with management teams or sponsors that are experienced in running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banking businesses and managing risk. We seek community banks that have a particular market focus, expertise in that market, and a track record of success. Further, we actively seek to invest in banks with senior management teams with significant ties to their local communities.</w:t>
      </w:r>
    </w:p>
    <w:p>
      <w:pPr>
        <w:spacing w:after="0" w:line="176" w:lineRule="exact"/>
        <w:rPr>
          <w:rFonts w:ascii="Times New Roman" w:cs="Times New Roman" w:eastAsia="Times New Roman" w:hAnsi="Times New Roman"/>
          <w:sz w:val="18"/>
          <w:szCs w:val="18"/>
          <w:color w:val="auto"/>
        </w:rPr>
      </w:pPr>
    </w:p>
    <w:p>
      <w:pPr>
        <w:ind w:left="1300" w:right="140" w:hanging="644"/>
        <w:spacing w:after="0" w:line="268"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Stability of Earnings. </w:t>
      </w:r>
      <w:r>
        <w:rPr>
          <w:rFonts w:ascii="Times New Roman" w:cs="Times New Roman" w:eastAsia="Times New Roman" w:hAnsi="Times New Roman"/>
          <w:sz w:val="18"/>
          <w:szCs w:val="18"/>
          <w:color w:val="auto"/>
        </w:rPr>
        <w:t>We seek to invest in community banks with the potential to generate stable cash flows over long periods of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therefore we presently seek out institutions that have a defined lending strategy and predictable sources of interest revenues, stable sources of deposits and predictable expenses.</w:t>
      </w:r>
    </w:p>
    <w:p>
      <w:pPr>
        <w:spacing w:after="0" w:line="170" w:lineRule="exact"/>
        <w:rPr>
          <w:rFonts w:ascii="Times New Roman" w:cs="Times New Roman" w:eastAsia="Times New Roman" w:hAnsi="Times New Roman"/>
          <w:sz w:val="18"/>
          <w:szCs w:val="18"/>
          <w:color w:val="auto"/>
        </w:rPr>
      </w:pPr>
    </w:p>
    <w:p>
      <w:pPr>
        <w:jc w:val="both"/>
        <w:ind w:left="1300" w:right="200" w:hanging="644"/>
        <w:spacing w:after="0" w:line="268"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Stability of Market. </w:t>
      </w:r>
      <w:r>
        <w:rPr>
          <w:rFonts w:ascii="Times New Roman" w:cs="Times New Roman" w:eastAsia="Times New Roman" w:hAnsi="Times New Roman"/>
          <w:sz w:val="18"/>
          <w:szCs w:val="18"/>
          <w:color w:val="auto"/>
        </w:rPr>
        <w:t>We seek to invest in community banks whose core business is conducted in one or more geographic markets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sustainable local economies. The market characteristics we seek include stable or growing employment bases and favorable long-term demographic trends, among other characteristics.</w:t>
      </w:r>
    </w:p>
    <w:p>
      <w:pPr>
        <w:spacing w:after="0" w:line="170" w:lineRule="exact"/>
        <w:rPr>
          <w:rFonts w:ascii="Times New Roman" w:cs="Times New Roman" w:eastAsia="Times New Roman" w:hAnsi="Times New Roman"/>
          <w:sz w:val="18"/>
          <w:szCs w:val="18"/>
          <w:color w:val="auto"/>
        </w:rPr>
      </w:pPr>
    </w:p>
    <w:p>
      <w:pPr>
        <w:ind w:left="1300" w:right="40" w:hanging="644"/>
        <w:spacing w:after="0" w:line="268"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Growth Opportunities. </w:t>
      </w:r>
      <w:r>
        <w:rPr>
          <w:rFonts w:ascii="Times New Roman" w:cs="Times New Roman" w:eastAsia="Times New Roman" w:hAnsi="Times New Roman"/>
          <w:sz w:val="18"/>
          <w:szCs w:val="18"/>
          <w:color w:val="auto"/>
        </w:rPr>
        <w:t>We seek to invest in healthy community banks headquartered in markets that provide significant organic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opportunities, or are headquartered in highly fragmented markets where industry consolidation is likely providing the opportunity for community banks to grow through acquisitions of smaller competitors.</w:t>
      </w:r>
    </w:p>
    <w:p>
      <w:pPr>
        <w:spacing w:after="0" w:line="170" w:lineRule="exact"/>
        <w:rPr>
          <w:rFonts w:ascii="Times New Roman" w:cs="Times New Roman" w:eastAsia="Times New Roman" w:hAnsi="Times New Roman"/>
          <w:sz w:val="18"/>
          <w:szCs w:val="18"/>
          <w:color w:val="auto"/>
        </w:rPr>
      </w:pPr>
    </w:p>
    <w:p>
      <w:pPr>
        <w:ind w:left="1300" w:right="40" w:hanging="644"/>
        <w:spacing w:after="0" w:line="26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Strong Competitive Position. </w:t>
      </w:r>
      <w:r>
        <w:rPr>
          <w:rFonts w:ascii="Times New Roman" w:cs="Times New Roman" w:eastAsia="Times New Roman" w:hAnsi="Times New Roman"/>
          <w:sz w:val="18"/>
          <w:szCs w:val="18"/>
          <w:color w:val="auto"/>
        </w:rPr>
        <w:t>We focus on community banks that have developed strong market positions within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and that are well positioned to capitalize on growth opportunities. We seek to invest in companies that demonstrate competitive advantages that should help to protect and potentially expand their market position and profitability. Typically, we do not expect to invest in newly organized institutions or community banks having highly speculative business plans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77" w:right="359" w:bottom="69" w:gutter="0" w:footer="0" w:header="0"/>
        </w:sectPr>
      </w:pPr>
    </w:p>
    <w:bookmarkStart w:id="21" w:name="page22"/>
    <w:bookmarkEnd w:id="21"/>
    <w:p>
      <w:pPr>
        <w:ind w:left="1300" w:right="100" w:hanging="644"/>
        <w:spacing w:after="0" w:line="268"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Visibility of Exit. </w:t>
      </w:r>
      <w:r>
        <w:rPr>
          <w:rFonts w:ascii="Times New Roman" w:cs="Times New Roman" w:eastAsia="Times New Roman" w:hAnsi="Times New Roman"/>
          <w:sz w:val="18"/>
          <w:szCs w:val="18"/>
          <w:color w:val="auto"/>
        </w:rPr>
        <w:t>When investing in common equity, we seek investments that we expect to result in an exit opportunity. Exits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come through the conversion of an investment into public shares; an initial public offering of shares by the bank; the sale of the bank; or the repurchase of shares by the bank or another financial investor.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investments in regulatory capital relief securities, we seek to invest in issues that exhibit the following characteristics:</w:t>
      </w:r>
    </w:p>
    <w:p>
      <w:pPr>
        <w:spacing w:after="0" w:line="221" w:lineRule="exact"/>
        <w:rPr>
          <w:sz w:val="20"/>
          <w:szCs w:val="20"/>
          <w:color w:val="auto"/>
        </w:rPr>
      </w:pPr>
    </w:p>
    <w:p>
      <w:pPr>
        <w:ind w:left="1300" w:right="20" w:hanging="644"/>
        <w:spacing w:after="0" w:line="26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Investor and Issuer Alignment. </w:t>
      </w:r>
      <w:r>
        <w:rPr>
          <w:rFonts w:ascii="Times New Roman" w:cs="Times New Roman" w:eastAsia="Times New Roman" w:hAnsi="Times New Roman"/>
          <w:sz w:val="18"/>
          <w:szCs w:val="18"/>
          <w:color w:val="auto"/>
        </w:rPr>
        <w:t>We seek to invest in regulatory capital relief securities where the issuing bank originated the underlying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with the intention to be held on the bank’s balance sheet. We seek regulatory capital relief transactions where the issuing bank retains meaningful exposure to the underlying reference portfolio loan pool through a structure that creates alignment with investors by incentivizing the issuing bank to maintain disciplined underwriting processes and standards.</w:t>
      </w:r>
    </w:p>
    <w:p>
      <w:pPr>
        <w:spacing w:after="0" w:line="176" w:lineRule="exact"/>
        <w:rPr>
          <w:rFonts w:ascii="Times New Roman" w:cs="Times New Roman" w:eastAsia="Times New Roman" w:hAnsi="Times New Roman"/>
          <w:sz w:val="18"/>
          <w:szCs w:val="18"/>
          <w:color w:val="auto"/>
        </w:rPr>
      </w:pPr>
    </w:p>
    <w:p>
      <w:pPr>
        <w:ind w:left="1300" w:right="580" w:hanging="644"/>
        <w:spacing w:after="0" w:line="28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Quality Reference Portfolio Loans. </w:t>
      </w:r>
      <w:r>
        <w:rPr>
          <w:rFonts w:ascii="Times New Roman" w:cs="Times New Roman" w:eastAsia="Times New Roman" w:hAnsi="Times New Roman"/>
          <w:sz w:val="18"/>
          <w:szCs w:val="18"/>
          <w:color w:val="auto"/>
        </w:rPr>
        <w:t>We generally seek to invest in regulatory capital relief securities where the underlying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portfolio is at or near investment grade at the time of issuance, as determined by the Advisor.</w:t>
      </w:r>
    </w:p>
    <w:p>
      <w:pPr>
        <w:spacing w:after="0" w:line="154" w:lineRule="exact"/>
        <w:rPr>
          <w:rFonts w:ascii="Times New Roman" w:cs="Times New Roman" w:eastAsia="Times New Roman" w:hAnsi="Times New Roman"/>
          <w:sz w:val="18"/>
          <w:szCs w:val="18"/>
          <w:color w:val="auto"/>
        </w:rPr>
      </w:pPr>
    </w:p>
    <w:p>
      <w:pPr>
        <w:ind w:left="1300" w:right="380" w:hanging="644"/>
        <w:spacing w:after="0" w:line="268"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Diversified Exposure. </w:t>
      </w:r>
      <w:r>
        <w:rPr>
          <w:rFonts w:ascii="Times New Roman" w:cs="Times New Roman" w:eastAsia="Times New Roman" w:hAnsi="Times New Roman"/>
          <w:sz w:val="18"/>
          <w:szCs w:val="18"/>
          <w:color w:val="auto"/>
        </w:rPr>
        <w:t>We seek to invest in regulatory capital relief securities where the underlying reference portfolio is diversified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geographies, sectors, and individual borrowers. Additionally, we seek securities that are subject to guidelines which enforce reference portfolio diversification over the expected life.</w:t>
      </w:r>
    </w:p>
    <w:p>
      <w:pPr>
        <w:spacing w:after="0" w:line="170" w:lineRule="exact"/>
        <w:rPr>
          <w:rFonts w:ascii="Times New Roman" w:cs="Times New Roman" w:eastAsia="Times New Roman" w:hAnsi="Times New Roman"/>
          <w:sz w:val="18"/>
          <w:szCs w:val="18"/>
          <w:color w:val="auto"/>
        </w:rPr>
      </w:pPr>
    </w:p>
    <w:p>
      <w:pPr>
        <w:ind w:left="1300" w:right="600" w:hanging="644"/>
        <w:spacing w:after="0" w:line="28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Floating Rate, Current Income. </w:t>
      </w:r>
      <w:r>
        <w:rPr>
          <w:rFonts w:ascii="Times New Roman" w:cs="Times New Roman" w:eastAsia="Times New Roman" w:hAnsi="Times New Roman"/>
          <w:sz w:val="18"/>
          <w:szCs w:val="18"/>
          <w:color w:val="auto"/>
        </w:rPr>
        <w:t>We seek to invest in regulatory capital relief securities that have a floating rate structure to help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mitigate interest rate risk.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primarily invest in bank-related securities including regulatory capital relief securities and securities issued by community banks,and other FDIC-insured institutions and . We have an existing pipeline of potential investments that meet our criteria, consisting primarily of preferred equity, subordinated debt, convertible securities (including contingent convertible securities), structured notes and, to a lesser extent, common equity. We invest in accordance with our Adviser’s investment policy in primarily the following assets: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Regulatory Capital Relief Securities and Credit-Linked Notes. </w:t>
      </w:r>
      <w:r>
        <w:rPr>
          <w:rFonts w:ascii="Times New Roman" w:cs="Times New Roman" w:eastAsia="Times New Roman" w:hAnsi="Times New Roman"/>
          <w:sz w:val="18"/>
          <w:szCs w:val="18"/>
          <w:color w:val="auto"/>
        </w:rPr>
        <w:t>We invest in “regulatory capital relief securities” which are securities issued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structured by banks seeking capital that is treated more favorably under banking regulations than other types of capital, acquisitions and other refinancing activities. Regulatory capital relief relief securities are issued or structured by a bank to maintain or reduce its regulatory capital requirements by transferring certain credit risks to investors. Regulatory capital relief securities may be in the form of structured notes (e.g., credit-linked notes), convertible securities (including contingent convertible securities), and other structured products or transactions. We invest in credit-linked notes which are unsecured notes linked to loans or other assets held by a bank or other financial institution on its balance sheet. Although the credit-linked notes are tied to the underlying performance of the assets held by the bank, such credit-linked notes may not be secured by such assets and we have no direct or indirect ownership of the underlying assets. Thus, as a holder of such credit-linked notes, we would be subject to counterparty risk of the bank which issues the credit-linked notes (in addition to the risk associated with the assets themselves). To the extent the relevant bank experiences an insolvency event or goes into receivership, we may not receive payments on the credit-linked notes, or such payments may be delayed.</w:t>
      </w:r>
    </w:p>
    <w:p>
      <w:pPr>
        <w:spacing w:after="0" w:line="18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Preferred and Common Equity Assets. </w:t>
      </w:r>
      <w:r>
        <w:rPr>
          <w:rFonts w:ascii="Times New Roman" w:cs="Times New Roman" w:eastAsia="Times New Roman" w:hAnsi="Times New Roman"/>
          <w:sz w:val="17"/>
          <w:szCs w:val="17"/>
          <w:color w:val="auto"/>
        </w:rPr>
        <w:t>We continue to receive capital requests from numerous community banks regarding potential investments initially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amounts ranging from approximately $3 million to $20 million per investment. Preferred stock may have fixed or variable dividend rates, which may be subject to rate caps and collars. In connection with our investments, we may also receive options or warrants to purchase common or preferred equity.</w:t>
      </w:r>
    </w:p>
    <w:p>
      <w:pPr>
        <w:spacing w:after="0" w:line="15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Regardless of the type of capital security, we intend to invest the majority of our portfolio in institutions that are currently paying dividends or interest on their securities, that our Adviser believes have the ongoing ability to pay dividends or interest on their securities, and that are not currently a party to any regulatory enforcement actions that would limit or hinder their ability to pay dividends or interest. While we do not intend to invest a significant portion of our funds in institutions that do not meet these criteria, we may invest in institutions that our Adviser believes have the ability to emerge from such conditions, pay any accrued interest or cumulative unpaid dividends at emergence and begin the normalized payment of interest or dividends in arrears and/or as frequently stipulated by the issuance in question.</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From time to time, we may also invest in Tier 2 qualifying debt securities (long term subordinated debt securities) and other debt securities or hybrid instruments issued by community banks or their holding companies. Additionally, we may invest in Tier 1 qualifying debt securities. These debt securities may have fixed or floating interest rates.</w:t>
      </w:r>
    </w:p>
    <w:p>
      <w:pPr>
        <w:spacing w:after="0" w:line="1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Covered Calls and Other Option Transactions</w:t>
      </w:r>
      <w:r>
        <w:rPr>
          <w:rFonts w:ascii="Times New Roman" w:cs="Times New Roman" w:eastAsia="Times New Roman" w:hAnsi="Times New Roman"/>
          <w:sz w:val="18"/>
          <w:szCs w:val="18"/>
          <w:color w:val="auto"/>
        </w:rPr>
        <w:t>. The Company intends to provide current income from short-term gains earned through an option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will normally consist of writing (selling) call options on bank equity securities in its portfolio (“covered calls”). Any premiums received by the Company from writing options may result in short-term capital gains. Writing a covered call is the selling of an option contract entitling the buyer to purchase an underlying security that the Company owns. When the Company sells a call option, it generates current income from short-term gains in the form of the premium paid by the buyer of the call option, but the Company forgoes the opportunity to participate in any increase in the value of the underlying equity security above the exercise price of the option. The writer of the call option has the obligation, upon exercise of the option, to deliver the underlying security or currency upon payment of the exercise price during the option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2" w:name="page23"/>
    <w:bookmarkEnd w:id="22"/>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Convertible Securities. </w:t>
      </w:r>
      <w:r>
        <w:rPr>
          <w:rFonts w:ascii="Times New Roman" w:cs="Times New Roman" w:eastAsia="Times New Roman" w:hAnsi="Times New Roman"/>
          <w:sz w:val="18"/>
          <w:szCs w:val="18"/>
          <w:color w:val="auto"/>
        </w:rPr>
        <w:t>We may invest in convertible securities (including contingent convertible securities). Convertible securities include any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or preferred stock which may be converted into common stock or which carry the right to purchase common stock.</w:t>
      </w:r>
    </w:p>
    <w:p>
      <w:pPr>
        <w:spacing w:after="0" w:line="15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Generally, convertible securities entitle us to exchange the securities for a specified number of shares of common stock, usually of the same company, at specified prices within a certain period of time.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terms of any convertible security determine its ranking in a company’s capital structure. In the case of subordinated convertible debentures, the holders’ claims on assets and earnings are subordinated to the claims of other creditors, and are senior to the claims of preferred and common shareholders. In the case of convertible preferred stock, the holders’ claims on assets and earnings are subordinated to the claims of all creditors and are senior to the claims of common shareholders.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Convertible securities have characteristics similar to both debt and equity securities. Due to the conversion feature, the market value of convertible securities tends to move together with the market value of the underlying common stock. As a result, selection of convertible securities, to a great extent, is based on the potential for capital appreciation that may exist in the underlying stock. The value of convertible securities is also affected by prevailing interest rates, the credit quality of the issuer, and any call provisions. In some cases, the issuer may cause a convertible security to convert to common stock. In other situations, it may be advantageous for us to cause the conversion of convertible securities to common stock. If a convertible security converts to common stock, we may hold such common stock in our portfolio even if we would not invest in the common stock of such issuer.</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invest in contingent securities structured as contingent convertible securities also known as “CoCos”. Contingent convertible securities are typically issued by non-U.S. banks and are designed to behave like bonds in times of economic health yet absorb losses when a pre-determined trigger event occurs. A contingent convertible security is a hybrid debt security either convertible into equity at a predetermined share price or written down in value based on the specific terms of the individual security if a pre-specified trigger event occurs (the “Trigger Event”). Unlike traditional convertible securities, the conversion of a contingent convertible security from debt to equity is “contingent” and will occur only in the case of a Trigger Event. Trigger Events vary by instrument and are defined by the documents governing the contingent convertible security. Such Trigger Events may include a decline in the issuer’s capital below a specified threshold level, increase in the issuer’s risk weighted assets, the share price of the issuer falling to a particular level for a certain period of time and certain regulatory events.</w:t>
      </w:r>
    </w:p>
    <w:p>
      <w:pPr>
        <w:spacing w:after="0" w:line="188"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Collateralized Loan Obligations and other Structured Securities. </w:t>
      </w:r>
      <w:r>
        <w:rPr>
          <w:rFonts w:ascii="Times New Roman" w:cs="Times New Roman" w:eastAsia="Times New Roman" w:hAnsi="Times New Roman"/>
          <w:sz w:val="18"/>
          <w:szCs w:val="18"/>
          <w:color w:val="auto"/>
        </w:rPr>
        <w:t>A CLO is a special purpose vehicle that is formed to finance a pool of loans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 predefined investment criteria. It generally raises capital by issuing both debt and equity securities. Typically, a CLO will issue various classes, or “tranches,” of debt broadly categorized as senior and subordinate debt tranches as well as an equity tranche.</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CLO securities receive cash flows generated by underlying collateral according to a defined payment waterfall. Principal and interest payments to CLO debt tranches are typically paid sequentially, with senior debt tranches receiving cash flows prior to subordinate debt tranches. The risk and return to CLO debt tranches vary depending upon each tranche’s right to collect cash flows generated by the underlying collateral. CLO debt tranches are generally rated, with ratings ranging from the highest investment grade to below investment grade, with coupons commensurate with the risk of each tranche. CLO debt tranches are also generally structured with covenants which, if violated, divert cash flows to the senior tranches prior to making any interest or principal payments to subordinate debt tranches or equity tranches. The loans or other assets pledged as collateral in these securitizations may not be publicly rated by any rating agency, and may have greater credit and liquidity risks than investment-grade corporate obligations that are publicly rated.</w:t>
      </w:r>
    </w:p>
    <w:p>
      <w:pPr>
        <w:spacing w:after="0" w:line="18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Unlike debt securities issued by CLOs, CLO equity securities are not rated and do not have contractually stated payment schedules. At origination, the weighted average interest rate of all CLO debt tranches is generally lower than the weighted average interest earned by a CLO’s underlying collateral, resulting in an interest rate spread. CLO equity securities receive residual cash flows, or the interest spread, generated by the underlying collateral after obligated payments for CLO debt securities and other expenses of the CLO have been made. CLO equity tranches typically comprise approximately 10%-20% of total capital raised by a CLO.</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CLO equity tranches can generate relatively front-end loaded cash flows. CLO equity cash flows are also highly dependent on the credit performance of their underlying collateral pool. If loans within the collateral pool default, the reduced amount of performing collateral leads to lower cash flows available for distribution through CLO waterfalls, resulting in lower residual cash flows available for equity tranches. Residual cash flows are also impacted by changes in portfolio spreads for CLO collateral. Declines in spreads on newly issued collateral during the reinvestment period result in lower residual cash flows available for equity tranches.</w:t>
      </w:r>
    </w:p>
    <w:p>
      <w:pPr>
        <w:spacing w:after="0" w:line="183"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The CLO securities in which we may invest may be rated below investment grade or unrated and, therefore, are considered speculative with respect to timely payment of interest and repayment of principal. Below investment grade and unrated securities are sometimes referred to as “junk” securities.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Community Funding 2018, LLC (“CF 2018”). </w:t>
      </w:r>
      <w:r>
        <w:rPr>
          <w:rFonts w:ascii="Times New Roman" w:cs="Times New Roman" w:eastAsia="Times New Roman" w:hAnsi="Times New Roman"/>
          <w:sz w:val="18"/>
          <w:szCs w:val="18"/>
          <w:color w:val="auto"/>
        </w:rPr>
        <w:t>As of June 30, 2024, the Company has invested $14.7 million in the interests of CF 2018, representing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outstanding securities of CF 2018. We may be deemed to “control” and be an “affiliate” of CF 2018, as such terms are defined under the Investment Company Act, because we are the sole member of CF 2018. CF 2018 is a structured financing vehicle that finances, originates and services loans to FDIC-insured community banks or savings institutions or their respective holding companies (“Obligors”). Such loans are pledged as collateral to secure loans made to CF 2018 by one more insurance companies (“Lender”) under a credit and security agreement with a final maturity date in July 2028. The Obligors are generally not publicly rated by any rating agency. The loans held by CF 2018 may have greater credit and liquidity risks than investment-grade corporate obligations that are publicly rated. These loans are not deposits and are not insured by the FDIC or any government agency or instrumentality thereof. The Company purchased its interests in CF 2018 with an initial contribution of cash and securities and subsequent cash contributions. The CF 2018 Interests are unsecured equity interests that do not bear a stated rate of interest but entitle us to receive distributions on each payment date solely to the extent of excess interest proceeds and/or principal proceeds, if any. This means that we can only lose the amount that we invested in CF 2018, we are not liable for the liabilities of CF 2018, and we will not receive distributions from CF 2018 for a period until CF 2018 pays its interest and principal payments to the Lender for that period.</w:t>
      </w:r>
    </w:p>
    <w:p>
      <w:pPr>
        <w:spacing w:after="0" w:line="19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CF 2018 has retained StoneCastle Investment Management, LLC (the “Servicer”) to perform certain administrative functions pursuant to a servicing agreement dated February 7, 2018 (the “Servicing Agreement”). Pursuant to the terms of the Servicing Agreement, the Servicer, among other things, monitors and services CF 2018’s collateral loans, provides to the CF 2018’s lenders, collateral administrator and administrative agent certain information and reviews the reports prepared pursuant to the credit agreement. Under the terms of the Servicing Agreement, Servicer is entitled to a fee payable in arrears in an amount equal to 0.30% per annum of the sum of the aggregate principal balance of the collateral loans (excluding any ineligible, defaulted or defaulted loans). This fee is paid directly by CF 2018 to the Servicer. The Servicer has agreed to remit its fees received under the Servicing Agreement to us so long as we continue to hold all of the interests of CF 2018.</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believe that securitizations such as CF 2018 enable us to deploy our capital efficiently and to increase our capacity to generate income from providing financing to community banks.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borrowed funds and expect to continue to borrow to fund our investment activities, which is also known as utilizing leverage. While we may enter into borrowing arrangements with banks or other lenders that are unsecured, we currently fund a portion of our investments with a secured debt facility. We will operate with leverage through recourse and non-recourse collateralized financings, private or public offerings of debt, warehouse facilities, secured and unsecured bank credit facilities, reverse repurchase agreements and other borrowings. Additionally, we may create one or more wholly-owned special purpose subsidiaries to facilitate secured borrowing structures.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borrowed to fund a portion of our assets and limit our overall borrowing to meet the limitations set forth under the Investment Company Act. Accordingly, we will limit (i) leverage from debt securities to one-third of our total assets, including the proceeds of such borrowings, at the time such borrowings are calculated and (ii) the total aggregate liquidation value and outstanding principal amount of any preferred stock and debt securities to 50% or less of the amount of our total assets (including the proceeds of debt securities and preferred stock) less liabilities and indebtedness not represented by our debt securities and preferred stock, each in accordance with the requirements of the Investment Company Act. Although we have no present intention to do so, we may also operate with leverage by issuing preferred stock.</w:t>
      </w:r>
    </w:p>
    <w:p>
      <w:pPr>
        <w:spacing w:after="0" w:line="187"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We seek a leverage ratio, based on a variety of factors including market conditions and our Adviser’s market outlook, where the rate of return, net of applicable expenses, on the Company’s investment portfolio investments purchased with leverage exceeds the costs associated with such leverage.</w:t>
      </w:r>
    </w:p>
    <w:p>
      <w:pPr>
        <w:spacing w:after="0" w:line="14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June 30, 2024, we incurred leverage through borrowings under the Credit Facility that permitted the Company to borrow up to $70 million as of that date of which $58.8 million was committed and drawn. Our asset coverage ratio as of June 30, 2024, was 361%. See “Leverage—Effects of Leverage” for a description of our credit agreement.</w:t>
      </w:r>
    </w:p>
    <w:p>
      <w:pPr>
        <w:spacing w:after="0" w:line="17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Following the completion of the offering, we may increase the amount of leverage outstanding. We may incur additional borrowings in order to maintain our desired leverage ratio of 30%. Leverage creates a greater risk of loss, as well as a potential for more gain, for the common stock than if leverage was not used. Interest on borrowings may be at a fixed or floating rate, and the interest at a floating rate generally will be based on short-term rates. The costs associated with our use of leverage, including the issuance of such leverage and the payment of dividends or interest on such leverage, will be borne entirely by the holders of common stock. As long as the rate of return, net of our applicable expenses, on our investment portfolio investments purchased with leverage exceeds the costs associated with such leverage, we will generate more return or income than will be needed to pay such costs. In this event, the excess will be available to pay higher dividends to holders of common stock. Conversely, if the return on such assets is less than the cost of leverage and our other expenses, the return to the holders of our common stock will diminish. To the extent that we use leverage, the NAV and market price of our common stock and the yield to holders of common stock will be more volatile. Our leveraging strategy may not be successful. Our Adviser’s fee is based on “Managed Assets”, which means our total assets (including cash and cash equivalents and any assets purchased with or attributable to any borrowed funds). Because our Adviser’s fee is based on Managed Assets, our Adviser’s fee will be higher if we utilize leverage. See “Risks Related to Our Use of Leverage.”</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order to reduce the interest rate and credit risks associated with our investments and use of leverage, we expect to utilize derivatives including interest rate swaps, caps, floors and forward transactions and credit default swaps, total return swaps and credit-linked notes. In addition, we may utilize futures and warrants in order to hedge against changes in market prices of the securities of the publicly-traded banks in which we invest.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Adviser is subject to certain conflicts of interest in our management. These conflicts arise primarily from the involvement of our Adviser and its affiliates in other activities that may conflict with our activities. Our Adviser and its affiliates engage in a broad spectrum of activities. In the ordinary course of their business activities, they may engage in activities where their interests or the interests of their clients may conflict with our interests and the interest of the holders of our common stock. Other present and future activities of our Adviser and its affiliates may give rise to additional conflicts of interest which may have a negative impact on us and the holders of our common stock.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0" w:gutter="0" w:footer="0" w:header="0"/>
        </w:sectPr>
      </w:pPr>
    </w:p>
    <w:bookmarkStart w:id="24" w:name="page25"/>
    <w:bookmarkEnd w:id="24"/>
    <w:p>
      <w:pPr>
        <w:spacing w:after="0" w:line="196" w:lineRule="auto"/>
        <w:framePr w:w="540" w:h="160" w:wrap="auto" w:vAnchor="page" w:hAnchor="page" w:x="11020" w:y="10847"/>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2.63%</w:t>
      </w:r>
    </w:p>
    <w:p>
      <w:pPr>
        <w:spacing w:after="0" w:line="196" w:lineRule="auto"/>
        <w:framePr w:w="540" w:h="160" w:wrap="auto" w:vAnchor="page" w:hAnchor="page" w:x="11020" w:y="1106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3.71%</w:t>
      </w:r>
    </w:p>
    <w:p>
      <w:pPr>
        <w:spacing w:after="0" w:line="196" w:lineRule="auto"/>
        <w:framePr w:w="540" w:h="160" w:wrap="auto" w:vAnchor="page" w:hAnchor="page" w:x="11020" w:y="1129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w:t>
      </w:r>
    </w:p>
    <w:p>
      <w:pPr>
        <w:spacing w:after="0" w:line="201" w:lineRule="auto"/>
        <w:framePr w:w="580" w:h="174" w:wrap="auto" w:vAnchor="page" w:hAnchor="page" w:x="11020" w:y="11522"/>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8.35%</w:t>
      </w:r>
    </w:p>
    <w:p>
      <w:pPr>
        <w:jc w:val="both"/>
        <w:spacing w:after="0" w:line="228" w:lineRule="auto"/>
        <w:framePr w:w="380" w:h="592" w:wrap="auto" w:vAnchor="page" w:hAnchor="page" w:x="11220" w:y="9538"/>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(3)</w:t>
      </w:r>
    </w:p>
    <w:p>
      <w:pPr>
        <w:spacing w:after="0" w:line="185" w:lineRule="auto"/>
        <w:framePr w:w="380" w:h="160" w:wrap="auto" w:vAnchor="page" w:hAnchor="page" w:x="11220" w:y="10199"/>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(4)</w:t>
      </w:r>
    </w:p>
    <w:p>
      <w:pPr>
        <w:ind w:right="40"/>
        <w:spacing w:after="0" w:line="255" w:lineRule="auto"/>
        <w:rPr>
          <w:sz w:val="20"/>
          <w:szCs w:val="20"/>
          <w:color w:val="auto"/>
        </w:rPr>
      </w:pPr>
      <w:r>
        <w:rPr>
          <w:rFonts w:ascii="Times New Roman" w:cs="Times New Roman" w:eastAsia="Times New Roman" w:hAnsi="Times New Roman"/>
          <w:sz w:val="18"/>
          <w:szCs w:val="18"/>
          <w:color w:val="auto"/>
        </w:rPr>
        <w:t>Our Adviser’s compliance department, together with compliance personnel and resources of ArrowMark Partners, oversees the Adviser’s policies and procedures which are designed to ensure compliance with the securities laws and to mitigate potential conflicts of interest. The Adviser’s policies and procedures system emphasize the principle of fair and equitable allocation of appropriate opportunities to our Adviser’s clients over time. As a result of our Adviser’s allocation policies, we may not be able to invest in all opportunities that are appropriate for us and this may have the effect of reducing our potential earnings. Although our Adviser has agreed with us that it will allocate opportunities among its clients pursuant to its written policies and procedures, there is no assurance that these policies and procedures will work as intended or that we will be allocated our fair share of investment opportunities over time.</w:t>
      </w:r>
    </w:p>
    <w:p>
      <w:pPr>
        <w:spacing w:after="0" w:line="185"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Adviser Information</w:t>
      </w:r>
    </w:p>
    <w:p>
      <w:pPr>
        <w:spacing w:after="0" w:line="229" w:lineRule="exact"/>
        <w:rPr>
          <w:rFonts w:ascii="Times New Roman" w:cs="Times New Roman" w:eastAsia="Times New Roman" w:hAnsi="Times New Roman"/>
          <w:sz w:val="18"/>
          <w:szCs w:val="18"/>
          <w:b w:val="1"/>
          <w:bCs w:val="1"/>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and the offices of our Adviser are located at 100 Fillmore Street, Suite 325, Denver, CO 80206. Our telephone number is(303)398-2929..</w:t>
      </w:r>
    </w:p>
    <w:p>
      <w:pPr>
        <w:spacing w:after="0" w:line="158"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Want to Invest</w:t>
      </w:r>
    </w:p>
    <w:p>
      <w:pPr>
        <w:spacing w:after="0" w:line="229" w:lineRule="exact"/>
        <w:rPr>
          <w:rFonts w:ascii="Times New Roman" w:cs="Times New Roman" w:eastAsia="Times New Roman" w:hAnsi="Times New Roman"/>
          <w:sz w:val="18"/>
          <w:szCs w:val="18"/>
          <w:b w:val="1"/>
          <w:bCs w:val="1"/>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Investors should consider their investment goals, time horizons and risk tolerance before investing in our securities. An investment in our securities is not appropriate for all investors, and our securities are not intended to be a complete investment program. Our securities are designed as a long-term investment and not as a trading vehicle. Our securities may be an appropriate investment for investors who are seeking:</w:t>
      </w:r>
    </w:p>
    <w:p>
      <w:pPr>
        <w:spacing w:after="0" w:line="176"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recurring dividend and interest cash flow;</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company focused primarily on the bank sector;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company whose capital structure may be significantly leveraged;</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company that will invest in regulatory capital relief securities, preferred equity, subordinated debt, convertible securities (including contingent convertible securities) and common equity;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company that may be suitable for retirement or other tax-exempt accounts;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securities selection and active management by an experienced advisor.</w:t>
      </w:r>
    </w:p>
    <w:p>
      <w:pPr>
        <w:spacing w:after="0" w:line="221" w:lineRule="exact"/>
        <w:rPr>
          <w:rFonts w:ascii="Times New Roman" w:cs="Times New Roman" w:eastAsia="Times New Roman" w:hAnsi="Times New Roman"/>
          <w:sz w:val="18"/>
          <w:szCs w:val="18"/>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FUND EXPENSES</w:t>
      </w:r>
    </w:p>
    <w:p>
      <w:pPr>
        <w:spacing w:after="0" w:line="229" w:lineRule="exact"/>
        <w:rPr>
          <w:rFonts w:ascii="Times New Roman" w:cs="Times New Roman" w:eastAsia="Times New Roman" w:hAnsi="Times New Roman"/>
          <w:sz w:val="18"/>
          <w:szCs w:val="18"/>
          <w:b w:val="1"/>
          <w:bCs w:val="1"/>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The following table is intended to assist you in understanding the costs and expenses that an investor in shares of our common stock will bear, directly or indirectly. Other expenses are estimated and may vary. Except where the context suggests otherwise, whenever this prospectus contains a reference to fees</w:t>
      </w:r>
    </w:p>
    <w:p>
      <w:pPr>
        <w:spacing w:after="0" w:line="1" w:lineRule="exact"/>
        <w:rPr>
          <w:rFonts w:ascii="Times New Roman" w:cs="Times New Roman" w:eastAsia="Times New Roman" w:hAnsi="Times New Roman"/>
          <w:sz w:val="18"/>
          <w:szCs w:val="18"/>
          <w:b w:val="1"/>
          <w:bCs w:val="1"/>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 xml:space="preserve">or expenses paid by “you” or “us” or that “we” will pay fees or expenses, stockholders will indirectly bear such fees or expenses. </w:t>
      </w:r>
      <w:r>
        <w:rPr>
          <w:rFonts w:ascii="Times New Roman" w:cs="Times New Roman" w:eastAsia="Times New Roman" w:hAnsi="Times New Roman"/>
          <w:sz w:val="18"/>
          <w:szCs w:val="18"/>
          <w:b w:val="1"/>
          <w:bCs w:val="1"/>
          <w:color w:val="auto"/>
        </w:rPr>
        <w:t>We caution you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certain of the indicated percentages in the table below indicating annual expenses are estimates and may vary.</w:t>
      </w:r>
    </w:p>
    <w:p>
      <w:pPr>
        <w:spacing w:after="0" w:line="177" w:lineRule="exact"/>
        <w:rPr>
          <w:rFonts w:ascii="Times New Roman" w:cs="Times New Roman" w:eastAsia="Times New Roman" w:hAnsi="Times New Roman"/>
          <w:sz w:val="18"/>
          <w:szCs w:val="18"/>
          <w:b w:val="1"/>
          <w:bCs w:val="1"/>
          <w:color w:val="auto"/>
        </w:rPr>
      </w:pPr>
    </w:p>
    <w:p>
      <w:pPr>
        <w:ind w:right="59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Stockholder Transaction Expenses (as a percentage of offering price): </w:t>
      </w:r>
      <w:r>
        <w:rPr>
          <w:rFonts w:ascii="Times New Roman" w:cs="Times New Roman" w:eastAsia="Times New Roman" w:hAnsi="Times New Roman"/>
          <w:sz w:val="18"/>
          <w:szCs w:val="18"/>
          <w:color w:val="auto"/>
        </w:rPr>
        <w:t>Sales Load Offering Expenses</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1"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Dividend Reinvestment Plan Expenses</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Stockholder Transaction Expenses</w:t>
      </w:r>
    </w:p>
    <w:p>
      <w:pPr>
        <w:spacing w:after="0" w:line="216" w:lineRule="exact"/>
        <w:rPr>
          <w:rFonts w:ascii="Times New Roman" w:cs="Times New Roman" w:eastAsia="Times New Roman" w:hAnsi="Times New Roman"/>
          <w:sz w:val="18"/>
          <w:szCs w:val="18"/>
          <w:b w:val="1"/>
          <w:bCs w:val="1"/>
          <w:color w:val="auto"/>
        </w:rPr>
      </w:pPr>
    </w:p>
    <w:p>
      <w:pPr>
        <w:ind w:right="52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Annual Expenses (as a percentage of net assets attributable to common stock): </w:t>
      </w:r>
      <w:r>
        <w:rPr>
          <w:rFonts w:ascii="Times New Roman" w:cs="Times New Roman" w:eastAsia="Times New Roman" w:hAnsi="Times New Roman"/>
          <w:sz w:val="18"/>
          <w:szCs w:val="18"/>
          <w:color w:val="auto"/>
        </w:rPr>
        <w:t>Management Fees(5)</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Interest payments on borrowed funds(6)</w:t>
      </w:r>
    </w:p>
    <w:p>
      <w:pPr>
        <w:spacing w:after="0" w:line="9"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color w:val="auto"/>
        </w:rPr>
        <w:t>Other Expenses (estimated for the current fiscal year)(7)</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b w:val="1"/>
          <w:bCs w:val="1"/>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Annual Expenses (8)</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6168390</wp:posOffset>
            </wp:positionH>
            <wp:positionV relativeFrom="paragraph">
              <wp:posOffset>28575</wp:posOffset>
            </wp:positionV>
            <wp:extent cx="8483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36" w:lineRule="exact"/>
        <w:rPr>
          <w:rFonts w:ascii="Times New Roman" w:cs="Times New Roman" w:eastAsia="Times New Roman" w:hAnsi="Times New Roman"/>
          <w:sz w:val="18"/>
          <w:szCs w:val="18"/>
          <w:b w:val="1"/>
          <w:bCs w:val="1"/>
          <w:color w:val="auto"/>
        </w:rPr>
      </w:pPr>
    </w:p>
    <w:p>
      <w:pPr>
        <w:ind w:left="340" w:right="260" w:hanging="332"/>
        <w:spacing w:after="0" w:line="261"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or agents, a corresponding prospectus supplement will disclose the applicable sales load.</w:t>
      </w:r>
    </w:p>
    <w:p>
      <w:pPr>
        <w:ind w:left="340" w:right="14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total offering expenses (which may include offering expenses borne by third parties on our behalf), the offering price and the offering expenses borne by us as a percentage of the offering price.</w:t>
      </w:r>
    </w:p>
    <w:p>
      <w:pPr>
        <w:ind w:left="340" w:right="44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associated with the administration of our dividend reinvestment plan are included in “Other Expenses.” Participants in the dividend reinvestment plan that instruct the plan administrator to sell shares obtained under the plan may be accessed a $15 transaction fee by the plan administrator and the proceeds of such sale will be net of brokerage commissions, fees and transaction costs. For more details about the plan, see “Dividend Reinvestment Plan.”</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supplements with disclose the estimated amount of Total Stockholder Transaction Expenses.</w:t>
      </w:r>
    </w:p>
    <w:p>
      <w:pPr>
        <w:spacing w:after="0" w:line="200" w:lineRule="exact"/>
        <w:rPr>
          <w:rFonts w:ascii="Times New Roman" w:cs="Times New Roman" w:eastAsia="Times New Roman" w:hAnsi="Times New Roman"/>
          <w:sz w:val="18"/>
          <w:szCs w:val="18"/>
          <w:b w:val="1"/>
          <w:bCs w:val="1"/>
          <w:color w:val="auto"/>
        </w:rPr>
      </w:pPr>
    </w:p>
    <w:p>
      <w:pPr>
        <w:spacing w:after="0" w:line="223" w:lineRule="exact"/>
        <w:rPr>
          <w:rFonts w:ascii="Times New Roman" w:cs="Times New Roman" w:eastAsia="Times New Roman" w:hAnsi="Times New Roman"/>
          <w:sz w:val="18"/>
          <w:szCs w:val="18"/>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ind w:left="340" w:right="120" w:hanging="332"/>
        <w:spacing w:after="0" w:line="255"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calculating our expenses, we have assumed the maximum contractual management fee of 1.75% of “Managed Assets.” “Managed Assets” means our total assets (including cash and cash equivalents and any assets purchased with or attributable to any borrowed funds). Managed Assets will be higher than our net assets because net assets reflect the reduction of our expenses and liabilities. Because our Adviser’s fee is based on Managed Assets, our Adviser’s fee will be higher if we utilize leverage. See “Management—Management Agreement.”</w:t>
      </w:r>
    </w:p>
    <w:p>
      <w:pPr>
        <w:spacing w:after="0" w:line="2" w:lineRule="exact"/>
        <w:rPr>
          <w:rFonts w:ascii="Times New Roman" w:cs="Times New Roman" w:eastAsia="Times New Roman" w:hAnsi="Times New Roman"/>
          <w:sz w:val="18"/>
          <w:szCs w:val="18"/>
          <w:color w:val="auto"/>
        </w:rPr>
      </w:pPr>
    </w:p>
    <w:p>
      <w:pPr>
        <w:ind w:left="340" w:right="200" w:hanging="332"/>
        <w:spacing w:after="0" w:line="25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 revolving credit agreement on June 9, 2014 that permits the Company to borrow up to $70 million. For purposes of this example interest expense assumes the maximum amount of leverage available under the revolving credit agreement as of June 30, 2024 which represents approximately 31% of our Managed Assets (as defined under “Management—Management Agreement—Management Fee”) and charge interest or involve payment at a rate set by an interest rate transaction at an annual average rate of approximately 7.94% as of June 30, 2024.. We have assumed for purposes of these expense estimates that we will utilize leverage for the entire year.</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management agreement, our Adviser furnishes us, or arranges for the furnishing of office facilities and clerical and administrative services necessary for our operation (other than services provided by our custodian, accounting agent, administrator, dividend and interest paying agent and other service providers). We bear all expenses incurred in our operations, and we will bear the expenses related to any future offering. “Other Expenses” above includes all such costs not borne by our Adviser, which may include but are not limited to overhead costs of our business, commissions, fees and expenses connected with our investments and auditing, accounting and legal expenses. “Other Expenses” also includes Acquired Fund fees and expenses, which expenses are estimated to not exceed one basis point of our average net assets for the current fiscal year.</w:t>
      </w:r>
    </w:p>
    <w:p>
      <w:pPr>
        <w:spacing w:after="0" w:line="2" w:lineRule="exact"/>
        <w:rPr>
          <w:rFonts w:ascii="Times New Roman" w:cs="Times New Roman" w:eastAsia="Times New Roman" w:hAnsi="Times New Roman"/>
          <w:sz w:val="18"/>
          <w:szCs w:val="18"/>
          <w:color w:val="auto"/>
        </w:rPr>
      </w:pPr>
    </w:p>
    <w:p>
      <w:pPr>
        <w:ind w:left="340" w:right="180" w:hanging="332"/>
        <w:spacing w:after="0" w:line="253"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Expenses may not correlate to the ratio of expenses to average net assets disclosed in the Company’s annual and semi-annual reports to stockholders in the financial highlights table, which reflects operating expenses of the Company and does not include “Acquired Fund” fees and expenses. For the year ended December 31, 2023 and the six-months ended June 30, 2024, the Adviser voluntarily reimbursed the Company $70,994 and $41,468, respectively, for expenses related to investor relations.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example demonstrates the hypothetical dollar amount of total cumulative expenses that would be incurred over various periods with respect to a hypothetical investment in our common stock. These amounts are based upon the assumption that our annual operating expenses remain at the levels set forth in the table above and that the annual return on investments before fees and expenses is 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2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10 Years</w:t>
            </w:r>
          </w:p>
        </w:tc>
      </w:tr>
      <w:tr>
        <w:trPr>
          <w:trHeight w:val="178"/>
        </w:trPr>
        <w:tc>
          <w:tcPr>
            <w:tcW w:w="54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investment (based on</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assuming a 5% annual return:</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purpose of the table and example above is to assist you in understanding the various costs and expenses that an investor in any future offering will bear directly or indirectly. The example and the expenses in the tables above should not be considered a representation of our future expenses, and actual expenses may be greater or less than those shown.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Moreover, while the example assumes, as required by the SEC, a 5% annual return, our performance will vary and may result in a return greater or less than 5%. In addition, while the example assumes reinvestment of all distributions at NAV, participants in our dividend reinvestment plan may receive common stock valued at the market price in effect at that time. This price may be at, above or below NAV. See “Dividend Reinvestment Plan” for additional information regarding our dividend reinvestment plan.</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“Other Expenses” shown in the table and related footnote above are based on estimated amounts for our current fiscal year of operation unless otherwise indicated. If we issue fewer shares of common stock, all other things being equal, certain of these percentages would increase. For additional information with respect to our expenses, see “Management” and “Dividend Reinvestment Plan.”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5" w:lineRule="exact"/>
        <w:rPr>
          <w:sz w:val="20"/>
          <w:szCs w:val="20"/>
          <w:color w:val="auto"/>
        </w:rPr>
      </w:pPr>
    </w:p>
    <w:p>
      <w:pPr>
        <w:jc w:val="center"/>
        <w:ind w:left="340"/>
        <w:spacing w:after="0" w:line="255" w:lineRule="auto"/>
        <w:rPr>
          <w:rFonts w:ascii="Times New Roman" w:cs="Times New Roman" w:eastAsia="Times New Roman" w:hAnsi="Times New Roman"/>
          <w:sz w:val="18"/>
          <w:szCs w:val="18"/>
          <w:b w:val="1"/>
          <w:bCs w:val="1"/>
          <w:color w:val="0000EE"/>
        </w:rPr>
      </w:pPr>
      <w:r>
        <w:rPr>
          <w:rFonts w:ascii="Times New Roman" w:cs="Times New Roman" w:eastAsia="Times New Roman" w:hAnsi="Times New Roman"/>
          <w:sz w:val="18"/>
          <w:szCs w:val="18"/>
          <w:b w:val="1"/>
          <w:bCs w:val="1"/>
          <w:color w:val="auto"/>
        </w:rPr>
        <w:t xml:space="preserve">The </w:t>
      </w:r>
      <w:hyperlink r:id="rId44">
        <w:r>
          <w:rPr>
            <w:rFonts w:ascii="Times New Roman" w:cs="Times New Roman" w:eastAsia="Times New Roman" w:hAnsi="Times New Roman"/>
            <w:sz w:val="18"/>
            <w:szCs w:val="18"/>
            <w:b w:val="1"/>
            <w:bCs w:val="1"/>
            <w:color w:val="auto"/>
          </w:rPr>
          <w:t xml:space="preserve">information contained under the heading “Consolidated Financial Highlights” in each of the </w:t>
        </w:r>
        <w:r>
          <w:rPr>
            <w:rFonts w:ascii="Times New Roman" w:cs="Times New Roman" w:eastAsia="Times New Roman" w:hAnsi="Times New Roman"/>
            <w:sz w:val="18"/>
            <w:szCs w:val="18"/>
            <w:b w:val="1"/>
            <w:bCs w:val="1"/>
            <w:u w:val="single" w:color="auto"/>
            <w:color w:val="0000EE"/>
          </w:rPr>
          <w:t>Annual Report to shareholders on Form N-CSR</w:t>
        </w:r>
      </w:hyperlink>
      <w:r>
        <w:rPr>
          <w:rFonts w:ascii="Times New Roman" w:cs="Times New Roman" w:eastAsia="Times New Roman" w:hAnsi="Times New Roman"/>
          <w:sz w:val="18"/>
          <w:szCs w:val="18"/>
          <w:b w:val="1"/>
          <w:bCs w:val="1"/>
          <w:color w:val="auto"/>
        </w:rPr>
        <w:t xml:space="preserve"> </w:t>
      </w:r>
      <w:hyperlink r:id="rId44">
        <w:r>
          <w:rPr>
            <w:rFonts w:ascii="Times New Roman" w:cs="Times New Roman" w:eastAsia="Times New Roman" w:hAnsi="Times New Roman"/>
            <w:sz w:val="18"/>
            <w:szCs w:val="18"/>
            <w:b w:val="1"/>
            <w:bCs w:val="1"/>
            <w:u w:val="single" w:color="auto"/>
            <w:color w:val="0000EE"/>
          </w:rPr>
          <w:t>for the fiscal year ended December 31, 2023</w:t>
        </w:r>
        <w:r>
          <w:rPr>
            <w:rFonts w:ascii="Times New Roman" w:cs="Times New Roman" w:eastAsia="Times New Roman" w:hAnsi="Times New Roman"/>
            <w:sz w:val="18"/>
            <w:szCs w:val="18"/>
            <w:b w:val="1"/>
            <w:bCs w:val="1"/>
            <w:color w:val="0000EE"/>
          </w:rPr>
          <w:t xml:space="preserve"> </w:t>
        </w:r>
        <w:r>
          <w:rPr>
            <w:rFonts w:ascii="Times New Roman" w:cs="Times New Roman" w:eastAsia="Times New Roman" w:hAnsi="Times New Roman"/>
            <w:sz w:val="18"/>
            <w:szCs w:val="18"/>
            <w:b w:val="1"/>
            <w:bCs w:val="1"/>
            <w:color w:val="000000"/>
          </w:rPr>
          <w:t>and the</w:t>
        </w:r>
        <w:r>
          <w:rPr>
            <w:rFonts w:ascii="Times New Roman" w:cs="Times New Roman" w:eastAsia="Times New Roman" w:hAnsi="Times New Roman"/>
            <w:sz w:val="18"/>
            <w:szCs w:val="18"/>
            <w:b w:val="1"/>
            <w:bCs w:val="1"/>
            <w:color w:val="0000EE"/>
          </w:rPr>
          <w:t xml:space="preserve"> </w:t>
        </w:r>
      </w:hyperlink>
      <w:hyperlink r:id="rId45">
        <w:r>
          <w:rPr>
            <w:rFonts w:ascii="Times New Roman" w:cs="Times New Roman" w:eastAsia="Times New Roman" w:hAnsi="Times New Roman"/>
            <w:sz w:val="18"/>
            <w:szCs w:val="18"/>
            <w:b w:val="1"/>
            <w:bCs w:val="1"/>
            <w:u w:val="single" w:color="auto"/>
            <w:color w:val="0000EE"/>
          </w:rPr>
          <w:t>Semi-Annual Report to shareholders on Form N-CSR for the period ending June 30, 2024</w:t>
        </w:r>
      </w:hyperlink>
      <w:r>
        <w:rPr>
          <w:rFonts w:ascii="Times New Roman" w:cs="Times New Roman" w:eastAsia="Times New Roman" w:hAnsi="Times New Roman"/>
          <w:sz w:val="18"/>
          <w:szCs w:val="18"/>
          <w:b w:val="1"/>
          <w:bCs w:val="1"/>
          <w:color w:val="0000EE"/>
        </w:rPr>
        <w:t xml:space="preserve"> </w:t>
      </w:r>
      <w:r>
        <w:rPr>
          <w:rFonts w:ascii="Times New Roman" w:cs="Times New Roman" w:eastAsia="Times New Roman" w:hAnsi="Times New Roman"/>
          <w:sz w:val="18"/>
          <w:szCs w:val="18"/>
          <w:b w:val="1"/>
          <w:bCs w:val="1"/>
          <w:color w:val="000000"/>
        </w:rPr>
        <w:t>(the “Semi-Annual Report) is incorporated herein by reference. The financial highlights table is intended to help you understand the Company’s financial performance. The information in this table for the fiscal years ended December 31, 2023, 2022, 2021, 2020 and 2019 is derived from the Company’s financial statements in the Annual Report audited by Tait, Weller &amp; Baker LLP, independent registered public accounting firm for the Company, whose report on such financial statements, together with the financial statements of the Company, are included in the Annual Report and are incorporated by reference herein. The information in the table for the period ended June 30, 2024 is derived from the Company’s unaudited financial statements included in the Semi-Annual Report, which is incorporated by reference herein.</w:t>
      </w:r>
    </w:p>
    <w:p>
      <w:pPr>
        <w:spacing w:after="0" w:line="185"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AND NET ASSET VALUE INFORMATION</w:t>
      </w:r>
    </w:p>
    <w:p>
      <w:pPr>
        <w:spacing w:after="0" w:line="229" w:lineRule="exact"/>
        <w:rPr>
          <w:rFonts w:ascii="Times New Roman" w:cs="Times New Roman" w:eastAsia="Times New Roman" w:hAnsi="Times New Roman"/>
          <w:sz w:val="18"/>
          <w:szCs w:val="18"/>
          <w:b w:val="1"/>
          <w:bCs w:val="1"/>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under the heading “Share Price Data” in the Annual Report is incorporated herein by reference. The following table sets forth, for the quarters indicated, the highest and lowest prices on the NASDAQ Global Select Market per share of common stock, and the NAV per share and the premium to or discount from NAV, on the date of each of the high and low market prices. The table also sets forth the number of Shares traded on the NASDAQ Global Select Market during the respective quarters.</w:t>
      </w:r>
    </w:p>
    <w:p>
      <w:pPr>
        <w:spacing w:after="0" w:line="396"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NAV per Share on</w:t>
            </w:r>
          </w:p>
        </w:tc>
        <w:tc>
          <w:tcPr>
            <w:tcW w:w="200" w:type="dxa"/>
            <w:vAlign w:val="bottom"/>
          </w:tcPr>
          <w:p>
            <w:pPr>
              <w:spacing w:after="0"/>
              <w:rPr>
                <w:sz w:val="18"/>
                <w:szCs w:val="18"/>
                <w:color w:val="auto"/>
              </w:rPr>
            </w:pPr>
          </w:p>
        </w:tc>
        <w:tc>
          <w:tcPr>
            <w:tcW w:w="220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NASDAQ Global</w:t>
            </w:r>
          </w:p>
        </w:tc>
        <w:tc>
          <w:tcPr>
            <w:tcW w:w="27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Premium/(Discount) to</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Select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NAV</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Market Price Per</w:t>
            </w:r>
          </w:p>
        </w:tc>
        <w:tc>
          <w:tcPr>
            <w:tcW w:w="27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on Date of Market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Price(1)</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Share(2)</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Price(1)</w:t>
            </w: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Trading</w:t>
            </w:r>
          </w:p>
        </w:tc>
      </w:tr>
      <w:tr>
        <w:trPr>
          <w:trHeight w:val="223"/>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During Quarter Ended</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Low</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Low</w:t>
            </w:r>
          </w:p>
        </w:tc>
        <w:tc>
          <w:tcPr>
            <w:tcW w:w="2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High</w:t>
            </w:r>
          </w:p>
        </w:tc>
        <w:tc>
          <w:tcPr>
            <w:tcW w:w="3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Low</w:t>
            </w:r>
          </w:p>
        </w:tc>
        <w:tc>
          <w:tcPr>
            <w:tcW w:w="3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Volume(2)</w:t>
            </w:r>
          </w:p>
        </w:tc>
        <w:tc>
          <w:tcPr>
            <w:tcW w:w="100" w:type="dxa"/>
            <w:vAlign w:val="bottom"/>
            <w:tcBorders>
              <w:bottom w:val="single" w:sz="8" w:color="CCEEFF"/>
            </w:tcBorders>
          </w:tcPr>
          <w:p>
            <w:pPr>
              <w:spacing w:after="0"/>
              <w:rPr>
                <w:sz w:val="19"/>
                <w:szCs w:val="19"/>
                <w:color w:val="auto"/>
              </w:rPr>
            </w:pP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21.73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3"/>
              </w:rPr>
              <w:t>21.58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3"/>
              </w:rPr>
              <w:t>19.57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1,531,140</w:t>
            </w:r>
          </w:p>
        </w:tc>
        <w:tc>
          <w:tcPr>
            <w:tcW w:w="10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21.58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21.67</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18.40</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1,312,915</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3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21.76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19.20</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17.91</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1,037,351</w:t>
            </w: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21.32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19.50</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17.81</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925,364</w:t>
            </w:r>
          </w:p>
        </w:tc>
      </w:tr>
    </w:tbl>
    <w:p>
      <w:pPr>
        <w:spacing w:after="0" w:line="17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computations.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The NASDAQ Global Select Market.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31, 2024, our estimate per share NAV was $21.80 and our per share market price was 20.80 representing a (4.59)% discount to NAV.</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table is designed to illustrate the annual rate of interest on the senior securities. Information in the table below for the fiscal years ended December 31, 2023, 2022, 2021, 2020, and 2019 has been audited by Tait, Weller &amp; Baker LLP, the Company's independent registered public accounting firm. The Company did not have any senior securities outstanding prior to June 9, 2014. Borrowings under the Credit Facility for the fiscal years ended December 31, 2023, 2022, 2021, 2020, 2019, 2018, 2017, 2016, 2015 and 2014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Total Amount</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 Coverage Per</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Market Value</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17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rPr>
              <w:t>excludes Bank</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40" w:type="dxa"/>
            <w:vAlign w:val="bottom"/>
            <w:gridSpan w:val="2"/>
          </w:tcPr>
          <w:p>
            <w:pPr>
              <w:jc w:val="center"/>
              <w:ind w:right="500"/>
              <w:spacing w:after="0" w:line="270" w:lineRule="exact"/>
              <w:rPr>
                <w:sz w:val="20"/>
                <w:szCs w:val="20"/>
                <w:color w:val="auto"/>
              </w:rPr>
            </w:pPr>
            <w:r>
              <w:rPr>
                <w:rFonts w:ascii="Times New Roman" w:cs="Times New Roman" w:eastAsia="Times New Roman" w:hAnsi="Times New Roman"/>
                <w:sz w:val="18"/>
                <w:szCs w:val="18"/>
                <w:b w:val="1"/>
                <w:bCs w:val="1"/>
                <w:color w:val="auto"/>
                <w:w w:val="96"/>
              </w:rPr>
              <w:t>Outstanding</w:t>
            </w:r>
            <w:r>
              <w:rPr>
                <w:rFonts w:ascii="Times New Roman" w:cs="Times New Roman" w:eastAsia="Times New Roman" w:hAnsi="Times New Roman"/>
                <w:sz w:val="29"/>
                <w:szCs w:val="29"/>
                <w:b w:val="1"/>
                <w:bCs w:val="1"/>
                <w:color w:val="auto"/>
                <w:w w:val="96"/>
                <w:vertAlign w:val="superscript"/>
              </w:rPr>
              <w:t>(b)</w:t>
            </w:r>
          </w:p>
        </w:tc>
        <w:tc>
          <w:tcPr>
            <w:tcW w:w="300" w:type="dxa"/>
            <w:vAlign w:val="bottom"/>
          </w:tcPr>
          <w:p>
            <w:pPr>
              <w:spacing w:after="0"/>
              <w:rPr>
                <w:sz w:val="23"/>
                <w:szCs w:val="23"/>
                <w:color w:val="auto"/>
              </w:rPr>
            </w:pPr>
          </w:p>
        </w:tc>
        <w:tc>
          <w:tcPr>
            <w:tcW w:w="1580" w:type="dxa"/>
            <w:vAlign w:val="bottom"/>
            <w:gridSpan w:val="2"/>
          </w:tcPr>
          <w:p>
            <w:pPr>
              <w:ind w:left="220"/>
              <w:spacing w:after="0" w:line="270" w:lineRule="exact"/>
              <w:rPr>
                <w:sz w:val="20"/>
                <w:szCs w:val="20"/>
                <w:color w:val="auto"/>
              </w:rPr>
            </w:pP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29"/>
                <w:szCs w:val="29"/>
                <w:b w:val="1"/>
                <w:bCs w:val="1"/>
                <w:color w:val="auto"/>
                <w:vertAlign w:val="superscript"/>
              </w:rPr>
              <w:t>(c)</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Loans)</w:t>
            </w:r>
          </w:p>
        </w:tc>
        <w:tc>
          <w:tcPr>
            <w:tcW w:w="0" w:type="dxa"/>
            <w:vAlign w:val="bottom"/>
          </w:tcPr>
          <w:p>
            <w:pPr>
              <w:spacing w:after="0"/>
              <w:rPr>
                <w:sz w:val="1"/>
                <w:szCs w:val="1"/>
                <w:color w:val="auto"/>
              </w:rPr>
            </w:pPr>
          </w:p>
        </w:tc>
      </w:tr>
      <w:tr>
        <w:trPr>
          <w:trHeight w:val="169"/>
        </w:trPr>
        <w:tc>
          <w:tcPr>
            <w:tcW w:w="570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Credit Facility</w:t>
            </w:r>
          </w:p>
        </w:tc>
        <w:tc>
          <w:tcPr>
            <w:tcW w:w="1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2013 (as of December 31, 2013)</w:t>
            </w:r>
          </w:p>
        </w:tc>
        <w:tc>
          <w:tcPr>
            <w:tcW w:w="160" w:type="dxa"/>
            <w:vAlign w:val="bottom"/>
          </w:tcPr>
          <w:p>
            <w:pPr>
              <w:spacing w:after="0"/>
              <w:rPr>
                <w:sz w:val="22"/>
                <w:szCs w:val="22"/>
                <w:color w:val="auto"/>
              </w:rPr>
            </w:pPr>
          </w:p>
        </w:tc>
        <w:tc>
          <w:tcPr>
            <w:tcW w:w="1740" w:type="dxa"/>
            <w:vAlign w:val="bottom"/>
            <w:gridSpan w:val="2"/>
          </w:tcPr>
          <w:p>
            <w:pPr>
              <w:ind w:left="1080"/>
              <w:spacing w:after="0" w:line="256" w:lineRule="exact"/>
              <w:rPr>
                <w:sz w:val="20"/>
                <w:szCs w:val="20"/>
                <w:color w:val="auto"/>
              </w:rPr>
            </w:pPr>
            <w:r>
              <w:rPr>
                <w:rFonts w:ascii="Times New Roman" w:cs="Times New Roman" w:eastAsia="Times New Roman" w:hAnsi="Times New Roman"/>
                <w:sz w:val="29"/>
                <w:szCs w:val="29"/>
                <w:color w:val="auto"/>
                <w:vertAlign w:val="subscript"/>
              </w:rPr>
              <w:t>N/A</w:t>
            </w:r>
            <w:r>
              <w:rPr>
                <w:rFonts w:ascii="Times New Roman" w:cs="Times New Roman" w:eastAsia="Times New Roman" w:hAnsi="Times New Roman"/>
                <w:sz w:val="13"/>
                <w:szCs w:val="13"/>
                <w:color w:val="auto"/>
              </w:rPr>
              <w:t>(d)</w:t>
            </w:r>
          </w:p>
        </w:tc>
        <w:tc>
          <w:tcPr>
            <w:tcW w:w="300" w:type="dxa"/>
            <w:vAlign w:val="bottom"/>
          </w:tcPr>
          <w:p>
            <w:pPr>
              <w:spacing w:after="0"/>
              <w:rPr>
                <w:sz w:val="22"/>
                <w:szCs w:val="22"/>
                <w:color w:val="auto"/>
              </w:rPr>
            </w:pPr>
          </w:p>
        </w:tc>
        <w:tc>
          <w:tcPr>
            <w:tcW w:w="1580" w:type="dxa"/>
            <w:vAlign w:val="bottom"/>
            <w:gridSpan w:val="2"/>
          </w:tcPr>
          <w:p>
            <w:pPr>
              <w:ind w:left="920"/>
              <w:spacing w:after="0" w:line="256" w:lineRule="exact"/>
              <w:rPr>
                <w:sz w:val="20"/>
                <w:szCs w:val="20"/>
                <w:color w:val="auto"/>
              </w:rPr>
            </w:pPr>
            <w:r>
              <w:rPr>
                <w:rFonts w:ascii="Times New Roman" w:cs="Times New Roman" w:eastAsia="Times New Roman" w:hAnsi="Times New Roman"/>
                <w:sz w:val="29"/>
                <w:szCs w:val="29"/>
                <w:color w:val="auto"/>
                <w:vertAlign w:val="subscript"/>
              </w:rPr>
              <w:t>N/A</w:t>
            </w:r>
            <w:r>
              <w:rPr>
                <w:rFonts w:ascii="Times New Roman" w:cs="Times New Roman" w:eastAsia="Times New Roman" w:hAnsi="Times New Roman"/>
                <w:sz w:val="13"/>
                <w:szCs w:val="13"/>
                <w:color w:val="auto"/>
              </w:rPr>
              <w:t>(d)</w:t>
            </w:r>
          </w:p>
        </w:tc>
        <w:tc>
          <w:tcPr>
            <w:tcW w:w="1760" w:type="dxa"/>
            <w:vAlign w:val="bottom"/>
            <w:gridSpan w:val="2"/>
          </w:tcPr>
          <w:p>
            <w:pPr>
              <w:ind w:left="1220"/>
              <w:spacing w:after="0" w:line="256" w:lineRule="exact"/>
              <w:rPr>
                <w:sz w:val="20"/>
                <w:szCs w:val="20"/>
                <w:color w:val="auto"/>
              </w:rPr>
            </w:pPr>
            <w:r>
              <w:rPr>
                <w:rFonts w:ascii="Times New Roman" w:cs="Times New Roman" w:eastAsia="Times New Roman" w:hAnsi="Times New Roman"/>
                <w:sz w:val="29"/>
                <w:szCs w:val="29"/>
                <w:color w:val="auto"/>
                <w:vertAlign w:val="subscript"/>
              </w:rPr>
              <w:t>N/A</w:t>
            </w:r>
            <w:r>
              <w:rPr>
                <w:rFonts w:ascii="Times New Roman" w:cs="Times New Roman" w:eastAsia="Times New Roman" w:hAnsi="Times New Roman"/>
                <w:sz w:val="13"/>
                <w:szCs w:val="13"/>
                <w:color w:val="auto"/>
              </w:rPr>
              <w:t>(d)</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2014 (as of December 31, 2014)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7,317</w:t>
            </w:r>
          </w:p>
        </w:tc>
        <w:tc>
          <w:tcPr>
            <w:tcW w:w="17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2015 (as of December 31, 2015)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6,631</w:t>
            </w:r>
          </w:p>
        </w:tc>
        <w:tc>
          <w:tcPr>
            <w:tcW w:w="17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2016 (as of December 31, 2016)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61,500,000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3,253</w:t>
            </w:r>
          </w:p>
        </w:tc>
        <w:tc>
          <w:tcPr>
            <w:tcW w:w="17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2017 (as of December 31, 2017)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25,750,000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6,478</w:t>
            </w:r>
          </w:p>
        </w:tc>
        <w:tc>
          <w:tcPr>
            <w:tcW w:w="17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2018 (as of December 31, 2018)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51,000,000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3,753</w:t>
            </w:r>
          </w:p>
        </w:tc>
        <w:tc>
          <w:tcPr>
            <w:tcW w:w="17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2019 (as of December 31,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17,700,000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9,090</w:t>
            </w:r>
          </w:p>
        </w:tc>
        <w:tc>
          <w:tcPr>
            <w:tcW w:w="17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2020 (as of December 31,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43,000,000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4,274</w:t>
            </w:r>
          </w:p>
        </w:tc>
        <w:tc>
          <w:tcPr>
            <w:tcW w:w="17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2021 (as of December 31,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3,558</w:t>
            </w:r>
          </w:p>
        </w:tc>
        <w:tc>
          <w:tcPr>
            <w:tcW w:w="17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 (as of 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55,600,000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3,656</w:t>
            </w:r>
          </w:p>
        </w:tc>
        <w:tc>
          <w:tcPr>
            <w:tcW w:w="17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2023 (as of December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4,387</w:t>
            </w:r>
          </w:p>
        </w:tc>
        <w:tc>
          <w:tcPr>
            <w:tcW w:w="17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80" w:right="20" w:hanging="372"/>
        <w:spacing w:after="0" w:line="253"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9, 2014, the Company entered into the Credit Facility, a revolving credit agreement which had an initial aggregate principal amount of up to $45,000,000 and stated maturity date of June 9, 2019. The interest rate applicable to borrowings thereunder was generally LIBOR plus an applicable margin of 2.85%. The Credit Facility’s commitment was increased to $70 million on January 16, 2015.The Credit Facility was further amended in May 2017 to reflect a single lender, Texas Capital Bank, N.A., a reduced rate of LIBOR +2.35% and a maximum borrowing amount of $62 million. In May 2022, the Credit Facility was further amended to reflect the addition of two lenders, a new rate of SOFR +2.61% and a maximum borrowing amount of $70 million. See "Risk Factors - Risks Related to Our Use of Leverage" for a description of our revolving credit agreement.</w:t>
      </w:r>
    </w:p>
    <w:p>
      <w:pPr>
        <w:spacing w:after="0" w:line="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the end of the period.</w:t>
      </w:r>
    </w:p>
    <w:p>
      <w:pPr>
        <w:spacing w:after="0" w:line="9" w:lineRule="exact"/>
        <w:rPr>
          <w:rFonts w:ascii="Times New Roman" w:cs="Times New Roman" w:eastAsia="Times New Roman" w:hAnsi="Times New Roman"/>
          <w:sz w:val="18"/>
          <w:szCs w:val="18"/>
          <w:color w:val="auto"/>
        </w:rPr>
      </w:pPr>
    </w:p>
    <w:p>
      <w:pPr>
        <w:ind w:left="380" w:right="20" w:hanging="372"/>
        <w:spacing w:after="0" w:line="250"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for senior securities representing indebtedness is calculated as our consolidated total assets, less all consolidated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facility was in place in 2013. The credit facility was put in place during 2014. See (a).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substantially all of the proceeds from a sale of our securities, net of expenses, for general corporate purposes, which may include, making investments in accordance with our investment objective and policies. We anticipate that the proceeds will be invested promptly as investment opportunities are identified, depending on market conditions and the availability of appropriate securities, and it is anticipated to take not more than approximately three to six months from the closing of any offering. Pending investment, the proceeds will be invested in short-term cash-equivalent instruments. Although we anticipate that a substantial portion of the proceeds from any offering will be invested pursuant to our investment objective and policies, some of the proceeds may be used to make capital gain distributions required to maintain our tax status as a RIC.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POLICY</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intend to pay quarterly distributions to our stockholders in an amount, and on a timely basis, sufficient to obtain and maintain our status as a RIC; investment company taxable income includes, among other items, dividends, interest and the excess of any net short-term capital gains over net long-term capital losses, reduced by deductible expenses.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elected to be treated, and intend to comply with the requirements to qualify annually, as a RIC. For federal income tax purposes, as a RIC we are required to distribute substantially all of our net investment income each year both to avoid federal income tax on our distributed income and to avoid a potential excise tax. If our ability to make distributions on our common stock is limited, such limitations could, under certain circumstances, impair our</w:t>
      </w:r>
    </w:p>
    <w:p>
      <w:pPr>
        <w:sectPr>
          <w:pgSz w:w="11900" w:h="16838" w:orient="portrait"/>
          <w:cols w:equalWidth="0" w:num="1">
            <w:col w:w="11240"/>
          </w:cols>
          <w:pgMar w:left="320" w:top="873" w:right="339" w:bottom="0" w:gutter="0" w:footer="0" w:header="0"/>
        </w:sectPr>
      </w:pPr>
    </w:p>
    <w:bookmarkStart w:id="27" w:name="page28"/>
    <w:bookmarkEnd w:id="27"/>
    <w:p>
      <w:pPr>
        <w:ind w:right="120"/>
        <w:spacing w:after="0" w:line="282" w:lineRule="auto"/>
        <w:rPr>
          <w:sz w:val="20"/>
          <w:szCs w:val="20"/>
          <w:color w:val="auto"/>
        </w:rPr>
      </w:pPr>
      <w:r>
        <w:rPr>
          <w:rFonts w:ascii="Times New Roman" w:cs="Times New Roman" w:eastAsia="Times New Roman" w:hAnsi="Times New Roman"/>
          <w:sz w:val="18"/>
          <w:szCs w:val="18"/>
          <w:color w:val="auto"/>
        </w:rPr>
        <w:t>ability to maintain a qualification for taxation as a RIC, which would have adverse consequences for our stockholders. See “Material U.S. Federal Income Tax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pay all dividends at the discretion of our board of directors, and the dividends we pay will depend on a number of factors, including:</w:t>
      </w:r>
    </w:p>
    <w:p>
      <w:pPr>
        <w:spacing w:after="0" w:line="22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requirements under the Investment Company Act and to maintain our status as a RIC.</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general business conditions; actual results of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deployment of our capital; debt service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cash distributions;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expenses;</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contractual, legal and regulatory restrictions on the payment of distributions by us to our stockholders including debt covenants imposed by lenders to the Company;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our board of directors in its discretion may deem relevant.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stockholder’s common stock is registered directly with us or with a brokerage firm that participates in our dividend reinvestment plan, distributions will be automatically reinvested in additional common stock under the dividend reinvestment plan unless a stockholder elects to receive distributions in cash. If a stockholder elects to receive distributions in cash, payment will be made by check. See “Dividend Reinvestment Plan.”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ArrowMark Financial Corp. (originally, StoneCastle Financial Corp.) was organized on February 7, 2013 as a Delaware corporation, established to make investments in the banking sector throughout the United States. The Company invests in the banks and financial institutions including community banks, larger regional, national and money center banks domiciled in the United States and foreign and global money center banks.</w:t>
      </w:r>
    </w:p>
    <w:p>
      <w:pPr>
        <w:spacing w:after="0" w:line="17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We are focused on income generation, capital preservation, and providing risk-adjusted returns. We attempt to achieve our investment objective through investment in preferred equity, debt and subordinated debt, structured notes and securities, convertible securities (including contingent convertible securities), regulatory capital relief securities and common equity issued or structured by banks and financial institutions including community banks, larger regional, national and money center banks domiciled in the United States and foreign and global money center banks. (“banking-related securities”). See “Banking Sector Focus” and “Regulatory Capital Relief Securities.” We make investments that will generally be expected to pay us dividends and interest on a current basis and generate capital gains over time. We may seek to enhance our returns through the use of warrants, options and other equity conversion features. The term “risk-adjusted returns” refers to the profile of expected asset returns across a range of potential macroeconomic scenarios, and does not imply that a particular strategy or investment should be considered low-risk. We have a policy to invest, under normal circumstances, at least 80% of the value of our net assets plus the amount of any borrowings for investment purposes in such banking-related securities.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as part of its investment strategy, the Company intends to provide current income from short-term gains earned through an option strategy that will normally consist of writing (selling) call options on bank equity securities in its portfolio (“covered calls”). We have elected to be treated, and intend to comply with the requirements to qualify annually, as a RIC under Subchapter M of the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Adviser</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ArrowMark Asset Management, LLC (“ArrowMark”), an SEC-registered investment adviser dedicated to the banking sector, was formed on December 3, 2019, and manages our assets. Our Adviser is registered with the SEC under the Investment Advisers Act of 1940, as amended (the “Investment Advisers Act”). Our Adviser has access to investment professionals, including from its affiliates, which collectively manage a significant pool of assets across various sectors, including the banking sector. Our Adviser’s investment philosophy is grounded in disciplined, fundamental, bottom-up credit and investment analysis.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intend to continue to use our Adviser’s existing banking infrastructure to identify attractive investment opportunities and to underwrite and monitor our investment portfolio. Our Adviser is wholly-owned by ArrowMark Colorado Holdings, LLC (“ArrowMark Partners”). Founded in 2007, ArrowMark Partners is a 100% privately-owned and SEC-registered investment adviser based in Denver, Colorado. As of June 30, 2024 ArrowMark Partners managed $21.7 billion in assets on behalf of a broad array of institutional clients and professional asset allocators across alternative credit and capacity constrained equity strategies, as well as commercial real estate. ArrowMark Partner’s unique approach provides extensive insights across the capital structure of financial institutions. ArrowMark Partners has a skilled understanding of how to manage complex risk/reward tradeoffs through the firm’s process of Risk-First fundamental research. ArrowMark Partners’ team has collective experience navigating multiple economic climates and market cycles.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Adviser’s bank investment platform is consistent with the Company’s long-term strategy of aligning its investment capabilities to create value for shareholders. Since ArrowMark Partners’ inception, it has demonstrated a track record of identifying investment opportunities within and related to the banking sector. The ArrowMark Partners team has the advantage of banking relationships and expertise developed over decades in the investment industry. Certain members of the ArrowMark Partners team have had prior roles at global financial institutions and broad knowledge of financial services, banking, and investment management industries. ArrowMark Partners’ ability to continue successful execution of the Company’s investment goals and strategies is best demonstrated by ArrowMark Partners’ history of banking-related investments, including experience partnering with larger financial institutions to invest over $7.9 billion in regulatory capital relief transactions since 2010 and successful participation in the Federal Reserve’s Term Asset-Backed Securities Loan Facility program, which was a funding facility that helped market participants meet the credit needs of households and small businesses by supporting the issuance of asset-backed securities.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of our Adviser’s investment decisions is reviewed and approved for us by our Adviser’s investment committee, the members of which may also act as the investment committee for other investment vehicles managed by our Adviser or its affiliates.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Adviser, in addition to its own resources, may access experienced investment professionals and senior investment personnel of ArrowMark Partners and its affiliates. Our Adviser intends to capitalize on the significant deal origination, credit underwriting, due diligence, investment structuring, execution, portfolio management and monitoring experience of ArrowMark Partners’ investment professionals. Biographical information for key members of our Adviser’s investment team is set forth below under “Management—Biographical Information.” As our investment adviser, our Adviser is obligated to allocate investment opportunities among us and its other clients in accordance with its allocation policy; however, there can be no assurance that our Adviser will allocate such opportunities to us fairly or equitably in the short-term or over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Banking Sector Focus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intend to pursue our investment objective by taking advantage of a broad spectrum of available investment opportunities in the bank sector, including securities in U.S. community banks, larger U.S. domiciled regional, national and money center banks and global money center banks.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intend to continue investing in public and privately-held community banks located throughout the United States. For the purpose of our investment objectives and this prospectus, we define “community bank” to mean banks, savings associations and their holding companies with less than $10 billion in consolidated assets that serve local markets. Community banks generally have simple, straight-forward business models and geographically concentrated credit exposure. Community banks typically do not have exposure to non-U.S. credit and are focused on lending to borrowers in their distinct communities. As a result, we believe that community banks frequently have a strong understanding of the local businesses they finance. Many of these community banks are well established, having been in business on average for more than 90 years and have survived many economic cycles, including the most recent financial crisis. We expect to continue to direct community bank investments in numerous issuers differentiated by asset sizes, business models and geographies.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invest in similar securities of larger U.S. domiciled banks, global money center banks. Additionally, we intend to continue utilizing regulatory capital relief securities in the portfolio consistent with our investment strategy, and may invest over 50% of our portfolio in regulatory capital relief securities. We typically invest in regulatory capital relief securities issued by larger, regulated U.S. and global money center banks that provide exposure to loans and other credits provided to a diverse range of corporate entities that were originated by the issuing bank and held on its balance sheet. Banks issue regulatory capital relief transactions to optimize capital ratios, reduce balance sheet concentrations and respond to regulatory changes. Through structure of the regulatory capital relief transaction, the issuing bank retains meaningful exposure to the underlying reference portfolio loan pool which helps to promote alignment with investors and incentive to maintain discipline underwriting standards. Regulatory capital relief transactions are driven by long-term trusted relationships and only a relatively small group of financial institutions are known to participate. We intend to continue to direct investments into regulatory capital relief securities with high quality reference portfolio loans and diversified exposure that has the potential to generate floating rate current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was formed to support the ongoing capital needs of banks and banking-related institutions. We believe that the banking sector continues to offer a broad spectrum of available opportunities that are consistent with our investment objective.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that the banking sector, including community banks, is attractive due to the strong long-term performance of community banks and the general lack of investment competition from institutional investors. We believe that the environment for investing in banks, including community banks is attractive for the following reasons:</w:t>
      </w:r>
    </w:p>
    <w:p>
      <w:pPr>
        <w:spacing w:after="0" w:line="176" w:lineRule="exact"/>
        <w:rPr>
          <w:sz w:val="20"/>
          <w:szCs w:val="20"/>
          <w:color w:val="auto"/>
        </w:rPr>
      </w:pPr>
    </w:p>
    <w:p>
      <w:pPr>
        <w:ind w:left="1300" w:right="80" w:hanging="644"/>
        <w:spacing w:after="0" w:line="258"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for Investments in Larger Banks Through Regulatory capital relief Securities. We intend to continue to direct investments into regulatory capital relief securities with high quality reference portfolio loans and diversified exposure that has the potential to generate floating rate current income. Changing regulations and capital requirement needs cause typically larger, global money center banks to issue such securities. Successful investments in such securities often depends on long-term trusted relationships. We believe our experience and reputation in the banking industry will allow us to participate in such investments.</w:t>
      </w:r>
    </w:p>
    <w:p>
      <w:pPr>
        <w:spacing w:after="0" w:line="183" w:lineRule="exact"/>
        <w:rPr>
          <w:rFonts w:ascii="Times New Roman" w:cs="Times New Roman" w:eastAsia="Times New Roman" w:hAnsi="Times New Roman"/>
          <w:sz w:val="18"/>
          <w:szCs w:val="18"/>
          <w:color w:val="auto"/>
        </w:rPr>
      </w:pPr>
    </w:p>
    <w:p>
      <w:pPr>
        <w:ind w:left="1300" w:right="20" w:hanging="644"/>
        <w:spacing w:after="0" w:line="254"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Demand for Capital. Regulatory changes are requiring all banks to hold increased levels of capital. This requirement creates what we believe to be strong demand for capital in the form of preferred equity, subordinated debt, convertible securities (including contingent convertible securities) and, to a lesser extent, common equity. Further, capital is needed to facilitate ongoing consolidation within the banking industry, including acquisitions of failed banks from the FDIC. Lastly, organic growth of well-positioned institutions also supports demand. Our Adviser estimates that the community banking sector will require billions of dollars of capital over the next several years to facilitate (i) compliance with heightened regulatory capital ratios, (ii) acquisition of competitors and failed banks and (iii) organic asset growth. This estimate is in part based on the size of the trust preferred CDO market and the phase out of trust preferred securities from the definition of Tier 1 capital.</w:t>
      </w:r>
    </w:p>
    <w:p>
      <w:pPr>
        <w:spacing w:after="0" w:line="191" w:lineRule="exact"/>
        <w:rPr>
          <w:rFonts w:ascii="Times New Roman" w:cs="Times New Roman" w:eastAsia="Times New Roman" w:hAnsi="Times New Roman"/>
          <w:sz w:val="18"/>
          <w:szCs w:val="18"/>
          <w:color w:val="auto"/>
        </w:rPr>
      </w:pPr>
    </w:p>
    <w:p>
      <w:pPr>
        <w:ind w:left="1300" w:right="40" w:hanging="644"/>
        <w:spacing w:after="0" w:line="258"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Sector Overlooked by Institutional Capital Providers. We believe that many investors historically have avoided investing in community banks due to the small size of these banks, their heavy regulation, the Bank Holding Company Act, which imposes ownership restrictions and the perception that community banks are riskier than larger financial institutions. In addition, many capital providers lack the necessary technical expertise to evaluate the quality of the small- and mid-sized privately-held community banks and lack a network of relationships to identify attractive opportunities.</w:t>
      </w:r>
    </w:p>
    <w:p>
      <w:pPr>
        <w:spacing w:after="0" w:line="183" w:lineRule="exact"/>
        <w:rPr>
          <w:rFonts w:ascii="Times New Roman" w:cs="Times New Roman" w:eastAsia="Times New Roman" w:hAnsi="Times New Roman"/>
          <w:sz w:val="18"/>
          <w:szCs w:val="18"/>
          <w:color w:val="auto"/>
        </w:rPr>
      </w:pPr>
    </w:p>
    <w:p>
      <w:pPr>
        <w:ind w:left="1300" w:right="200" w:hanging="644"/>
        <w:spacing w:after="0" w:line="254"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Resiliency of Community Banks. The community banking industry has a long history of resiliency and historically has exhibited a low rate of bank failure. Bank failure means the closing of a bank by a federal or state banking regulatory agency, generally because the bank is unable to meet its obligations to depositors and others. According to data as of December 31, 2023 from the FDIC, since 1934, FDIC insured banks and thrifts have failed at an annual rate of 0.34%, with peak cycle one-year failure rates of 3.32% in 1989 (S&amp;L crisis), 2.05% in 2010 (Great Recession) and 0.54% in each of 1937 and 1938 (Great Depression). We believe that these figures are comparable with Baa and Ba Moody’s rated corporate bond default rates, which experienced an average annual default rate since 1920 of approximately 0.26% for Moody’s Baa-rated corporate bonds and 1.02% for Ba-rated bonds, with the highest one-year default rates of 1.99% and 11.71%, for Baa-rated and Ba-rated corporate bonds, respectively, as reported in an Annual Default study released on February 26, 2024.</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believe that the Company’s significant focus on the banking sector provides a strong competitive advantage relative to non-specialized investors. Our Advisor intends to implement our our investment objective by taking advantage of the Advisor’s considerable experience partnering with larger banks and global money center banks through regulatory capital relief transactions. The Advisor believes it is uniquely suited to capitalize on this market opportunity in the banking sector on behalf of the Company for the following reasons:</w:t>
      </w:r>
    </w:p>
    <w:p>
      <w:pPr>
        <w:spacing w:after="0" w:line="180" w:lineRule="exact"/>
        <w:rPr>
          <w:sz w:val="20"/>
          <w:szCs w:val="20"/>
          <w:color w:val="auto"/>
        </w:rPr>
      </w:pPr>
    </w:p>
    <w:p>
      <w:pPr>
        <w:ind w:left="1300" w:right="14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Differentiated Approach. Our Advisor has considerable experience investing in regulatory capital relief securities since 2010, and has refined a flexible investment process that continues to adapt as the market and opportunity set evolve allowing the Advisor, on behalf of the Company,to selectively pursue opportunities aligned with our investment objectives.</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53"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Pronounced Sourcing Advantages. Relationships, scale and reputation developed by the portfolio management team over decades in the banking industry and ten years of consistent participation in the asset class serve as a core component of the Company’s ability to access regulatory capital relief securities. The Advisor’s extensive sourcing network and relationships with long-term issuers that have been cultivated through ongoing engagement are supportive of our highly selective investment process.“Risk-First” Fundamental Research. The Advisor places equal emphasis on in-depth fundamental analysis of security structure, underlying reference portfolio loans, and the issuer’s underwriting process to develop a proprietary assessment of reference portfolio risk and the potential for losses. The Advisor utilizes the appropriate resources with sector specialization and diverse expertise necessary to perform loan-level analysis of reference portfolio loan pools. The Advisor draws upon insights developed through years of regulatory capital relief investment experience that includes information from ongoing monitoring of underlying borrowers, transition rates, workouts and recoveries in historical investments.</w:t>
      </w:r>
    </w:p>
    <w:p>
      <w:pPr>
        <w:spacing w:after="0" w:line="194" w:lineRule="exact"/>
        <w:rPr>
          <w:rFonts w:ascii="Times New Roman" w:cs="Times New Roman" w:eastAsia="Times New Roman" w:hAnsi="Times New Roman"/>
          <w:sz w:val="18"/>
          <w:szCs w:val="18"/>
          <w:color w:val="auto"/>
        </w:rPr>
      </w:pPr>
    </w:p>
    <w:p>
      <w:pPr>
        <w:ind w:left="1300" w:right="120" w:hanging="644"/>
        <w:spacing w:after="0" w:line="261"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Disciplined Risk Management. The Advisor, on behalf of the Company, seeks to mitigate unintended risks through thorough due diligence, conservative asset selection, investment discretion, and disciplined portfolio construction. The Advisor’s dynamic investment approach enhances its ability to manage the potential for systemic and idiosyncratic risks by focusing on multi-layered diversification of reference portfolio loans, counterparty, sectors and geographies.</w:t>
      </w:r>
    </w:p>
    <w:p>
      <w:pPr>
        <w:spacing w:after="0" w:line="179" w:lineRule="exact"/>
        <w:rPr>
          <w:rFonts w:ascii="Times New Roman" w:cs="Times New Roman" w:eastAsia="Times New Roman" w:hAnsi="Times New Roman"/>
          <w:sz w:val="18"/>
          <w:szCs w:val="18"/>
          <w:color w:val="auto"/>
        </w:rPr>
      </w:pPr>
    </w:p>
    <w:p>
      <w:pPr>
        <w:ind w:left="1300" w:right="34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the Community Banking Sector. Since its inception, the Company has focused on investing in and engaging with the community banking sector. The Advisor has extensive experience with the community banking sector including sourcing, evaluating, executing and managing investments</w:t>
      </w:r>
    </w:p>
    <w:p>
      <w:pPr>
        <w:spacing w:after="0" w:line="175" w:lineRule="exact"/>
        <w:rPr>
          <w:rFonts w:ascii="Times New Roman" w:cs="Times New Roman" w:eastAsia="Times New Roman" w:hAnsi="Times New Roman"/>
          <w:sz w:val="18"/>
          <w:szCs w:val="18"/>
          <w:color w:val="auto"/>
        </w:rPr>
      </w:pPr>
    </w:p>
    <w:p>
      <w:pPr>
        <w:ind w:left="1300" w:right="40" w:hanging="644"/>
        <w:spacing w:after="0" w:line="255"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ArrowMark Pipeline. Sourcing capital securities such as regulatory capital relief securities can be a barrier to entry for many investors, and requires a network of relationships with large bank issuers as, historically, capital securities such as regulatory capital relief securities have been acquired through privately negotiated bi-lateral transactions. The Adivsor’s parent, ArrowMark Partners, has been investing in capital securities similar to the regulatory capital relief securities since 2010 and, with approximately $7.9 billion invested on behalf of clients in such securities as of December 31, 2023, is an active investor in the sector. ArrowMark Partners has a pipeline of investment opportunities in regulatory capital relief securities. It is anticipated that the Company will continue to predominantly invest in regulatory capital relief securities, which currently comprise more than 80% of the Company’s portfolio.</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Management Team. The Advisor’s investment team is comprised of professionals who have substantial expertise investing in regulatory capital relief securities, community banks, and includes former senior bankers, credit officers, private equity investors, rating agency analysts, bank examiners, fixed income specialists and attorneys.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Disciplined Investment Philosophy and Risk Management. Our Adviser’s senior investment professionals have substantial experience structuring investments that balance the needs of banks with appropriate levels of risk control. Our Adviser’s investment approach emphasizes current income and, to a lesser extent, capital appreciation through common equity, warrants, options and conversion features. Given that a significant portion of our investments to be fixed income-like (including preferred stock), we seek to preserve capital and minimize downside risk by investing in banks that exhibit the potential for long-term stability (See “The Company— Investment Process and Due Diligence”).</w:t>
      </w:r>
    </w:p>
    <w:p>
      <w:pPr>
        <w:spacing w:after="0" w:line="187" w:lineRule="exact"/>
        <w:rPr>
          <w:rFonts w:ascii="Times New Roman" w:cs="Times New Roman" w:eastAsia="Times New Roman" w:hAnsi="Times New Roman"/>
          <w:sz w:val="18"/>
          <w:szCs w:val="18"/>
          <w:color w:val="auto"/>
        </w:rPr>
      </w:pPr>
    </w:p>
    <w:p>
      <w:pPr>
        <w:ind w:left="1300" w:right="40" w:hanging="644"/>
        <w:spacing w:after="0" w:line="258"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Investment Horizon. Unlike private equity investors, we are not subject to standard periodic capital return requirements. These provisions often force private equity investors to seek returns on their investments through mergers, public equity offerings or other liquidity events more quickly than they otherwise might prefer, potentially resulting in a lower overall return to investors. We believe that our flexibility to make investments with a long-term view, and without the capital return requirements of traditional private investment funds, provides us with the opportunity to generate attractive returns on invested capital.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primarily invest in bank-related securities including those securities issued by community banks, other larger FDIC-insured institutions, and global money center banks. We invest in accordance with our Adviser’s investment policy in primarily the following assets:</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Preferred and Common Equity Assets: </w:t>
      </w:r>
      <w:r>
        <w:rPr>
          <w:rFonts w:ascii="Times New Roman" w:cs="Times New Roman" w:eastAsia="Times New Roman" w:hAnsi="Times New Roman"/>
          <w:sz w:val="18"/>
          <w:szCs w:val="18"/>
          <w:color w:val="auto"/>
        </w:rPr>
        <w:t>We continue to receive capital requests from numerous community banks regarding potential investments initially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amounts ranging from approximately $1 million to $20 million per investment. Preferred stock may have fixed or variable dividend rates, which may be subject to rate caps and collars. In connection with our investments, we may also receive options or warrants to purchase common or preferred equity. We may also purchase common stock of companies listed on recognized exchanges, and may write call options (covered calls) on equity securities.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Regardless of the type of capital security, we intend to invest the majority of our portfolio in institutions that are currently paying dividends or interest on their securities, that our Adviser believes have the ongoing ability to pay dividends or interest on their securities, and that are not currently a party to any regulatory enforcement actions that would limit or hinder their ability to pay dividends or interest. While we do not intend to invest a significant portion of our funds in institutions that do not meet these criteria, we may invest in institutions that our Adviser believes have the ability to emerge from such conditions, pay any accrued interest or cumulative unpaid dividends at emergence and begin the normalized payment of interest or dividends in arrears and/or as frequently stipulated by the issuance in question.</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From time to time, we may also invest in Tier 2 qualifying debt securities (long-term subordinated debt securities) and other debt securities or hybrid instruments issued by community banks or their holding companies. Additionally, we may invest in Tier 1 qualifying debt securities. These debt securities may have fixed or floating interest rates.</w:t>
      </w:r>
    </w:p>
    <w:p>
      <w:pPr>
        <w:spacing w:after="0" w:line="1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Regulatory capital regulations adopted in response to the Dodd-Frank Act and Basel III require banks to increase their Tier 1 capital and reduce their leverage ratios. These regulations also generally require that, in order to qualify as Tier 1 capital, preferred stock must be non-cumulative in nature (only TARP Preferred and certain securities issued by small bank holding companies, defined as holding companies with less than $500 million in consolidated assets, may be cumulative and qualify as Tier 1 capital). Non-cumulative means that dividends are discretionary and an issuer will have no obligation to pay dividends accrued for a dividend period after the dividend payment date for such period if the issuer has not declared such dividend for such period, whether or not dividends are declared for any subsequent dividend period. We expect that the majority of the new issue preferred stock in which we invest will be non-cumulative. While these existing and any future regulatory capital requirements may cause community banks to raise additional capital, these regulations may make some community banks less likely to pay dividends on preferred stock and common stock.</w:t>
      </w:r>
    </w:p>
    <w:p>
      <w:pPr>
        <w:spacing w:after="0" w:line="19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addition, future changes in regulatory capital regulations may negatively or positively affect our investments and may subject us to additional pre-payment and capital redeployment risk.</w:t>
      </w:r>
    </w:p>
    <w:p>
      <w:pPr>
        <w:spacing w:after="0" w:line="16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Most of our assets are and, we expect, will be illiquid, and their fair value may not be readily determinable. Accordingly, there can be no assurance that we will be able to realize the value at which we carry such assets if we need to dispose of them. As a result, we can provide no assurance that any given asset could be sold at a price equal to the value at which we carry it. We believe that a majority of the investments we will make will not be rated by a nationally recognized statistical rating organization (“NRSRO”). If such investments were rated by a NRSRO, we believe they may be rated below investment grade.</w:t>
      </w:r>
    </w:p>
    <w:p>
      <w:pPr>
        <w:spacing w:after="0" w:line="16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Regulatory Capital Relief Securities</w:t>
      </w:r>
      <w:r>
        <w:rPr>
          <w:rFonts w:ascii="Times New Roman" w:cs="Times New Roman" w:eastAsia="Times New Roman" w:hAnsi="Times New Roman"/>
          <w:sz w:val="18"/>
          <w:szCs w:val="18"/>
          <w:color w:val="auto"/>
        </w:rPr>
        <w:t>. We may invest in regulatory capital relief securities issued by various regulated banking institutions.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relief securities are generally securities that are issued by a regulated banking institution as an alternative to issuing common equity. The Company believes that the regulatory capital relief securities offer a variety of benefits to issuers, including the absence of shareholder dilution, a reduction of credit risk and improved capital/profitability ratios. We believe that the egulatory capital relief securities offer the opportunity for attractive returns relative to the risks taken and to other credit investments currently available. Given the Company’s investment objective of income and capital preservation, we believe that regulatory capital relief securities are well suited for its long-term investment portfolio.</w:t>
      </w:r>
    </w:p>
    <w:p>
      <w:pPr>
        <w:spacing w:after="0" w:line="18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Covered Calls on Bank Equity Securities and Other Option Transactions. </w:t>
      </w:r>
      <w:r>
        <w:rPr>
          <w:rFonts w:ascii="Times New Roman" w:cs="Times New Roman" w:eastAsia="Times New Roman" w:hAnsi="Times New Roman"/>
          <w:sz w:val="18"/>
          <w:szCs w:val="18"/>
          <w:color w:val="auto"/>
        </w:rPr>
        <w:t>The Company intends to provide current income from short-term gains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earned through an option strategy which will normally consist of writing (selling) call options on bank equity securities in its portfolio (“covered calls”). Any premiums received by the Company from writing options may result in short-term capital gains. Writing a covered call is the selling of an option contract entitling the buyer to purchase an underlying security that the Company owns. When the Company sells a call option, it generates current income from short-term gains in the form of the premium paid by the buyer of the call option, but the Company forgoes the opportunity to participate in any increase in the value of the underlying equity security above the exercise price of the option. The writer of the call option has the obligation, upon exercise of the option, to deliver the underlying security or currency upon payment of the exercise price during the option period.</w:t>
      </w:r>
    </w:p>
    <w:p>
      <w:pPr>
        <w:spacing w:after="0" w:line="18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Convertible Securities: </w:t>
      </w:r>
      <w:r>
        <w:rPr>
          <w:rFonts w:ascii="Times New Roman" w:cs="Times New Roman" w:eastAsia="Times New Roman" w:hAnsi="Times New Roman"/>
          <w:sz w:val="18"/>
          <w:szCs w:val="18"/>
          <w:color w:val="auto"/>
        </w:rPr>
        <w:t>We may invest in convertible securities (including contingent convertible securities). Convertible securities include any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or preferred stock which may be converted into common stock or which carry the right to purchase common stock.</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Generally, convertible securities entitle us to exchange the securities for a specified number of shares of common stock, usually of the same company, at specified prices within a certain period of time. The terms of any convertible security determine its ranking in a company’s capital structure. In the case of subordinated convertible debentures, the holders’ claims on assets and earnings are subordinated to the claims of other creditors and are senior to the claims of preferred and common shareholders. In the case of convertible preferred stock, the holders’ claims on assets and earnings are subordinated to the claims of all creditors and are senior to the claims of common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ind w:right="60"/>
        <w:spacing w:after="0" w:line="256" w:lineRule="auto"/>
        <w:rPr>
          <w:sz w:val="20"/>
          <w:szCs w:val="20"/>
          <w:color w:val="auto"/>
        </w:rPr>
      </w:pPr>
      <w:r>
        <w:rPr>
          <w:rFonts w:ascii="Times New Roman" w:cs="Times New Roman" w:eastAsia="Times New Roman" w:hAnsi="Times New Roman"/>
          <w:sz w:val="18"/>
          <w:szCs w:val="18"/>
          <w:color w:val="auto"/>
        </w:rPr>
        <w:t>Convertible securities have characteristics similar to both debt and equity securities. Due to the conversion feature, the market value of convertible securities tends to move together with the market value of the underlying common stock. As a result, selection of convertible securities, to a great extent, is based on the potential for capital appreciation that may exist in the underlying stock. The value of convertible securities is also affected by prevailing interest rates, the credit quality of the issuer, and any call provisions. In some cases, the issuer may cause a convertible security to convert to common stock. In other situations, it may be advantageous for us to cause the conversion of convertible securities to common stock. If a convertible security converts to common stock, we may hold such common stock in our portfolio even if we would not invest in the common stock of such issuer.</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invest in contingent securities structured as contingent convertible securities also known as “CoCos”. Contingent convertible securities are typically issued by non-U.S. banks and are designed to behave like bonds in times of economic health yet absorb losses when a pre-determined trigger event occurs. A contingent convertible security is a hybrid debt security either convertible into equity at a predetermined share price or written down in value based on the specific terms of the individual security if a pre-specified trigger event occurs (the “Trigger Event”). Unlike traditional convertible securities, the conversion of a contingent convertible security from debt to equity is “contingent” and will occur only in the case of a Trigger Event. Trigger Events vary by instrument and are defined by the documents governing the contingent convertible security. Such Trigger Events may include a decline in the issuer’s capital below a specified threshold level, increase in the issuer’s risk weighted assets, the share price of the issuer falling to a particular level for a certain period of time and certain regulatory events.</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Contingent convertible securities are subject to the credit, interest rate, high yield security, foreign security and markets risks associated with bonds and equities, and to the risks specific to convertible securities in general. Contingent convertible securities are also subject to additional risks specific to their structure including conversion risk. Because Trigger Events are not consistently defined among contingent convertible securities, this risk is greater for contingent convertible securities that are issued by banks with capital ratios close to the level specified in the Trigger Event. In addition, coupon payments on contingent convertible securities are discretionary and may be cancelled by the issuer at any point, for any reason, and for any length of time. The discretionary cancellation of payments is not an event of default and there are no remedies to require re-instatement of coupon payments or payment of any past missed payments. Coupon payments may also be subject to approval by the issuer’s regulator and may be suspended in the event there are insufficient distributable reserves. Due to uncertainty surrounding coupon payments, contingent convertible securities may be volatile and their price may decline rapidly in the event that coupon payments are suspended.</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Contingent convertible securities typically are structurally subordinated to traditional convertible bonds in the issuer’s capital structure. In certain scenarios, investors in contingent convertible securities may suffer a loss of capital ahead of equity holders or when equity holders do not. Contingent convertible securities are also subject to extension risk. Contingent convertible securities are perpetual instruments and may only be callable at predetermined dates upon approval of the applicable regulatory authority. There is no guarantee that we will receive return of principal on contingent convertible securities. Convertible contingent securities are a newer form of instrument and the regulatory environment for these instruments continues to evolve. Because the market for contingent convertible securities is evolving, it is uncertain how the larger market for contingent convertible securities would react to a Trigger Event or coupon suspension applicable to a single issuer.</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value of contingent convertible securities is unpredictable and will be influenced by many factors such as: (i) the creditworthiness of the issuer and/or fluctuations in such issuer’s applicable capital ratios; (ii) supply and demand for contingent convertible securities; (iii) general market conditions and available liquidity; and (iv) economic, financial and political events that affect the issuer, its particular market or the financial markets in general.</w:t>
      </w:r>
    </w:p>
    <w:p>
      <w:pPr>
        <w:spacing w:after="0" w:line="172"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Collateralized Loan Obligations and other Structured Securities. </w:t>
      </w:r>
      <w:r>
        <w:rPr>
          <w:rFonts w:ascii="Times New Roman" w:cs="Times New Roman" w:eastAsia="Times New Roman" w:hAnsi="Times New Roman"/>
          <w:sz w:val="18"/>
          <w:szCs w:val="18"/>
          <w:color w:val="auto"/>
        </w:rPr>
        <w:t>A CLO is a special purpose vehicle that is formed to finance a pool of loans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 predefined investment criteria. It generally raises capital by issuing both debt and equity securities. Typically, a CLO will issue various classes, or “tranches,” of debt broadly categorized as senior and subordinate debt tranches as well as an equity tranche.</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CLO securities receive cash flows generated by underlying collateral according to a defined payment waterfall. Principal and interest payments to CLO debt tranches are typically paid sequentially, with senior debt tranches receiving cash flows prior to subordinate debt tranches. The risk and return to CLO debt tranches vary depending upon each tranche’s right to collect cash flows generated by the underlying collateral. CLO debt tranches are generally rated, with ratings ranging from the highest investment grade to below investment grade, with coupons commensurate with the risk of each tranche. CLO debt tranches are also generally structured with covenants which, if violated, divert cash flows to the senior tranches prior to making any interest or principal payments to subordinate debt tranches or equity tranches.</w:t>
      </w:r>
    </w:p>
    <w:p>
      <w:pPr>
        <w:spacing w:after="0" w:line="18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Unlike debt securities issued by CLOs, CLO equity securities are not rated and do not have contractually stated payment schedules. At origination, the weighted average interest rate of all CLO debt tranches is generally lower than the weighted average interest earned by a CLO’s underlying collateral, resulting in an interest rate spread. CLO equity securities receive residual cash flows, or the interest spread, generated by the underlying collateral after obligated payments for CLO debt securities and other expenses of the CLO have been made. CLO equity tranches typically comprise approximately 10%-20% of total capital raised by a CLO.</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CLO equity tranches can generate relatively front-end loaded cash flows. CLO equity cash flows are also highly dependent on the credit performance of their underlying collateral pool. If loans within the collateral pool default, the reduced amount of performing collateral leads to lower cash flows available for distribution through CLO waterfalls, resulting in lower residual cash flows available for equity tranches. Residual cash flows are also impacted by changes in portfolio spreads for CLO collateral. Declines in spreads on newly issued collateral during the reinvestment period result in lower residual cash flows available for equity tranches.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ind w:right="720"/>
        <w:spacing w:after="0" w:line="282" w:lineRule="auto"/>
        <w:rPr>
          <w:sz w:val="20"/>
          <w:szCs w:val="20"/>
          <w:color w:val="auto"/>
        </w:rPr>
      </w:pPr>
      <w:r>
        <w:rPr>
          <w:rFonts w:ascii="Times New Roman" w:cs="Times New Roman" w:eastAsia="Times New Roman" w:hAnsi="Times New Roman"/>
          <w:sz w:val="18"/>
          <w:szCs w:val="18"/>
          <w:color w:val="auto"/>
        </w:rPr>
        <w:t>We believe that CLOs and other debt securitizations enable us to deploy our capital efficiently and to increase our capacity to provide financing to community banks.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Selection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Adviser’s investment professionals are responsible for the Company’s management, and operate under the oversight of our board of directors and the Adviser’s investment committee. Some of our investment professionals may also be members of our board of directors, and may be subject to conflicts of interest. See “Certain Relationships and Related Party Transactions—Conflicts of Interest Within ArrowMark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Yield Plus Growth Potential</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intend to focus on making investments in the bank sector that generate substantial current income in the form of dividends or interest. See “Risk Factors —Risks Related to Our Operations.” In the case of investments with fixed dividends or interest, the continuity of these payments is paramount, and consequently we seek issuers that have business models that we believe will be stable over long periods of time. We also continue to seek to generate capital gains by investing in banks using various equity strategies, including common equity, warrants, convertible securities (including contingent convertible securities) and options. We continue to seek to invest in equity-related instruments in circumstances where we believe a company has the potential to generate above average growth or is undervalued. To a lesser extent, we may also generate revenue in the form of commitment, origination or structuring fees.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 Portfolio Company Characteristics</w:t>
      </w:r>
    </w:p>
    <w:p>
      <w:pPr>
        <w:spacing w:after="0" w:line="22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have identified several quantitative, qualitative and relative value criteria that we believe are important in identifying and investing in prospective bank and banking-related securities. While these criteria provide general guidelines for our investment decisions, each prospective security in which we choose to invest may not meet all of these criteria. Generally, we intend to utilize our access to information generated by our Adviser’s investment professionals to identify prospective portfolio companies and to structure investments efficiently and effectively.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Management Team</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generally require that the community banks we invest in have management teams that are experienced in running banking businesses and managing risk. We seek management teams that have expertise in their market, thorough knowledge of the loans held by their institution and a track record of success. Further, we seek senior management teams with significant ties to their local communities. These management teams may have strong technical, financial, managerial and operational capabilities, established governance policies and incentive structures to encourage management to succeed while acting in the best long-term interests of their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Sensitivity Analyses</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typically perform sensitivity analyses to determine the effects of changes in market conditions on any proposed investment. These sensitivity analyses may include, among other things, simulations of changes in interest rates, changes in unemployment rates, changes in home prices, changes in economic activity and other events that would affect the performance of our investment. In general, we do not commit to any proposed investment that will not provide at least a minimum return under any of these analyses and, in particular, the sensitivity analysis relating to changes in interest rates and unemployment rates.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Combinations</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seek to invest in community banks whose business models and expected future cash flows make them attractive business combination transaction candidates, either as buyer or seller. These companies include candidates for strategic acquisition by other industry participants and companies that may conduct an initial public offering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 and Due Diligence</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conducting due diligence, our Adviser typically uses and intends to continue to use available public information, including “call reports” and other quarterly filings required by bank regulators, due diligence questionnaires and discussions with the management teams at the respective institutions. In many cases, our Adviser will also compile private information obtained pursuant to confidentiality agreements about the institution, its portfolio of loans and securities, its customers and related deposits, compliance information, regulatory information and any such additional information that could be necessary to complete its due diligence on the company. Although our Adviser may use research provided by third parties when available, primary emphasis is placed on proprietary analysis and valuation models conducted and maintained by our Adviser’s investment professionals.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ind w:right="140"/>
        <w:spacing w:after="0" w:line="256" w:lineRule="auto"/>
        <w:rPr>
          <w:sz w:val="20"/>
          <w:szCs w:val="20"/>
          <w:color w:val="auto"/>
        </w:rPr>
      </w:pPr>
      <w:r>
        <w:rPr>
          <w:rFonts w:ascii="Times New Roman" w:cs="Times New Roman" w:eastAsia="Times New Roman" w:hAnsi="Times New Roman"/>
          <w:sz w:val="18"/>
          <w:szCs w:val="18"/>
          <w:color w:val="auto"/>
        </w:rPr>
        <w:t>The due diligence process followed by our Adviser’s investment professionals is highly detailed and follows a structure they have developed over the past decade. Our Adviser seeks to exercise discipline with respect to the pricing of its investments and institute appropriate structural protections in our investment agreements to the extent banking regulations permit. After our Adviser’s investment professionals undertake initial due diligence of a prospective investment, our Adviser’s investment committee determines whether to approve the initiation of more extensive due diligence. At the conclusion of the diligence process, our Adviser’s investment committee is informed of critical findings and conclusions. The due diligence process typically includes many of the following:</w:t>
      </w:r>
    </w:p>
    <w:p>
      <w:pPr>
        <w:spacing w:after="0" w:line="187"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historical and prospective financial information;</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regulatory filings and history of relevant regulatory actions or other legal proceedings against the institution;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analysis of financial models and projections;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historical underwriting processes and standards;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due diligence questionnaires that include detail on loans and other assets;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interviews with management and key employees of the prospective bank;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prospective bank’s geographic footprint and competitive and economic conditions within the operating area;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contingent liabilities.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Additional due diligence with respect to any investment may be conducted on our behalf by our legal counsel and accountants, as well as by other outside advisors and consultants, as appropriate.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Upon the conclusion of the due diligence process, our Adviser’s investment professionals present a detailed investment proposal to our Adviser’s investment committee. The investment committee’s policy is that the consent of two of the three members is required to approve the committee’s decision to invest in a security and the consent of two of the three members is required to sell a security.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Structure for Direct Investments in Banks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Once we have determined that a prospective community bank is suitable for a newly originated direct investment, we work with the management of that company to structure an investment that the parties believe is suitable from an economic and regulatory perspective.</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anticipate structuring our direct investments in a variety of forms to meet our investment criteria and to meet the capital needs of the community banks in which we invest. Banking is a highly regulated industry and investments in these institutions must be tailored to adhere to various regulatory standards, which change from time to time.</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Typically, FDIC-insured banks are wholly-owned by a regulated holding company, and the primary asset of the holding company is the stock of the bank(s). We intend to invest in both community banks and their holding companies.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anticipate structuring the majority of our direct investments as preferred equity, subordinated debt, convertible securities (including contingent convertible securities) and common equity that pay cash dividends and interest on a recurring or customized basis. In conjunction with our preferred stock (and to a lesser extent, our debt investments), we intend to obtain warrants or equity conversion options by which we may increase our investments in banks. We do not intend to become regulated as a bank holding company or savings and loan holding company and intend to structure our investments such that they represent less than 24.9% of any portfolio bank’s equity capital and thereby avoid causing us to be deemed a bank holding company. See “Risk Factors—Risks Related to Banking Regulations Affecting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types of securities in which we may invest include, but are not limited to, the following:</w:t>
      </w:r>
    </w:p>
    <w:p>
      <w:pPr>
        <w:spacing w:after="0" w:line="225" w:lineRule="exact"/>
        <w:rPr>
          <w:sz w:val="20"/>
          <w:szCs w:val="20"/>
          <w:color w:val="auto"/>
        </w:rPr>
      </w:pPr>
    </w:p>
    <w:p>
      <w:pPr>
        <w:ind w:left="1300" w:hanging="644"/>
        <w:spacing w:after="0" w:line="255"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We anticipate structuring these investments as perpetual preferred stock to allow our portfolio company issuers to treat our investment in them as Tier 1 capital under current regulatory capital standards. We believe that nearly all newly issued preferred stock will be non-cumulative in order for it to qualify as Tier 1 capital of the applicable portfolio company. Such preferred stock may also include rights to convert the preferred stock into common stock under specified circumstances and on specified terms. While we do not intend to invest a significant portion of the proceeds of any future offering in the preferred stock of institutions that are not current in their dividends, we may invest in them to some extent if we believe their institutions have the ability to become current in their dividend payments in the future.</w:t>
      </w:r>
    </w:p>
    <w:p>
      <w:pPr>
        <w:spacing w:after="0" w:line="188" w:lineRule="exact"/>
        <w:rPr>
          <w:rFonts w:ascii="Times New Roman" w:cs="Times New Roman" w:eastAsia="Times New Roman" w:hAnsi="Times New Roman"/>
          <w:sz w:val="18"/>
          <w:szCs w:val="18"/>
          <w:color w:val="auto"/>
        </w:rPr>
      </w:pPr>
    </w:p>
    <w:p>
      <w:pPr>
        <w:ind w:left="1300" w:right="40" w:hanging="644"/>
        <w:spacing w:after="0" w:line="261"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We anticipate structuring these investments as subordinated unsecured debt. Subordinated loans are expected to have maturities often years or longer with no amortization until loan maturity to allow our portfolio company borrowers to treat the investment as Tier 2-qualifying capital. Under current market conditions, the interest rate on subordinated loans ranges between 4% to 5.5%, excluding any equity warrants we may receive.</w:t>
      </w:r>
    </w:p>
    <w:p>
      <w:pPr>
        <w:spacing w:after="0" w:line="179" w:lineRule="exact"/>
        <w:rPr>
          <w:rFonts w:ascii="Times New Roman" w:cs="Times New Roman" w:eastAsia="Times New Roman" w:hAnsi="Times New Roman"/>
          <w:sz w:val="18"/>
          <w:szCs w:val="18"/>
          <w:color w:val="auto"/>
        </w:rPr>
      </w:pPr>
    </w:p>
    <w:p>
      <w:pPr>
        <w:jc w:val="both"/>
        <w:ind w:left="1300" w:right="60" w:hanging="644"/>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We will also seek to make minority common equity investments in publicly-traded and select privately-held institutions. We will target internal rates of return between 15%-20%, including dividends. Under market conditions as of June 30, 2024, the dividend rate on common stock of community banks ranges between 1-3%.</w:t>
      </w:r>
    </w:p>
    <w:p>
      <w:pPr>
        <w:spacing w:after="0" w:line="175" w:lineRule="exact"/>
        <w:rPr>
          <w:rFonts w:ascii="Times New Roman" w:cs="Times New Roman" w:eastAsia="Times New Roman" w:hAnsi="Times New Roman"/>
          <w:sz w:val="18"/>
          <w:szCs w:val="18"/>
          <w:color w:val="auto"/>
        </w:rPr>
      </w:pPr>
    </w:p>
    <w:p>
      <w:pPr>
        <w:ind w:left="1300" w:right="20" w:hanging="644"/>
        <w:spacing w:after="0" w:line="258"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and Options. We may receive warrants or options to buy minority equity interests in connection with our direct subordinated debt and preferred equity investments. As a result, as a portfolio company appreciates in value, we may achieve additional investment return from these equity interests. We may structure such warrants to include provisions protecting our rights as a minority-interest holder. In many cases, we may also seek to obtain registration rights in connection with these equity interests, which may include demand and “piggyback” registration rights.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501"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Investments in Regulatory Capital Relief Securities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makes opportunistic investments in regulatory capital relief securities transactions entered into primarily with global money center banks and other deposit-taking institutions, the objective of which is generally to allow such banks and other deposit-taking institutions to reduce their risk-weighted asset calculations on portfolios of assets, or otherwise optimize the capital required to be held against such exposures, in order to manage their required capital.</w:t>
      </w:r>
    </w:p>
    <w:p>
      <w:pPr>
        <w:spacing w:after="0" w:line="180" w:lineRule="exact"/>
        <w:rPr>
          <w:sz w:val="20"/>
          <w:szCs w:val="20"/>
          <w:color w:val="auto"/>
        </w:rPr>
      </w:pPr>
    </w:p>
    <w:p>
      <w:pPr>
        <w:ind w:left="1300" w:hanging="644"/>
        <w:spacing w:after="0" w:line="253"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 of Regulatory Capital Relief Securities. Regulatory capital relief securities may be structured in a variety of ways and are highly bespoke to the needs of the bank or other deposit-taking institution involved. In many cases, the bank or other deposit-taking institution will establish a special purpose vehicle (an “SPV”), which will issue credit-linked notes or other debt instruments (the “notes”) to investors (and to the bank or deposit-taking institutions itself) for cash. The cash proceeds of the issue of notes to the investors will often be deposited by the SPV with the bank or other deposit-taking institution, but they can be deposited elsewhere particularly in situations where the creditworthiness of the bank or bank’s or other deposit-taking institution is weak. The bank or other deposit-taking institution will typically retain a portion of credit loss exposures of the reference portfolio. The remainder of the credit loss exposures will mostly be held by external investors, such as the Company, via the notes. The bank or other deposit-taking institution makes periodic payments to the SPV of an amount sufficient for the SPV to pay the required interest and principal sums on the notes. The amount of interest and principal payable on the notes will be linked to the credit performance of the reference portfolio.</w:t>
      </w:r>
    </w:p>
    <w:p>
      <w:pPr>
        <w:spacing w:after="0" w:line="194" w:lineRule="exact"/>
        <w:rPr>
          <w:rFonts w:ascii="Times New Roman" w:cs="Times New Roman" w:eastAsia="Times New Roman" w:hAnsi="Times New Roman"/>
          <w:sz w:val="18"/>
          <w:szCs w:val="18"/>
          <w:color w:val="auto"/>
        </w:rPr>
      </w:pPr>
    </w:p>
    <w:p>
      <w:pPr>
        <w:ind w:left="1300" w:right="20" w:hanging="644"/>
        <w:spacing w:after="0" w:line="258"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capital relief securities may also be structured as securitizations, where the reference portfolio is actually transferred to the SPV and the payments on the notes are derived directly from the cash flows arising from the reference portfolio. Regulatory capital relief securities may also be structured as swaps or similar structure. In each case, the economics of the transaction are intended to transfer the risk of loss of the referenced credit exposures to the Company with the bank typically retaining certain exposures as described above. The structure of regulatory capital relief securities continues to evolve.</w:t>
      </w:r>
    </w:p>
    <w:p>
      <w:pPr>
        <w:spacing w:after="0" w:line="183"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instruments described above, the Company may use derivatives instruments such as options, swaps, and index-related derivatives including both listed and over-the-counter instruments. The Company may invest cash balances in asset-backed securities, money market securities, mortgage-related securities, inflation protected and other index-linked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Process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value our assets in accordance with U.S. GAAP and rely on multiple valuation techniques, reviewed on a quarterly basis by our board of directors. As most of our investments are not expected to have market quotations, our Advisor, as the Company’s valuation designee under Rule 2a-5 undertakes a multi-step valuation process each quarter, as described below and as described in more detail in “Net Asset Value” below:</w:t>
      </w:r>
    </w:p>
    <w:p>
      <w:pPr>
        <w:spacing w:after="0" w:line="176"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Team Valuation. Each investment will be valued by the investment professionals of our Adviser.</w:t>
      </w:r>
    </w:p>
    <w:p>
      <w:pPr>
        <w:spacing w:after="0" w:line="225"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Valuation. We have retained an independent valuation firm to provide a valuation report for each investment at least once per fiscal year. These reports are provided to our board of directors.</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Committee. The investment committee of our Adviser will review the valuation report provided by the investment team and the independent valuation firm.</w:t>
      </w:r>
    </w:p>
    <w:p>
      <w:pPr>
        <w:spacing w:after="0" w:line="161"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Valuation Determination. Our board of directors discusses and reviews the valuations with our Adviser’s investment committee and, if they choose, with the independent valuation firm. Our board of directors then determines the fair value of each investment in our portfolio in good faith.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primary competitors in providing financing and capital to community banks include public and private funds, commercial banks, investment banks, correspondent banks, commercial financing companies, high net worth individuals, private equity funds and hedge funds. In addition, some of our competitors may have higher risk tolerances or different risk assumptions, which could allow them to consider a wider variety of investments than us. Also, certain of our competitors may be better able to hedge against these risks due to having a more diversified portfolio or being registered as a commodity pool operator. We also believe that many of our competitors are established bank holding companies, which allows them to make investments that are in excess of 24.9% ownership interest, investments that are not feasible for us since we do not intend to become a bank holding company. Further, many of our competitors are not subject to the regulatory restrictions that the Investment Company Act imposes on us as an investment company or to the source-of-income, asset diversification and distribution requirements we intend to satisfy to qualify as a RIC.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Because we expect that most of the assets that we hold will be illiquid, we will generally acquire and dispose of our investments in privately negotiated transactions, and we may use brokers in the course of our business. Subject to policies established by our board of directors, we do not expect to execute transactions through any particular broker or dealer, but we will seek to obtain the best net results for us, taking into account such factors as price (including the applicable brokerage commission or dealer spread), size of order, difficulty of execution, operational facilities of the firm, the firm’s risk and skill in positioning blocks of securities. While we will generally seek reasonably competitive trade execution costs, we will not necessarily pay the lowest spread or commission available. Subject to applicable legal requirements, we may select a broker based partly on brokerage or research services provided to us. In return for such services, we may pay a higher commission than other brokers would charge if we determine in good faith that such commission is reasonable in relation to the services provided.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Staffing</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does not currently have or expect to have any employees. Employees of ArrowMark Partners or its affiliates provide the services necessary for our business. Our executive officers described under “Management” are employees or principals of our Adviser or ArrowMark Partners, the parent company of the Company’s prior investment manager, as indicated in the Statement of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Neither the Company or the Adviser is currently subject to any material legal proceedings, nor, to our knowledge, is any material legal proceeding threatened against the Company or the Adviser.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Turnover</w:t>
      </w:r>
    </w:p>
    <w:p>
      <w:pPr>
        <w:spacing w:after="0" w:line="229"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For the fiscal years ended December 31, 2023 and 2022, our portfolio turnover rate was 16% and 29%, respectively. Portfolio turnover rate is not considered a limiting factor in the execution of investment decisions for us. A higher turnover rate results in correspondingly greater brokerage commissions and other transactional expenses that we bear.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LEVERAGE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Leverage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intend to operate with leverage through recourse and non-recourse collateralized financings, private or public offerings of debt, warehouse facilities, secured and unsecured bank credit facilities, reverse repurchase agreements and other borrowings. We may also operate with leverage by issuing preferred stock. Under normal circumstances, we will not employ leverage above one-third of our total assets at time of incurrence.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borrowing of money and the issuance of preferred securities represent the leveraging of our common stock. We do not use leverage unless our board of directors believes that leverage will serve the best interests of our stockholders. The principal factor used in making this determination is whether the potential return is likely to exceed the cost of leverage. Therefore, in making the determination whether to use leverage, we must rely on estimates of leverage costs and expected returns. Actual costs of leverage vary over time depending on interest rates and other factors, and actual returns vary depending on many factors. We do not anticipate using leverage where the estimated costs of using such leverage and the ongoing cost of servicing the payment obligations on such leverage exceed the estimated return on the proceeds of such leverage. Our board of directors will also consider other factors, including whether the current investment opportunities will help us achieve our investment objectives and strategies.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Leverage creates a greater risk of loss, as well as potential for more gain, for our common stock than if leverage is not used. Leverage capital would have complete priority upon distribution of assets on liquidation or otherwise over common stock. We expect to invest the net proceeds derived from any use or issuance of leverage capital according to the investment objectives and strategies described in this prospectus. As long as our leverage capital is invested in securities that provide a higher rate of return than the dividend rate or interest rate of the leverage capital after taking its related expenses into consideration, the leverage will cause our common stockholders to receive a higher rate of income than if we were not leveraged. Conversely, if the return derived from such securities is less than the cost of leverage (including increased expenses to us), our total return will be less than if leverage had not been used, and, therefore, the amount available for distribution to our common stockholders will be reduced. In the latter case, our Adviser in its best judgment nevertheless may determine to maintain our leveraged position if it expects that the long term benefits to our common stockholders of so doing will outweigh the current reduced return. There is no assurance that we will be successful in enhancing the level of our total return. The NAV of our common stock will be reduced by the fees and issuance costs of any leverage capital. There is no assurance that outstanding amounts we borrow may allow prepayment by us prior to final maturity without significant penalty, but we do not expect any sinking fund or mandatory retirement provisions. Outstanding amounts would be payable at maturity or such earlier times as we may agree. We may be required to prepay outstanding amounts or incur a penalty rate of interest in the event of the occurrence of certain events of default. We may be expected to indemnify our lenders, particularly any banks, against liabilities they may incur related to their loan to us. Utilizing leverage may also restrict our ability to pay dividends, which could lead to a loss of our RIC status. We may also be required to secure any amounts borrowed from a bank by pledging our investments as collateral.</w:t>
      </w:r>
    </w:p>
    <w:p>
      <w:pPr>
        <w:spacing w:after="0" w:line="19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Leverage creates risk for holders of our common stock, including the likelihood of greater volatility of our NAV and the value of our shares, and the risk of fluctuations in interest rates on leverage capital, which may affect the return to the holders of our common stock or cause fluctuations in the distributions paid on our common stock. The fee paid to our Adviser is calculated on the basis of our Managed Assets, including proceeds from leverage capital. During periods in which we use leverage, the fee payable to our Adviser is and will be higher than if we did not use leverage. Consequently, we and our Adviser may have differing interests in determining whether to leverage our assets. Our board of directors monitors our use of leverage and this potential conflict.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37" w:name="page38"/>
    <w:bookmarkEnd w:id="37"/>
    <w:p>
      <w:pPr>
        <w:ind w:right="20"/>
        <w:spacing w:after="0" w:line="253" w:lineRule="auto"/>
        <w:rPr>
          <w:sz w:val="20"/>
          <w:szCs w:val="20"/>
          <w:color w:val="auto"/>
        </w:rPr>
      </w:pPr>
      <w:r>
        <w:rPr>
          <w:rFonts w:ascii="Times New Roman" w:cs="Times New Roman" w:eastAsia="Times New Roman" w:hAnsi="Times New Roman"/>
          <w:sz w:val="18"/>
          <w:szCs w:val="18"/>
          <w:color w:val="auto"/>
        </w:rPr>
        <w:t>Under the Investment Company Act, we are not permitted to issue preferred stock unless immediately after such issuance, the value of our total assets (including the proceeds of such issuance) less all liabilities and indebtedness not represented by senior securities is at least equal to 200% of the total of the aggregate amount of senior securities representing indebtedness plus the aggregate liquidation value of the outstanding preferred stock. Stated another way, we may not issue preferred stock that, together with outstanding preferred stock and debt securities, has a total aggregate liquidation value and outstanding principal amount of more than 50% of the amount of our total assets, including the proceeds of such issuance, less liabilities and indebtedness not represented by senior securities. In addition, we are not permitted to declare any cash dividend or other distribution on our common stock, or purchase any of our shares of common stock (through tender offers or otherwise), unless we would satisfy this 200% asset coverage after deducting the amount of such dividend, distribution or share purchase price, as the case may be. We may, as a result of market conditions or otherwise, be required to purchase or redeem preferred stock, or sell a portion of our investments when it may be disadvantageous to do so, in order to maintain the required asset coverage. Furthermore, if we redeem any preferred stock, it would result in a long-term decrease in cash available to be distributed to holders of our common stock in the form of dividends. Common stockholders would bear the costs of issuing preferred stock, which may include offering expenses and the ongoing payment of dividends. Under the Investment Company Act, we may only issue one class of preferred stock.</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Investment Company Act, we are not permitted to issue debt securities or incur other indebtedness constituting senior securities unless, immediately thereafter, the value of our total assets (including the proceeds of the indebtedness) less all liabilities and indebtedness not represented by senior securities is at least equal to 300% of the amount of the outstanding indebtedness. Stated another way, we may not issue debt securities in a principal amount of more than one-third of the amount of our total assets, including the amount borrowed, less all liabilities and indebtedness not represented by senior securities. We also must maintain this 300% asset coverage for as long as the indebtedness is outstanding. The Investment Company Act provides that we may not declare any cash dividend or other distribution on common or preferred stock, or purchase any of our shares of stock (through tender offers or otherwise), unless we would satisfy this 300% asset coverage after deducting the amount of the dividend, other distribution or share purchase price, as the case may be. If the asset coverage for indebtedness declines to less than 300% as a result of market fluctuations or otherwise, we may be required to redeem debt securities, or sell a portion of our investments when it may be disadvantageous to do so. Under the Investment Company Act, we may only issue one class of senior securities representing indebtedness.</w:t>
      </w:r>
    </w:p>
    <w:p>
      <w:pPr>
        <w:spacing w:after="0" w:line="19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Assuming the utilization of our maximum available leverage in the amount of 31.1% of our total assets and an annual interest rate of 7.94% payable on such leverage (based on market rates as of June 30, 2024), the additional income that we must earn (net of debt-related expenses) in order to cover such leverage is approximately $5,635,194. Our actual costs of leverage may be higher or lower than that assumed in the previous example.</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Following the completion of the offering, we may increase the amount of leverage outstanding. We may incur additional borrowings in order to maintain our desired leverage ratio of 30%. Leverage creates a greater risk of loss, as well as a potential for more gain, for the common stock than if leverage was not used. Interest on borrowings may be at a fixed or floating rate, and the interest at a floating rate generally will be based on short-term rates. The costs associated with our use of leverage, including the issuance of such leverage and the payment of dividends or interest on such leverage, will be borne entirely by the holders of common stock. As long as the rate of return, net of our applicable expenses, on our investment portfolio investments purchased with leverage exceeds the costs associated with such leverage, we will generate more return or income than will be needed to pay such costs. In this event, the excess will be available to pay higher dividends to holders of common stock. Conversely, if the return on such assets is less than the cost of leverage and our other expenses, the return to the holders of our common stock will diminish. To the extent that we use leverage, the NAV and market price of our common stock and the yield to holders of common stock will be more volatile. Our leveraging strategy may not be successful. Because our Adviser’s fee is based on total assets (including any assets acquired with the proceeds of leverage), our Adviser’s fee will be higher if we utilize leverage. See “Risks Related to Our Use of Leverage.”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Leverage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table is designed to illustrate the effect of leverage on the return to a holder of our common stock in the amount of approximately 31.1% of our total assets, assuming a cost of leverage of 7.94% and hypothetical annual returns of our portfolio of minus 10% to plus 10%. As the table shows, leverage generally increases the return to holders of common stock when portfolio return is positive and greater than the cost of leverage and decreases the return when the portfolio return is negative or less than the cost of leverage. The figures appearing in the table are hypothetical and actual returns may be greater or less than those appearing in the table. See “Risk Factors—Risks Related to Our Use of Leverage.”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Assumed Portfolio Return (Net of Expenses)</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Borders>
              <w:bottom w:val="single" w:sz="8" w:color="CCEEFF"/>
            </w:tcBorders>
          </w:tcPr>
          <w:p>
            <w:pPr>
              <w:spacing w:after="0"/>
              <w:rPr>
                <w:sz w:val="19"/>
                <w:szCs w:val="19"/>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Corresponding Common Stock Return</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648"/>
        </w:trPr>
        <w:tc>
          <w:tcPr>
            <w:tcW w:w="3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Derivative Transactions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Interest Rate Derivative Transactions. We may use interest rate transactions such as swaps, caps, floors, forwards, swaptions and rate-linked notes to attempt to reduce the interest rate risk arising from our investments and use of leverage or to provide exposure to the same types of investments that we make in community banking companies. The use of interest rate transactions is a highly specialized activity that involves investment techniques and risks different from those associated with ordinary portfolio security transactions. In an interest rate swap, we would agree to pay to the other party to the interest rate swap (known as the “counterparty”) a fixed rate payment in exchange for the counterparty agreeing to pay to us a variable rate payment intended to approximate our variable rate payment obligation on any variable rate borrowings. The payment obligations would be based on the notional amount of the swap. An interest rate “swaption” is an option to enter into an interest rate swap. In an interest rate cap, we would pay a premium to the counterparty up to the interest rate cap and, to the extent that a specified variable rate index exceeds a predetermined fixed rate of interest, would receive from the counterparty payments equal to the difference based on the notional amount of such cap. In an interest rate floor, we would be entitled to receive, to the extent that a specified index falls below a predetermined interest rate, payments of interest on a notional principal amount from the party selling the interest rate floor. In a forward rate agreement, we would be entitled to receive (or be obligated to pay) the difference between the interest rate on the amount specified in the forward rate agreement and the interest rate on such amount on the date the agreement expires. A fixed-rate note is a type of debt instrument with a fixed rate of interest (known as the “coupon rate”) that is payable at specified times before maturity. A floating-rate note will pay us a variable amount on the principal amount of the note but the note’s value rises when interest rates rise (as opposed to bonds, which decrease in value when interest rates rise).</w:t>
      </w:r>
    </w:p>
    <w:p>
      <w:pPr>
        <w:spacing w:after="0" w:line="19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Depending on the state of interest rates in general, our use of interest rate transactions could affect our ability to make required interest payments on any outstanding fixed income securities or preferred stock. To the extent there is a decline in interest rates, the value of the interest rate transactions could decline. If the counterparty to an interest rate transaction defaults, we would not be able to use the anticipated net receipts under the interest rate transaction to offset our cost of financial leverage. See “Risk Factors—Risks Related to Our Operations—Derivatives transactions may limit our income or result in losses.”</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claimed an exclusion from the definition of the term “commodity pool operator” under the Commodity Exchange Act of 1936, as amended (“CEA”), pursuant to Regulation 4.5 under the CEA. So long as we maintain this exclusion, we will not be deemed a commodity pool operator under the CEA, and we anticipate that neither we nor our Adviser will be subject to regulation or registration as a commodity pool operator or commodity trading advisor under the CEA. Although we do not currently intend to, if we use commodity futures, commodity option contracts futures or swaps other than for bona fide hedging purposes, as defined under the CEA regulations, our aggregate initial margin and premiums on these positions (after taking into account unrealized profits and unrealized losses on any such positions and excluding the amount by which options that are “in-the-money” at the time of purchase) will not exceed 5% of our NAV. Furthermore, the aggregate net notional value of commodity futures, commodity option contracts futures and swaps other than for bona fide hedging purposes will not exceed 100% of our NAV (after taking into account unrealized profits and unrealized losses on any such positions). If, however, we exceed either of these thresholds, we will no longer qualify for this exclusion and will need to register as a commodity pool operator (“CPO”) under the CEA. If we were required to register as a CPO, the disclosure and operations of the Company would need to comply with all applicable regulations governing commodity pools and CPOs. Additionally, if required to register as a CPO, we would be required to become a member of the National Futures Association (“NFA”) and be subject to the NFA’s rules and bylaws. Compliance with these additional registration and regulatory requirements would increase the Company’s operating expenses.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Credit Derivative Transactions. We may utilize credit derivatives, such as credit default swaps, total return swaps or credit-linked notes to “buy” credit protection, in which case we would attempt to mitigate the risk of default or credit quality deterioration in all or a portion of our portfolio of bank securities to hedge against changes in the market price of bank securities in which we invest. We may also utilize total return swaps or credit-linked notes to provide exposure to the same types of investments that we make in community banking companies. A credit default swap is an agreement between two parties to exchange the credit risk of a particular issuer or reference entity. The Company does not “sell” credit default swaps. In a credit default transaction, we as buyer would pay periodic fees in return for payment by the seller which is contingent upon an adverse credit event occurring with respect to the underlying issuer or reference entity. The seller collects periodic fees from us and profits if the credit of the underlying issuer or reference entity remains stable or improves while the swap is outstanding, but the seller would be required to pay an agreed upon amount to us as buyer (which may be the entire notional amount of the swap) in the event of an adverse credit event in the issuer or reference entity. A credit-linked note is structured as a security with an embedded credit-default swap. Total return swap agreements are contracts in which one party agrees to make periodic payments to another party based on the change in market value of the assets underlying the contract, which may include a specified security, basket of securities or securities indices during the specified period, in return for periodic payments based on a fixed or variable interest rate or the total return from other underlying assets.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Equity Derivative Transactions. We may engage in equity derivatives transactions, including the use of futures, options and warrants to hedge against changes in the market prices of bank equity securities in which we invest or to provide exposure to and focus on the same types of investments that we make in community banking companies. Options, futures and warrants are contracts involving the right to receive or the obligation to deliver assets or money depending on the performance of one or more underlying assets, instruments or a market or economic index. An option gives its owner the right, but not the obligation, to buy (“call”) or sell (“put”) a specified amount of a security at a specified price within a specified time period. We may purchase or sell options on the publicly traded bank equity securities in which we may invest. When we purchase an over-the-counter option, it increases our credit risk exposure to the counterparty. Futures are standardized, exchange-traded contracts that obligate a purchaser to take delivery, and a seller to make delivery, of a specific amount of an asset at a specified future date at a specified price. No price is paid upon entering into a futures contract. Rather, upon purchasing or selling a futures contract, we would be required to deposit collateral (“margin”) equal to a percentage (generally less than 10%) of the contract value. Each day thereafter until the futures position is closed, we will pay additional margin representing any loss experienced as a result of the futures position the prior day or be entitled to a payment representing any profit experienced as a result of the futures position the prior day. Warrants are securities that entitle the holder to buy the underlying stock of the issuing company at a fixed exercise price until the expiration date of the warrant.</w:t>
      </w:r>
    </w:p>
    <w:p>
      <w:pPr>
        <w:spacing w:after="0" w:line="1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banks in which we invest may include, as part of the consideration of our investment in such banks’ equity or debt securities, a grant of warrants, options and other equity conversion features by which we may increase our investment in such banks over time. While we may or may not exercise our rights under such instruments, we may trade in these warrants, options and other equity conversion features or otherwise use them to leverage our capital. In instances where our derivative transactions may be deemed to create leverage under the Investment Company Act, we will separately segregate with our custodian cash or high quality liquid investments having a value, at all times through exercise, at least equal to our potential payment obligations under such derivative transactions or otherwise ensure that the amount of such obligations together with our other leverage obligations, does not exceed 33% of our total assets. See “Risk Factors—Risks Related to Our Operations.”</w:t>
      </w:r>
    </w:p>
    <w:p>
      <w:pPr>
        <w:sectPr>
          <w:pgSz w:w="11900" w:h="16838" w:orient="portrait"/>
          <w:cols w:equalWidth="0" w:num="1">
            <w:col w:w="11240"/>
          </w:cols>
          <w:pgMar w:left="320" w:top="873" w:right="339" w:bottom="33"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ind w:right="60"/>
        <w:spacing w:after="0" w:line="256" w:lineRule="auto"/>
        <w:rPr>
          <w:sz w:val="20"/>
          <w:szCs w:val="20"/>
          <w:color w:val="auto"/>
        </w:rPr>
      </w:pPr>
      <w:r>
        <w:rPr>
          <w:rFonts w:ascii="Times New Roman" w:cs="Times New Roman" w:eastAsia="Times New Roman" w:hAnsi="Times New Roman"/>
          <w:sz w:val="18"/>
          <w:szCs w:val="18"/>
          <w:color w:val="auto"/>
        </w:rPr>
        <w:t>Currency Hedging Techniques. We may use currency hedging techniques, including (a) purchasing and selling currency futures contracts and options thereon, (b) purchasing and selling currency forward contracts, and (c) engaging in foreign currency exchange transactions on a spot (i.e., cash) basis at the spot rate prevailing in the foreign currency exchange market. For example, the Company may enter into forward foreign currency exchange contracts to help protect its holdings against unfavorable changes in currency exchange rates. A forward foreign currency exchange contract is an agreement to buy or sell a country’s currency at a specific price on a specific date, usually 30, 60 or 90 days in the future. In other words, the contract guarantees an exchange rate on a given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board of directors provides the overall supervision and review of our affairs. Management of our portfolio is the responsibility of our Adviser’s investment committee. Our Adviser’s investment committee is composed of Sanjai Bhonsle, Karen Reidy, and Kaelyn Abrell. Our Adviser’s investment team, led by Mr. Bhonsle, a partner of ArrowMark Partners, will be responsible for negotiating, structuring and managing our investments. The investment professionals of our Adviser and its affiliates have significant experience sourcing, analyzing, investing and managing investments in the banking sector. For the background of our investment professionals, see “Investment Committee.”</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expect to continue to focus our securities portfolio on making long-term, passive, non-control investments in the bank sector and banking-related securities. We intend to continue to direct investments in numerous issuers differentiated by asset sizes, business models and geographies to create a more stable, long-term portfolio of assets. Our Adviser monitors our portfolio companies and market concentrations and may adjust its underwriting criteria based on market conditions and portfolio concentrations. Our Adviser’s monitoring operations include sensitivity analyses to determine the effects of changes in market conditions on our asset portfolio. These analyses may include simulations of changes in interest rates, changes in economic activity and other events that would affect the forecasted performance of our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Officers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Accordingly, our board of directors provides broad supervision over our affairs, including supervision of the duties performed by our Adviser. Our Adviser is responsible for our day-to-day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Committee</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Management of our portfolio is the responsibility of our Adviser’s investment committee. Our Adviser’s investment committee is currently comprised of Sanjai Bhonsle, Karen Reidy, and Kaelyn Abrell. The investment committee’s policy is that the consent of two of the three members is required to approve the committee’s decision to invest in a security and the consent of two of the three members is required to sell a security. Biographical information about each member of our Adviser’s investment committee is set forth below. See the accompanying Statement of Additional Information for more information about our investment committee members’ compensation, other accounts managed, and each investment committee member’s ownership of our securities.</w:t>
      </w:r>
    </w:p>
    <w:p>
      <w:pPr>
        <w:spacing w:after="0" w:line="1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names, ages and addresses of the members of our Adviser’s investment committee, together with their principal occupations and other affiliations during the past five years,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of our Investment Committee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Position(s) Held with</w:t>
            </w:r>
          </w:p>
        </w:tc>
        <w:tc>
          <w:tcPr>
            <w:tcW w:w="26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Principal Occpation(s)</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 Directorships</w:t>
            </w:r>
          </w:p>
        </w:tc>
      </w:t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Age</w:t>
            </w:r>
          </w:p>
        </w:tc>
        <w:tc>
          <w:tcPr>
            <w:tcW w:w="220" w:type="dxa"/>
            <w:vAlign w:val="bottom"/>
          </w:tcPr>
          <w:p>
            <w:pPr>
              <w:spacing w:after="0"/>
              <w:rPr>
                <w:sz w:val="20"/>
                <w:szCs w:val="20"/>
                <w:color w:val="auto"/>
              </w:rPr>
            </w:pPr>
          </w:p>
        </w:tc>
        <w:tc>
          <w:tcPr>
            <w:tcW w:w="2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268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Last 5 Years</w:t>
            </w:r>
          </w:p>
        </w:tc>
        <w:tc>
          <w:tcPr>
            <w:tcW w:w="2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Last 5 Years</w:t>
            </w:r>
          </w:p>
        </w:tc>
      </w:tr>
      <w:tr>
        <w:trPr>
          <w:trHeight w:val="191"/>
        </w:trPr>
        <w:tc>
          <w:tcPr>
            <w:tcW w:w="13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Sanjaj Bhonsle</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650"/>
              <w:spacing w:after="0" w:line="191" w:lineRule="exact"/>
              <w:rPr>
                <w:sz w:val="20"/>
                <w:szCs w:val="20"/>
                <w:color w:val="auto"/>
              </w:rPr>
            </w:pPr>
            <w:r>
              <w:rPr>
                <w:rFonts w:ascii="Times New Roman" w:cs="Times New Roman" w:eastAsia="Times New Roman" w:hAnsi="Times New Roman"/>
                <w:sz w:val="18"/>
                <w:szCs w:val="18"/>
                <w:color w:val="auto"/>
                <w:w w:val="88"/>
              </w:rPr>
              <w:t>53</w:t>
            </w:r>
          </w:p>
        </w:tc>
        <w:tc>
          <w:tcPr>
            <w:tcW w:w="2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Class III Director; Chairman of the</w:t>
            </w:r>
          </w:p>
        </w:tc>
        <w:tc>
          <w:tcPr>
            <w:tcW w:w="24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Partner and Portfolio Manager at</w:t>
            </w:r>
          </w:p>
        </w:tc>
        <w:tc>
          <w:tcPr>
            <w:tcW w:w="22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Brown RI Management, LLC and</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Board &amp; Chief Executive Officer;</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ArrowMark Partners from 2012-</w:t>
            </w:r>
          </w:p>
        </w:tc>
        <w:tc>
          <w:tcPr>
            <w:tcW w:w="2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Affiliates from 2018-Present</w:t>
            </w:r>
          </w:p>
        </w:tc>
      </w:tr>
      <w:tr>
        <w:trPr>
          <w:trHeight w:val="234"/>
        </w:trPr>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1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Committee Member</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w:t>
            </w: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198"/>
        </w:trPr>
        <w:tc>
          <w:tcPr>
            <w:tcW w:w="1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Karen Reidy</w:t>
            </w:r>
          </w:p>
        </w:tc>
        <w:tc>
          <w:tcPr>
            <w:tcW w:w="1140" w:type="dxa"/>
            <w:vAlign w:val="bottom"/>
            <w:gridSpan w:val="2"/>
          </w:tcPr>
          <w:p>
            <w:pPr>
              <w:jc w:val="right"/>
              <w:ind w:right="650"/>
              <w:spacing w:after="0" w:line="198" w:lineRule="exact"/>
              <w:rPr>
                <w:sz w:val="20"/>
                <w:szCs w:val="20"/>
                <w:color w:val="auto"/>
              </w:rPr>
            </w:pPr>
            <w:r>
              <w:rPr>
                <w:rFonts w:ascii="Times New Roman" w:cs="Times New Roman" w:eastAsia="Times New Roman" w:hAnsi="Times New Roman"/>
                <w:sz w:val="18"/>
                <w:szCs w:val="18"/>
                <w:color w:val="auto"/>
              </w:rPr>
              <w:t>56</w:t>
            </w:r>
          </w:p>
        </w:tc>
        <w:tc>
          <w:tcPr>
            <w:tcW w:w="316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Class I Director; Investment</w:t>
            </w:r>
          </w:p>
        </w:tc>
        <w:tc>
          <w:tcPr>
            <w:tcW w:w="2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Partner and Portfolio Manager at</w:t>
            </w:r>
          </w:p>
        </w:tc>
        <w:tc>
          <w:tcPr>
            <w:tcW w:w="290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Brown RI Management, LLC and</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Committee Member</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ArrowMark Partners from 2008-</w:t>
            </w:r>
          </w:p>
        </w:tc>
        <w:tc>
          <w:tcPr>
            <w:tcW w:w="2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Affiliates from 2018-Present</w:t>
            </w:r>
          </w:p>
        </w:tc>
      </w:t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Present</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198"/>
        </w:trPr>
        <w:tc>
          <w:tcPr>
            <w:tcW w:w="1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Kaelyn Abrell</w:t>
            </w:r>
          </w:p>
        </w:tc>
        <w:tc>
          <w:tcPr>
            <w:tcW w:w="1140" w:type="dxa"/>
            <w:vAlign w:val="bottom"/>
            <w:gridSpan w:val="2"/>
            <w:shd w:val="clear" w:color="auto" w:fill="CCEEFF"/>
          </w:tcPr>
          <w:p>
            <w:pPr>
              <w:jc w:val="right"/>
              <w:ind w:right="650"/>
              <w:spacing w:after="0" w:line="198" w:lineRule="exact"/>
              <w:rPr>
                <w:sz w:val="20"/>
                <w:szCs w:val="20"/>
                <w:color w:val="auto"/>
              </w:rPr>
            </w:pPr>
            <w:r>
              <w:rPr>
                <w:rFonts w:ascii="Times New Roman" w:cs="Times New Roman" w:eastAsia="Times New Roman" w:hAnsi="Times New Roman"/>
                <w:sz w:val="18"/>
                <w:szCs w:val="18"/>
                <w:color w:val="auto"/>
              </w:rPr>
              <w:t>48</w:t>
            </w:r>
          </w:p>
        </w:tc>
        <w:tc>
          <w:tcPr>
            <w:tcW w:w="316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Investment Committee Member</w:t>
            </w:r>
          </w:p>
        </w:tc>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Partner and Portfolio Manager at</w:t>
            </w:r>
          </w:p>
        </w:tc>
        <w:tc>
          <w:tcPr>
            <w:tcW w:w="29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None</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ArrowMark Partners from 2008-</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34"/>
        </w:trPr>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w:t>
            </w: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certain biographical information for our investment committee members:</w:t>
      </w:r>
    </w:p>
    <w:p>
      <w:pPr>
        <w:spacing w:after="0" w:line="22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b w:val="1"/>
          <w:bCs w:val="1"/>
          <w:color w:val="auto"/>
        </w:rPr>
        <w:t>Sanjai Bhonsle</w:t>
      </w:r>
      <w:r>
        <w:rPr>
          <w:rFonts w:ascii="Times New Roman" w:cs="Times New Roman" w:eastAsia="Times New Roman" w:hAnsi="Times New Roman"/>
          <w:sz w:val="18"/>
          <w:szCs w:val="18"/>
          <w:color w:val="auto"/>
        </w:rPr>
        <w:t>. Mr. Bhonsle joined ArrowMark in October 2012 and serves as Partner and Portfolio Manager for ArrowMark's leveraged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and CLO funds. Prior to joining ArrowMark, he founded MB Consulting Partners in 2009, where he specialized in financial and operational restructuring advisory to stressed and distressed middle-market companies. With more than 10 years of restructuring experience, he has led several assignments across various industries. Mr. Bhonsle was a Senior Portfolio Manager at GSO Capital Partners, a subsidiary of The Blackstone Group, and member of the Investment and Management Committee (2005-2009). Prior to joining GSO Capital Partners, Mr. Bhonsle was an Assistant Portfolio Manager for RBC Capital Partners' debt investment group and was a member of the Investment Committee (2001-2005). He also led the group's restructuring efforts related to distressed investments and represented the firm's interests on creditor committees. From 1999-2001, Mr. Bhonsle was a Senior Investment Analyst at Indosuez Capital Partners. Mr. Bhonsle received a bachelor's degree in Mechanical Engineering from the University of Wisconsin — Madison and an MBA from the Eli Broad Graduate School of Management at Michigan State University.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704" w:gutter="0" w:footer="0" w:header="0"/>
        </w:sectPr>
      </w:pPr>
    </w:p>
    <w:bookmarkStart w:id="41" w:name="page42"/>
    <w:bookmarkEnd w:id="41"/>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Karen Reidy</w:t>
      </w:r>
      <w:r>
        <w:rPr>
          <w:rFonts w:ascii="Times New Roman" w:cs="Times New Roman" w:eastAsia="Times New Roman" w:hAnsi="Times New Roman"/>
          <w:sz w:val="18"/>
          <w:szCs w:val="18"/>
          <w:color w:val="auto"/>
        </w:rPr>
        <w:t>. Ms. Reidy is a founding Partner and co-manages ArrowMark's collateralized loan obligation and specialty finance investments and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analyst team. Prior to founding ArrowMark, Ms. Reidy served as Executive Vice President and Portfolio Manager at Janus capital, managing $10 billion for two strategies: Janus Balanced Fund and Janus Core Equity Fund, as well as institutional separate accounts (2000-2005). Ms. Reidy was also the Assistant Portfolio Manager of the Janus Fund (1998-2000). She joined Janus Capital as an equity analyst in 1995. Prior to Janus Capital Group, she worked at PricewaterhouseCoopers LLC in the audit and mergers and acquisitions departments. Ms. Reidy graduated from the University of Colorado with a bachelor's degree and holds the Chartered Financial Analyst designation.</w:t>
      </w:r>
    </w:p>
    <w:p>
      <w:pPr>
        <w:spacing w:after="0" w:line="18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Kaelyn Abrell. </w:t>
      </w:r>
      <w:r>
        <w:rPr>
          <w:rFonts w:ascii="Times New Roman" w:cs="Times New Roman" w:eastAsia="Times New Roman" w:hAnsi="Times New Roman"/>
          <w:sz w:val="18"/>
          <w:szCs w:val="18"/>
          <w:color w:val="auto"/>
        </w:rPr>
        <w:t>Ms. Abrell is a Partner and Portfolio Manager of ArrowMark’s private credit funds and separately managed accounts and leads the firm’s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fixed income efforts in securitized investments, including regulatory capital relief relief since 2010. Ms. Abrell was also the lead analyst for the firm’s participation in the Term Asset-Backed Securities Loan Facility (“TALF”) program. Prior to joining ArrowMark in 2008, she was an analyst at Janus Capital Group where her areas of focus included residential and commercial mortgage-backed securities, asset-backed securities, and interest rates (2004-2008). Previously, Ms. Abrell worked at Great-West Life where she was Assistant Portfolio Manager of $5.5 billion in separate account, general account and total return assets with a focus on high quality fixed income securities (1998-2004). Ms. Abrell graduated from Illinois State University with a bachelor’s degree in Economics and earned an MBA from Indiana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Services</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ArrowMark Asset Management, LLC, an investment adviser that is a wholly-owned subsidiary of ArrowMark Colorado Holdings, LLC, serves as our investment adviser, subject to the overall supervision and review of our board of directors. Pursuant to a management agreement, our Adviser provides us with investment research, advice and supervision and furnishes us continuously with an investment program, consistent with our investment objective and policies. Our Adviser also determines from time to time what securities we shall purchase, and what securities shall be held or sold, what portions of our assets shall be held uninvested as cash or in other qualified short-term investments or liquid assets, maintains books and records with respect to all of our transactions and will report to our board of directors on our investments and performance. Our Adviser was formed in December 2019. Our Adviser’s affiliate, ArrowMark Partners, is a registered investment adviser formed in 2007.</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Adviser has no full-time employees and relies on the officers, employees and resources of its affiliated entities. All of the members of the investment committee of our Adviser are affiliates of, but not employees of, our Adviser, and may have other significant responsibilities with ArrowMark Partners and its subsidiaries.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Adviser’s services to us under the management agreement will not be exclusive, and while it is not currently contemplated, our Adviser is free to furnish the same or similar services to other entities, including businesses which may directly or indirectly compete with us, so long as our Adviser’s services to us are not impaired by the provision of such services to others. Our Adviser intends to allocate investment opportunities in a fair and equitable manner consistent with our investment objectives and strategies so that we will not be disadvantaged in relation to any other client of the Adviser.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 Services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management agreement, our Adviser also furnishes us, or arranges for the furnishing of office facilities and clerical and administrative services necessary for our operation (other than services provided by our custodian, accounting agent, administrator, dividend and interest paying agent and other service providers). Our Adviser is authorized to cause us to enter into agreements with third parties to provide such services. To the extent we request, our Adviser:</w:t>
      </w:r>
    </w:p>
    <w:p>
      <w:pPr>
        <w:spacing w:after="0" w:line="180" w:lineRule="exact"/>
        <w:rPr>
          <w:sz w:val="20"/>
          <w:szCs w:val="20"/>
          <w:color w:val="auto"/>
        </w:rPr>
      </w:pPr>
    </w:p>
    <w:p>
      <w:pPr>
        <w:ind w:left="1300" w:right="46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performance and payment of the fees of our service providers and makes reports and recommendations to our board of directors such matters as the parties deem desirable;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responds to inquiries and otherwise assists such service providers in the preparation and filing of regulatory reports, proxy statements and stockholder communications, and the preparation of materials and reports for our board of directors;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and oversees the implementation of borrowing facilities or other forms of leverage authorized by our board of directors;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supervises any other aspect of our administration as may be agreed upon by us and our Adviser.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Management Fee</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the management agreement, we have agreed to pay our Adviser a fee for the management and administration services described above. The management fee is 0.4375% (1.75% annualized) of our Managed Assets, calculated and paid quarterly in arrears within fifteen days of the end of each calendar quarter. The term “Managed Assets” as used in the calculation of the management fee means our total assets (including cash and cash equivalents and any assets purchased with or attributable to any borrowed funds). The management fee for any partial quarter will be appropriately prorated. Our Adviser is not paid an incentive fee and does not participate in our profits in its capacity as Adviser.</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Advisor may from time to time waive its advisory fee and such waivers may include the ability of the Advisor to recoup such fees subject to certain conditions, including that no amounts may be recouped more than three years from the date of the waiver or reimbursement. Management fees paid to the Adviser fiscal years ended December 31, 2023, 2022 and 2021 were $3,468,767, $3,634,271 and $3,545,165, respectively. See, “Duration and Termination”.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Our Expenses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ArrowMark serves as our investment adviser in accordance with the terms of the management agreement. Subject to the overall supervision of our board of directors, our Adviser manages our day-to-day operations and provides us with investment management services. Under the terms of the management agreement, ArrowMark does and will:</w:t>
      </w:r>
    </w:p>
    <w:p>
      <w:pPr>
        <w:spacing w:after="0" w:line="176"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composition of our portfolio, the nature and timing of the changes therein and the manner of implementing such changes;</w:t>
      </w:r>
    </w:p>
    <w:p>
      <w:pPr>
        <w:spacing w:after="0" w:line="225"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negotiate the structure of the investments we make (including performing due diligence on our prospective portfolio companies);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monitor and administer the investments we make, including the exercise of any voting or consent rights; and</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us with such other investment advisory, research and related services as we may, from time to time, reasonably require for the investment of our assets.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bear all expenses not specifically assumed by our Adviser and incurred in our operations, and we will bear the expenses related to any future offering. We will reimburse our Adviser to the extent our Adviser pays these expenses. The compensation and allocable routine overhead expenses of all investment professionals of our Adviser, when and to the extent engaged in providing us investment advisory services, will be provided and paid for by our Adviser and not us, although we will reimburse our Adviser an amount equal to our allocable portion of overhead and other expenses incurred by our Adviser in performing its administrative obligations under the management agreement. The fees and expenses borne by us may include, but are not limited to, the following:</w:t>
      </w:r>
    </w:p>
    <w:p>
      <w:pPr>
        <w:spacing w:after="0" w:line="187" w:lineRule="exact"/>
        <w:rPr>
          <w:sz w:val="20"/>
          <w:szCs w:val="20"/>
          <w:color w:val="auto"/>
        </w:rPr>
      </w:pPr>
    </w:p>
    <w:p>
      <w:pPr>
        <w:ind w:left="1300" w:hanging="644"/>
        <w:spacing w:after="0" w:line="261"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provided under “Management Fee” above, expenses of maintaining and continuing our existence and related overhead, including, to the extent such services are provided by personnel of our Adviser or its affiliates in performing it administrative obligations, including without limitation furnishing office space and facilities and administrative and compliance personnel compensation, training and benefits;</w:t>
      </w:r>
    </w:p>
    <w:p>
      <w:pPr>
        <w:spacing w:after="0" w:line="179" w:lineRule="exact"/>
        <w:rPr>
          <w:rFonts w:ascii="Times New Roman" w:cs="Times New Roman" w:eastAsia="Times New Roman" w:hAnsi="Times New Roman"/>
          <w:sz w:val="18"/>
          <w:szCs w:val="18"/>
          <w:color w:val="auto"/>
        </w:rPr>
      </w:pPr>
    </w:p>
    <w:p>
      <w:pPr>
        <w:ind w:left="1300" w:right="380" w:hanging="644"/>
        <w:spacing w:after="0" w:line="312" w:lineRule="auto"/>
        <w:tabs>
          <w:tab w:leader="none" w:pos="1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fees, expenses and disbursements of any third party administrator or compliance firm retained by the Company or the Adviser to provide any of the administrative services referenced above, to the extent not provided by personnel of the Adviser or its affiliates;</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61"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spreads, fees and other expenses connected with the acquisition, holding, monitoring and disposition of securities and the Company’s other investments, including placement and similar fees in connection with direct placements entered into by or on behalf of the Company or any subsidiary thereof, and travel or other expenses incurred in connection with performing due diligence on its prospective portfolio companies or monitoring and overseeing its existing portfolio companies;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auditing, accounting and legal expenses;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interest; governmental fees;</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listing our shares with a stock exchange, and expenses of issue, sale, repurchase and redemption (if any) of our securities, including expenses of conducting tender offers for the purpose of repurchasing our securities;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registering and qualifying us and our securities under federal and state securities laws and of preparing and filing registration statements and amendments for such purposes;</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communicating with stockholders, including website expenses and the expenses of preparing, printing and mailing press releases, reports and other notices to stockholders and of meetings of stockholders and proxy solicitations therefor;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43" w:name="page44"/>
    <w:bookmarkEnd w:id="43"/>
    <w:p>
      <w:pPr>
        <w:ind w:left="1300" w:right="36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preparing and filing reports to governmental officers and commissions, including, without limitation, our periodic report preparation and filing obligations with the SEC;</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expenses;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association membership dues;</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expenses and disbursements of custodians and subcustodians for all services to us (including without limitation safekeeping of funds, securities and other investments, keeping of books, accounts and records and determination of NAVs);</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expenses and disbursements of transfer agents, dividend and interest paying agents, stockholder servicing agents and registrars for all services to us;</w:t>
      </w:r>
    </w:p>
    <w:p>
      <w:pPr>
        <w:spacing w:after="0" w:line="16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expenses and disbursements, including travel expenses, incurred in connection with the marketing and promotion of the Company, including the fees, expenses and disbursements of any person with whom the Company (or the Adviser on behalf of the Company) enters into an endorsement relationship;</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expenses of the Company’s Independent Directors;</w:t>
      </w:r>
    </w:p>
    <w:p>
      <w:pPr>
        <w:spacing w:after="0" w:line="225" w:lineRule="exact"/>
        <w:rPr>
          <w:rFonts w:ascii="Times New Roman" w:cs="Times New Roman" w:eastAsia="Times New Roman" w:hAnsi="Times New Roman"/>
          <w:sz w:val="18"/>
          <w:szCs w:val="18"/>
          <w:color w:val="auto"/>
        </w:rPr>
      </w:pPr>
    </w:p>
    <w:p>
      <w:pPr>
        <w:ind w:left="1300" w:right="84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valuation and other consulting, due diligence or analytical services employed in considering and valuing our actual or prospective investments;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incurred in leveraging of our assets through a line of credit or other indebtedness or issuing and maintaining preferred stock;</w:t>
      </w:r>
    </w:p>
    <w:p>
      <w:pPr>
        <w:spacing w:after="0" w:line="225"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incurred in connection with our organization and any offering of common or preferred shares, including underwriting discounts and commissions;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non-recurring items as may arise, including expenses incurred in litigation, proceedings and claims and our obligation to indemnify our directors, officers and stockholders with respect thereto.</w:t>
      </w:r>
    </w:p>
    <w:p>
      <w:pPr>
        <w:spacing w:after="0" w:line="162" w:lineRule="exact"/>
        <w:rPr>
          <w:sz w:val="20"/>
          <w:szCs w:val="20"/>
          <w:color w:val="auto"/>
        </w:rPr>
      </w:pPr>
    </w:p>
    <w:p>
      <w:pPr>
        <w:ind w:right="1100"/>
        <w:spacing w:after="0" w:line="282" w:lineRule="auto"/>
        <w:rPr>
          <w:sz w:val="20"/>
          <w:szCs w:val="20"/>
          <w:color w:val="auto"/>
        </w:rPr>
      </w:pPr>
      <w:r>
        <w:rPr>
          <w:rFonts w:ascii="Times New Roman" w:cs="Times New Roman" w:eastAsia="Times New Roman" w:hAnsi="Times New Roman"/>
          <w:sz w:val="18"/>
          <w:szCs w:val="18"/>
          <w:color w:val="auto"/>
        </w:rPr>
        <w:t>Expenses that are reimbursable to our Adviser are submitted to the independent members of our board of directors for their approval prior to reimbursement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Policy</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Adviser and its affiliates allocate investment opportunities among client accounts on a fair and consistent basis, and do not favor any one client or account over any other. In certain cases, investment opportunities may be made by our Adviser other than on a pro rata basis. In determining to which accounts our Adviser will allocate investment opportunities, and in determining the shares to allocate to a particular account, our Adviser and its affiliates do not consider:</w:t>
      </w:r>
    </w:p>
    <w:p>
      <w:pPr>
        <w:spacing w:after="0" w:line="180"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fees earned from accounts or the fact that certain accounts may pay performance-based fees;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compensation payable to portfolio managers based on the performance of certain accounts;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particular clients to send business to or otherwise benefit our Adviser in exchange for allocations;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account holders (including the fact that certain accounts may be proprietary or maintained on behalf of investment vehicles that our Adviser sponsors);</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allocations of initial public offerings, market movement generally or the performance of the shares since the execution of the order in question;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performance of accounts;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account is new to our Adviser.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 and Termination</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management agreement with our Adviser initially became effective on February 12, 2020. A discussion regarding the basis for the board’s most recent continuation of the management agreement is available in the Company’s Annual Report to stockholders for the fiscal year ended December 31, 2023, which is publicly filed with the SEC. The management agreement with our Adviser may be terminated at any time, without payment or penalty, by vote of our board of directors, by vote of a majority of our voting securities, or by our Adviser, in each case on not less than 60 days’ written notice. As required by the Investment Company Act, the management agreement with our Adviser will terminate automatically in the event of its assignment.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77" w:right="359" w:bottom="1149"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Liability of Adviser and Indemnification</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management agreement provides that our Adviser will not be liable to us in any way for any default, failure or defect in any of the securities comprising our portfolio if it has satisfied the duties and the standard of care, diligence and skill set forth in the management agreement. The management agreement further states that we will indemnify the Adviser for any losses, damages, claims, costs, charges, expenses or liabilities except to the extent such amounts result from our Adviser’s willful misfeasance, bad faith or gross negligence in the performance of its duties or by reason of the reckless disregard of its duties and obligations under the management agreement or as otherwise prohibited by applicable law. As a result, our Adviser may not be liable to us for breaches of its duty of care, diligence or skill.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following information, together with the other information contained in this prospectus, before investing in our securities. In connection with the forward-looking statements that appear in this prospectus, you should also carefully review the cautionary statement referred to above under “Cautionary Statement Concerning Forward-Looking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Investing in Banking Sector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assets will be concentrated in the banking industry, potentially exposing us to greater risks than companies that invest in multiple sectors.</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Companies in the group of industries related to banks and diversified financials are often subject to extensive governmental regulation and intervention, which may adversely affect the scope of their activities, the prices they can charge and the amount of capital they must maintain. Governmental regulation may change frequently and may have significant adverse consequences for companies in the group of industries related to banks and diversified financials, including effects not intended by such regulation. The impact of recent or future regulation in various countries on any individual financial company or on the industries as a whole cannot be predicted. A focus on community banks may make the Company more economically vulnerable in the event of a downturn in the banking industry. Community banks may face heightened risks of failure during times of economic downturns than larger banks. Community banks may also be subject to greater lending risks than larger banks.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Certain risks may impact the value of investments in the group of industries related to banks and diversified financials more severely than those of investments outside these industries, including the risks associated with companies that operate with substantial financial leverage. Companies in the group of industries related to banks and diversified financials may also be adversely affected by increases in interest rates and loan losses, decreases in the availability of money or asset valuations, credit rating downgrades and adverse conditions in other related markets.</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group of industries related to banks and diversified financials is also a target for cyber attacks and may experience technology malfunctions and disruptions. In recent years, cyber attacks and technology failures have become increasingly frequent and have caused significant losses.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specific to the bank and diversified financial group of industries also may include:</w:t>
      </w:r>
    </w:p>
    <w:p>
      <w:pPr>
        <w:spacing w:after="0" w:line="221" w:lineRule="exact"/>
        <w:rPr>
          <w:sz w:val="20"/>
          <w:szCs w:val="20"/>
          <w:color w:val="auto"/>
        </w:rPr>
      </w:pPr>
    </w:p>
    <w:p>
      <w:pPr>
        <w:ind w:left="660"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Asset quality and credit risk. </w:t>
      </w:r>
      <w:r>
        <w:rPr>
          <w:rFonts w:ascii="Times New Roman" w:cs="Times New Roman" w:eastAsia="Times New Roman" w:hAnsi="Times New Roman"/>
          <w:sz w:val="18"/>
          <w:szCs w:val="18"/>
          <w:color w:val="auto"/>
        </w:rPr>
        <w:t>When financial institutions loan money, commit to loan money or enter into a letter of credit or other contract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counterparty, they incur credit risk, or the risk of losses if their borrowers do not repay their loans or their counterparties fail to perform according to the terms of their contract. The companies in which the Company will invest offer a number of products which expose them to credit risk, including loans, leases and lending commitments, derivatives, trading account assets and assets held-for-sale. Financial institutions allow for and create loss reserves against credit risks based on an assessment of credit losses inherent in their credit exposure (including unfunded credit commitments). This process, which is critical to their financial results and condition, requires difficult, subjective and complex judgments, including forecasts of economic conditions and how these economic predictions might impair the ability of their borrowers to repay their loans. As is the case with any such assessments, there is always the chance that the financial institutions in which the Company invests will fail to identify the proper factors or that they will fail to accurately estimate the impacts of factors that they identify. Failure to identify credit risk factors or the impact of credit factors may result in increased non-performing assets, which will result in increased loss reserve provisioning and reduction in earnings. Poor asset quality can also affect earnings through reduced interest income which can impair a bank’s ability to service debt obligations or to generate sufficient income for equity holders. Bank failure may result due to inadequate loss reserves, inadequate capital to sustain credit losses or reduced earnings due to non-performing assets. The Company will not have control over the asset quality of the financial institutions in which the Company will invest, and these institutions may experience substantial increases in the level of their non-performing assets which may have a material adverse impact on the Company’s investments.</w:t>
      </w:r>
    </w:p>
    <w:p>
      <w:pPr>
        <w:spacing w:after="0" w:line="183"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Capital risk. </w:t>
      </w:r>
      <w:r>
        <w:rPr>
          <w:rFonts w:ascii="Times New Roman" w:cs="Times New Roman" w:eastAsia="Times New Roman" w:hAnsi="Times New Roman"/>
          <w:sz w:val="18"/>
          <w:szCs w:val="18"/>
          <w:color w:val="auto"/>
        </w:rPr>
        <w:t>A bank’s capital position is extremely important to its overall financial condition and serves as a cushion against losses.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banking regulators have established specific capital requirements for regulated banks. Federal banking regulators proposed amended regulatory capital regulations in response to the Dodd-Frank Act and the international capital and liquidity requirements set forth by the Basel Committee on Banking Supervision (“Basel III”) protocols which would impose even more stringent capital requirements. In the event that a regulated bank falls below certain capital adequacy standards, it may become subject to regulatory intervention including, but not limited to, being placed into a FDIC-administered receivership or conservatorship. The regulatory provisions under which the regulatory authorities act are intended to protect depositors. The deposit insurance fund and the banking system are not intended to protect shareholders or other investors in other securities issued by a bank or its holding company. The effect of inadequate capital can have a potentially adverse consequence on the institution’s financial condition, its ability to operate as a going concern and its ability to operate as a regulated financial institution and may have a material adverse impact on the Company’s investments.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149" w:gutter="0" w:footer="0" w:header="0"/>
        </w:sectPr>
      </w:pPr>
    </w:p>
    <w:bookmarkStart w:id="45" w:name="page46"/>
    <w:bookmarkEnd w:id="45"/>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Earnings risk. </w:t>
      </w:r>
      <w:r>
        <w:rPr>
          <w:rFonts w:ascii="Times New Roman" w:cs="Times New Roman" w:eastAsia="Times New Roman" w:hAnsi="Times New Roman"/>
          <w:sz w:val="18"/>
          <w:szCs w:val="18"/>
          <w:color w:val="auto"/>
        </w:rPr>
        <w:t>Earnings are the primary means for financial institutions to generate capital to support asset growth, to provide for loan losses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support their ability to pay dividends to shareholders. The quantity as well as the quality of earnings can be affected by excessive or inadequately managed credit risk that may result in losses and require additions to loss reserves, or by high levels of market risk that may unduly expose an institution’s earnings to volatility in interest rates. The quality of earnings may also be diminished by undue reliance on extraordinary gains, nonrecurring events, or favorable tax effects. Future earnings may be adversely affected by an inability to forecast or control funding and operating expenses, net interest margin compression improperly executed or ill-advised business strategies, or poorly managed or uncontrolled exposure to other risks. Deficient earnings can result in inadequate capital resources to support asset growth or insufficient cash flow to meet the financial institution’s near-term obligations. Under certain circumstances, this may result in the financial institution being required to suspend operations or the imposition of a cease-and-desist order by regulators which could potentially impair the Company’s investments.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Management risk. </w:t>
      </w:r>
      <w:r>
        <w:rPr>
          <w:rFonts w:ascii="Times New Roman" w:cs="Times New Roman" w:eastAsia="Times New Roman" w:hAnsi="Times New Roman"/>
          <w:sz w:val="18"/>
          <w:szCs w:val="18"/>
          <w:color w:val="auto"/>
        </w:rPr>
        <w:t>The ability of management to identify, measure, monitor and control the risks of an institution’s activities and to ensure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institution’s safe, sound and efficient operation in compliance with applicable laws and regulations are critical. Depending on the nature and scope of an institution’s activities, management practices may need to address some or all of the following risks: credit, market, operating, reputation, strategic, compliance, legal, liquidity and other risks. The Company will not have direct or indirect control over the management of the financial institutions in which the Company will invest and, given the Company’s long-term investment strategy, it is likely that the management teams and their policies may change. The inability of management to operate their financial institution in a safe, sound and efficient manner in compliance with applicable laws and regulations, or changes in management of financial institutions in which the Company invests, may have an adverse impact on the Company’s investment.</w:t>
      </w:r>
    </w:p>
    <w:p>
      <w:pPr>
        <w:spacing w:after="0" w:line="18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Litigation risk. </w:t>
      </w:r>
      <w:r>
        <w:rPr>
          <w:rFonts w:ascii="Times New Roman" w:cs="Times New Roman" w:eastAsia="Times New Roman" w:hAnsi="Times New Roman"/>
          <w:sz w:val="18"/>
          <w:szCs w:val="18"/>
          <w:color w:val="auto"/>
        </w:rPr>
        <w:t>Financial institutions face significant legal risks in their businesses, and the volume of claims and amount of damages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penalties claimed in litigation and regulatory proceedings against financial institutions remain high. Substantial legal liability or significant regulatory action against the companies in which the Company invests could have material adverse financial effects or cause significant reputational harm to these companies, which in turn could seriously harm their business prospects. Legal liability or regulatory action against the companies in which the Company invests could have material adverse financial effects on the Company and adversely affect the Company’s earnings and book value.</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Market risk. </w:t>
      </w:r>
      <w:r>
        <w:rPr>
          <w:rFonts w:ascii="Times New Roman" w:cs="Times New Roman" w:eastAsia="Times New Roman" w:hAnsi="Times New Roman"/>
          <w:sz w:val="18"/>
          <w:szCs w:val="18"/>
          <w:color w:val="auto"/>
        </w:rPr>
        <w:t>The financial institutions in which the Company will invest are directly and indirectly affected by changes in market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risk generally represents the risk that values of assets and liabilities or revenues will be adversely affected by changes in market conditions. Market risk is inherent in the financial instruments associated with the operations and activities including loans, deposits, securities, short-term borrowings, long-term debt, trading account assets and liabilities and derivatives of the financial institutions in which the Company will invest. Market risk includes, but is not limited to, fluctuations in interest rates, equity and futures prices, and changes in the implied volatility of interest rates, equity and futures prices and price deterioration or changes in value due to changes in market perception or actual credit quality of the issuer. Accordingly, depending on the instruments or activities impacted, market risks can have wide ranging, complex adverse effects on the operations and overall financial condition of the financial institutions in which the Company will invest as well as adverse effects on the Company’s results from operations and overall financial condition.</w:t>
      </w:r>
    </w:p>
    <w:p>
      <w:pPr>
        <w:spacing w:after="0" w:line="18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Monetary policy risk. </w:t>
      </w:r>
      <w:r>
        <w:rPr>
          <w:rFonts w:ascii="Times New Roman" w:cs="Times New Roman" w:eastAsia="Times New Roman" w:hAnsi="Times New Roman"/>
          <w:sz w:val="18"/>
          <w:szCs w:val="18"/>
          <w:color w:val="auto"/>
        </w:rPr>
        <w:t>Monetary policies have had, and will continue to have, significant effects on the operations and results of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There can be no assurance that a particular financial institution will not experience a material adverse effect on its net interest income in a changing interest rate environment. Factors such as the liquidity of the global financial markets, and the availability and cost of credit may significantly affect the activity levels of customers with respect to the size, number and timing of transactions. Fluctuation in interest rates, which affect the value of assets and the cost of funding liabilities, are not predictable or controllable, may vary and may impact economic activity in various regions.</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The group of industries related to banks and diversified financials, including the banking sector, is extremely competitive, and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that the competitive pressures will increase. Merger activity in the financial services industry has resulted in and is expected to continue to result in, larger institutions with greater financial and other resources that are capable of offering a wider array of financial products and services. The group of industries related to banks and diversified financials has become considerably more concentrated as numerous financial institutions have been acquired by or merged into other institutions. The majority of financial institutions in which the Company will invest will be relatively small with significantly fewer resources and capabilities than larger institutions; this size differential puts them at a competitive disadvantage in terms of product offering and access to capital. Technological advances and the growth of e-commerce have made it possible for non-financial institutions and non-bank financial institutions to offer products and services that have traditionally been offered by banking and other financial institutions. It is expected that the cross-industry competition and inter-industry competition will continue to intensify and may be adverse to the financial institutions in which the Company invests.</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873" w:right="339" w:bottom="1440" w:gutter="0" w:footer="0" w:header="0"/>
        </w:sectPr>
      </w:pPr>
    </w:p>
    <w:bookmarkStart w:id="46" w:name="page47"/>
    <w:bookmarkEnd w:id="46"/>
    <w:p>
      <w:pPr>
        <w:ind w:left="660"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Regulatory risk. </w:t>
      </w:r>
      <w:r>
        <w:rPr>
          <w:rFonts w:ascii="Times New Roman" w:cs="Times New Roman" w:eastAsia="Times New Roman" w:hAnsi="Times New Roman"/>
          <w:sz w:val="18"/>
          <w:szCs w:val="18"/>
          <w:color w:val="auto"/>
        </w:rPr>
        <w:t>Financial institutions, including community banks, are subject to various state and federal banking regulations that impact 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conduct business, including but not limited to how they obtain funding, their ability to operate and the value of the Company’s investments. Changes to these regulations could have an adverse effect on their operations and operating results and the Company’s investments. The Company expects to make long-term investments in financial institutions that are subject to various state and federal regulations and oversight. Congress, state legislatures and the various bank regulatory agencies frequently introduce proposals to change the laws and regulations governing the banking industry in response to the Dodd-Frank Act, Consumer Financial Protection Bureau (the “CFPB”) rulemaking or otherwise. The likelihood and timing of any proposals or legislation and the impact they might have on the Company’s investments in financial institutions affected by such changes cannot be determined and any such changes may be adverse to the Company’s investments. Ownership of the stock of certain types of regulated banking institutions may subject the Company to additional regulations. Investments in banking institutions and transactions related to the Company’s investments may require approval from one or more regulatory authorities. If the Company were deemed to be a bank holding company or thrift holding company, bank holding companies or thrift holding companies that invest in the Company would be subject to certain restrictions and regulations.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invest in equity and debt securities issued by banks, subjecting us to unique risks.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to invest in securities issued by banks that qualify as Tier 1 or Tier 2 capital for bank regulatory capital purposes. These investments may consist primarily of regulatory capital securities, preferred equity as well as subordinated debt, convertible securities (including contingent convertible securities) and, to a lesser extent, common equity.</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Equity, unlike debt securities, does not have a stated maturity and it is uncertain when, if ever, we will receive our invested amounts or expected returns on such investments. During our holding period, the only source of investment income on such common equity securities may be dividend income or valuation gains. New financial products continue to be developed, and we may invest in any products that may be developed to the extent that such investment is consistent with our business plan.</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Certain of these securities, particularly debt securities and certain hybrid capital instruments, may be long-dated in nature and may contain provisions that enable the issuing institution to defer payment of interest or dividends without resulting in bankruptcy or default. Furthermore, even though an institution has the financial capacity to make such payments, regulatory approval may be withheld to make such payment, and in the absence of such approval, the issuing institution will not be able to make such interest or dividend payment to us. The longer-term nature of these instruments limits the liquidity of these instruments and may increase the risk of holding these investments.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Investments in holding companies generally subject investors to increased risks because holding companies generally hold all their assets in their subsidiaries and are dependent on distributions from their subsidiaries to service their interest obligations and for ultimate principal repayment. In the event of a default or a bankruptcy, holders of securities issued by holding companies may suffer from increased losses or lower recoveries and may be subordinated to securities issued directly by the holding company’s subsidiaries.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of our investments are subject to liquidity risk, but we may face higher liquidity risk if we invest in debt obligations and other securities that are unrated and issued by banks that have no corporate rating.</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All of our investments are subject to liquidity risk, however, we are likely to invest in debt obligations that are unrated and that are issued by banks that have no corporate rating by a nationally recognized statistical rating organization. In such cases, there may not be an active market for these securities and our investments may be subject to significant liquidity risk in the event we are required to sell such investments. The assets in which we invest may not be publicly rated by any rating agency, and may have greater credit and liquidity risks than investment-grade corporate obligations that are publicly rated.</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to manage a portfolio of securities, focused on the banking sector, which would make us more economically vulnerable in the event of a downturn in the banking industry.</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portfolio normally consists of preferred equity, subordinated debt, regulatory capital relief securities, debt securities, credit-linked notes and common equity investments in U.S. and foreign domiciled banks. These investments are subject to the risk factors affecting the banking industry, and that could cause a general market decline in the value of bank stocks. Individual banks, as well as the banking industry in general, may be adversely affected by negative economic and market conditions throughout the United States or in the local economies in which banks operate, including negative conditions caused by recent disruptions in the financial markets. In addition, changes in trade, monetary and fiscal policies and laws, including interest rate policies of the Board of Governors of the Federal Reserve System, may have an adverse impact on banks’ loan portfolios and allowances for loan losses. As a result, we may experience higher rates of default with respect to our bank investments in the event of a downturn in the banking industry. Also, losses could occur in individual investments held by us because of specific circumstances related to each bank. These factors could have a material adverse effect on our financial condition, results of operations or liquidity.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A large number of banks may fail during times of significant economic stress.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According to data from the FDIC, since 1934, banks and thrifts have failed at an annual rate of 0.34%, with peak cycle one-year failure rates of 3.32% in 1989 (S&amp;L crisis), 2.05% in 2010 (Great Recession) and 0.54% in each of 1937 and 1938 (Great Depression). Bank failure means the closing of a bank by a federal or state banking regulatory agency, generally because the bank is unable to meet its obligations to depositors and others. However, despite the low percentage of banks that have failed compared to the number of banks in the U.S. during the relevant time period, during periodic times of significant economic stress, bank earnings decline and a significant number of banks may fail. For instance, during the savings and loan crisis during the 1980s through 1992, there were a total of 2,870 failures out of 14,364 FDIC-insured banks in existence on December 31, 1980. From January 1, 2008 through December 9, 2020, which includes the most recent financial crisis, there were 549 failures, most of which were community banks, out of approximately 8,534 FDIC-insured banks in existence on December 31, 2007, with the highest one-year failure rate of 3.32% in 1989 for the savings and loan crisis and 2.05% in 2010 for the most recent financial crisis. The number of failed community banks since 2007 was highest in certain regions in which real estate values declined disproportionately more than the national average, including Florida, Georgia, Illinois and California.</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According to the FDIC Quarterly Banking Profile dated March 31, 2024, 63 of 4,672 FDIC-insured banks were included on the FDIC’s list of “Problem Institutions.” While historically, only a small fraction of banks on the list of “Problem Institutions” fail and only 8 FDIC-insured banks failed in 2017, as of December 31, 2017 (representing an approximate annualized failure rate of only 0.14%, which is similar to the average annual rate of default for Baa3 Corporate Credit since 1934), some level of additional bank failure is likely. We intend to invest the majority of our portfolio in institutions that are currently paying dividends or interest on their securities, that have the ability to pay dividends or interest on the securities they issue, and/or that are not a party to regulatory enforcement actions that would limit or hinder their payment of dividends or interest or otherwise demonstrate that they are in troubled condition. We believe that such institutions are unlikely to be included in the FDIC’s list of “Problem Institutions” and are less likely to fail than many of their peers. Nevertheless, it is possible that some portion of the community banks in which we invest may fail, particularly if the U.S. economy stagnates or another financial crisis occurs. If we invest in banks that fail, we are likely to lose most or all of our investment in such institutions.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expect to manage a portfolio of securities, focused on the bank market, with investments in community banks whose business is subject to greater lending risks than larger banks.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Community banks have different lending risks than larger banks. They provide services to their local communities. Their ability to diversify their economic risks is limited by their own local markets and economies. They lend primarily to small to medium-sized businesses, professionals and individuals which may expose them to greater lending risks than those of banks that are lending to larger, better-capitalized businesses with longer operating histories. They manage their credit exposure through careful monitoring of loan applicants and loan concentrations in particular industries, and through loan approval and review procedures. They have established evaluation processes designed to determine the adequacy of their allowances for loan losses. Although these evaluation processes use historical and other objective information, the classification of loans and the establishment of loan losses is an estimate based on experience, judgment and expectations regarding their borrowers, the economies in which they and their borrowers operate, as well as the judgment of their regulators. We cannot assure you that their loan loss reserves will be sufficient to absorb future loan losses or prevent a material adverse effect on their business,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Banking Regulations and Banking Investments Affecting Our Business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summary does not purport to be a comprehensive description of all of the federal and state statutes and regulations which govern U.S. banking institutions that may be relevant to a decision to invest in the Company. The statutes or regulations discussed are only brief summaries of those provisions which are, in their entirety, complex and subject to interpretation. Further, the statutes or regulations governing the U.S. banking system and the interpretation thereof are subject to change. In addition, it does not purport to deal with all of the consequences applicable to investors in regulated financial institutions. Each prospective investor is strongly urged to consult its own legal advisors with respect to the consequences under applicable regulatory regimes governing banking institutions and investors therein of the purchase and ownership of common stock in the Company.</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banking institutions in which we will invest are subject to substantial regulations that could adversely affect their ability to operate and the value of our investments.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invest substantially all of our assets in banks and their holding companies and therefore our portfolio investments are subject to existing and potential new regulations that may be adverse to them. Banking institutions, including banks and savings and loan associations, holding companies thereof, and their subsidiaries and affiliates (collectively, “banking institutions”) are highly regulated entities that are subject to extensive regulatory and legal restrictions and limitations and to supervision, examination and enforcement by state and federal regulatory authorities. In addition, the banking crisis in the United States that began in 2007 has resulted in increased regulations, and we anticipate that further regulations will be implemented in the future. The laws and regulations affecting banks, and the interpretations thereof, are subject to material changes, and any such changes may adversely impact portfolio investments and could result in the Company facing material losses or having to divest some or all of its investments under adverse market conditions. As a result of the extensive federal and state restrictions and limitations, supervision and enforcement, banking institutions have less operational flexibility and are generally subject to greater regulatory risks than companies in other industries that are less regulated.</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Numerous and Extensive Regulations. There are various federal statutes that regulate U.S. banking institutions, including, the Bank Holding Company Act of 1956, the Federal Deposit Insurance Act, the Federal Reserve Act, the National Bank Act, the Home Owners’ Loan Act of 1933 (the “HOLA”), the Securities Act, the Securities Exchange Act of 1934 (the “Exchange Act”), the Investment Advisers Act and the Investment Company Act. These federal statutes have been amended, often materially, over the years and may continue to be amended in the future, and the consequences of such future amendments may be materially adverse to the Company’s investments or the financial services industry in general. In addition to these various federal statutes, federal regulatory agencies, including among others the Federal Reserve Board, the Office of the Comptroller of the Currency (the “OCC”), the FDIC and the CFPB, together in certain cases with state banking regulatory agencies (individually, a “Regulatory Agency” or, collectively, the “Regulatory Agencies”), have adopted regulations and guidelines which are subject to interpretation, and which continue to be amended and revised and such amendments and revisions or a change in interpretation of existing regulations or guidelines may be materially adverse to the Company’s portfolio companies or the financial services industry in general. Much of the regulatory framework that has been developed is intended to protect depositors, the FDIC and the banking system in general and, as such, stockholders in such regulated institutions may be disadvantaged, in some cases materially, by amendments and revisions to such statutes, regulations or guidelines, or interpretations thereof, or by the enforcement of such statutes and regulations by Regulatory Agencies.</w:t>
      </w:r>
    </w:p>
    <w:p>
      <w:pPr>
        <w:sectPr>
          <w:pgSz w:w="11900" w:h="16838" w:orient="portrait"/>
          <w:cols w:equalWidth="0" w:num="1">
            <w:col w:w="11240"/>
          </w:cols>
          <w:pgMar w:left="320" w:top="877" w:right="339" w:bottom="32"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9" w:name="page50"/>
    <w:bookmarkEnd w:id="49"/>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Adverse consequences, including without limitation civil penalties, fines, suspension or termination of deposit insurance, may result in the event that any banking institution fails to comply with applicable rules or regulations. These rules and regulations are complex and are subject to interpretation and may be subject to change, which imposes compliance risk on the entities that are subject to these rules and may be adverse to the Company.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banking institutions are subject to various quantitative judgments by Regulatory Agencies, which may include subjective judgments regarding credit risk, interest rate and liquidity risk, operational risk and other factors, including subjective judgments on the “safety” or “soundness” of an institution.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Adequacy Requirements and Regulatory Capital Relief Securities.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Capital Adequacy Requirements. Banking institutions are required to meet certain capital adequacy guidelines or rules that involve assessments of their assets and liabilities, including contingent and off-balance sheet items and other items which may be based on subjective inputs, as determined by the Regulatory Agencies. The Federal Reserve Board has established minimum capital adequacy requirements that are calculated in relation to assets and various off-balance sheet exposures. The Dodd-Frank Act imposes more stringent capital requirements on bank holding companies and savings and loan holding companies by, among other things, applying consolidated capital requirements to savings and loan holding companies, imposing leverage ratios on bank holding companies and savings and loan holding companies and prohibiting new trust preferred issuances from counting as Tier 1 capital. In addition, in response to the Dodd-Frank Act requirements and the Basel III protocols, the Regulatory Agencies have proposed more stringent capital requirements that, if adopted in their current form, would apply to community banks. These restrictions may significantly limit the future capital strategies of community banks.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Non-compliance with capital adequacy requirements may result in limitations on operations or other orders, which may be materially adverse to the financial institutions in which we invest. If a depository institution fails to meet certain capital adequacy standards or requirements (such institution is referred to as an “undercapitalized institution” if it is not well capitalized or adequately capitalized), the appropriate Regulatory Agency may be required by law to take one or more actions with respect to such undercapitalized institution. These actions may include requiring the institution to issue new shares, merge with another depository institution, restrict the rates of interest such institution pays on deposits, restrict asset growth, terminate certain activities or forcing it to divest of certain or all of its subsidiaries, dismiss certain directors or officers, place the depository institution into an FDIC-administered receivership or conservatorship or take any other action that, in the Regulatory Agency’s judgment, will resolve the problems of the institution at the least possible loss to the FDIC.</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Regulatory Capital Relief Securities Risk. The Company’s investments in regulatory capital relief securities are subject to several risks. Where regulators feel the scale, scope of spirit of a bank’s regulatory capital relief strategy has become overly aggressive, they might enforce stricter regulation that makes the strategy more costly or impractical for the bank. Under the terms governing the Company’s investments or potential investments in regulatory capital relief securities, it is expected that adverse regulatory developments may result in the bank being able to terminate the Company’s regulatory capital relief securities investments early, which subjects the Company to reinvestment risk. Another risk relates to the inherent information asymmetry in such regulatory capital relief securities investments, whereby the bank selling the regulatory capital relief securities normally would have better knowledge of those assets than the Company and, as result, may only make higher risk assets available for investment. Finally, there is a risk of deterioration of the loan portfolio due to poor underwriting of the bank or extrinsic factors such as weak economic conditions that could adversely affect the value of the regulatory capital relief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become subject to adverse current or future banking regulations.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will seek to structure our investments to avoid being regulated by various banking authorities. Therefore, we do not currently expect to be regulated by any state or federal banking regulatory bodies and will have significant flexibility with respect to the manner in which we operate. However, if we are deemed to have acquired control of one or more banking institutions, we would become a bank holding company subject to the Bank Holding Company Act and the regulations thereunder or a savings and loan holding company subject to the HOLA and the regulations thereunder. While the rules for bank holding companies and savings and loan holding companies vary, the Federal Reserve Board will generally find that we control a banking institution if we own 25% or more of any class of voting securities or 33% or more of the total equity (voting or non-voting) of a banking institution; or if we own 10% or more of the voting stock of the banking institution and we have representation on the board of directors of the banking institution or other indicia of control (such as control in any manner of the election of a majority of the institution’s directors, or a determination by the regulator that we have the power to direct, or directly or indirectly to exercise a controlling influence over, the management or policies of the banking institution). There is a presumption of non-control if we own or control less than 5% of the outstanding shares of any class of voting securities. If we are deemed to have acquired control of one or more banking institutions:</w:t>
      </w:r>
    </w:p>
    <w:p>
      <w:pPr>
        <w:spacing w:after="0" w:line="192"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become subject to supervision and examination by the applicable Regulatory Agencies, including the Federal Reserve Board;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Reserve Board would subject us to periodic reporting requirements applicable to bank holding companies or savings and loan holding companies;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0" w:name="page51"/>
    <w:bookmarkEnd w:id="50"/>
    <w:p>
      <w:pPr>
        <w:ind w:left="1300" w:right="40" w:hanging="644"/>
        <w:spacing w:after="0" w:line="253"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become subject to restrictions on non-banking activities (i.e. any activity other than banking or managing or controlling banks or performing services for its subsidiaries) applicable to bank holding companies and savings and loan holding companies, including restrictions on acquiring direct or indirect ownership or control of more than 5% of any class of voting securities of any company engaged in non-bank activities. We would only be permitted to engage in, or acquire an interest in companies that engage in, activities that the Federal Reserve Board has determined to be incidental to the activity of banking or managing or controlling banks to a limited extent. These restricted activities include, among other activities, owning and operating a savings association, escrow company, trust company or insurance agency; acting as an investment or financial advisor, or providing securities brokerage services; and, in the case of a financial holding company or unitary savings and loan holding company, activities that are financial in nature, incidental to financial activities or complementary to a financial activity, such as lending activities, insurance and underwriting equity securities. In addition to restrictions on permissible activities and investments, bank holding companies, financial holding companies, and their subsidiary banks are prohibited from entering into certain tying arrangements in connection with extension of credit, lease, sale of property or provision of any services should the Federal Reserve Board find the arrangement resulting in anti-competitive practices.</w:t>
      </w:r>
    </w:p>
    <w:p>
      <w:pPr>
        <w:spacing w:after="0" w:line="1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if we were deemed to be in control of a bank which is not “well capitalized” or not “well managed” as defined by the relevant Regulatory Agency, the Federal Reserve Board and certain other Regulatory Agencies would have the authority to impose various limitations or regulatory actions on us, including:</w:t>
      </w:r>
    </w:p>
    <w:p>
      <w:pPr>
        <w:spacing w:after="0" w:line="176"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pay dividends or distributions to our stockholders;</w:t>
      </w:r>
    </w:p>
    <w:p>
      <w:pPr>
        <w:spacing w:after="0" w:line="225"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forced divestiture of certain of our investments deemed by such Regulatory Agency as in danger of becoming insolvent and as posing significant risk to the undercapitalized institution;</w:t>
      </w:r>
    </w:p>
    <w:p>
      <w:pPr>
        <w:spacing w:after="0" w:line="16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provide financial support to the portfolio bank under the Federal Reserve Board’s “source of strength” doctrine when we would otherwise be disinclined to do so or when we would consider itself unable to do so, which could force us to satisfy such obligation through divesture of other assets or through raising additional funds from existing stockholders or third-party investors; and</w:t>
      </w:r>
    </w:p>
    <w:p>
      <w:pPr>
        <w:spacing w:after="0" w:line="175" w:lineRule="exact"/>
        <w:rPr>
          <w:rFonts w:ascii="Times New Roman" w:cs="Times New Roman" w:eastAsia="Times New Roman" w:hAnsi="Times New Roman"/>
          <w:sz w:val="18"/>
          <w:szCs w:val="18"/>
          <w:color w:val="auto"/>
        </w:rPr>
      </w:pPr>
    </w:p>
    <w:p>
      <w:pPr>
        <w:jc w:val="both"/>
        <w:ind w:left="1300" w:right="460" w:hanging="644"/>
        <w:spacing w:after="0" w:line="276" w:lineRule="auto"/>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imposition by the FDIC of “cross-guarantee” liability upon any commonly controlled insured depository institutions for deposit insurance losses incurred by the FDIC. A depository institution’s liability under the cross-guarantee provision is generally senior to</w:t>
      </w:r>
    </w:p>
    <w:p>
      <w:pPr>
        <w:ind w:left="1300" w:right="5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obligations to stockholders or (ii) any obligation or liability owed to any affiliate of such depository institution. Thus, portfolio companies that are insured depository institutions may be subject to such cross-guarantee liability with respect to other portfolio companies that are also insured depository institutions.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our stock by certain types of regulated institutions may subject us to additional regulations.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 bank holding company or savings and loan holding company stockholder is deemed to control us, we would be subject to the “umbrella” supervision of the Federal Reserve Board and potentially other regulatory agencies and such supervision may expose us to the regulatory burdens discussed above and to additional expenses or limitations in carrying out its investment objective, which may be materially adverse to the holders of our common stock. In the event that a bank holding company or savings and loan holding company stockholder is deemed to control us, it would have to obtain prior approval or non-objection of the Federal Reserve Board whenever the Company acquires, directly or indirectly, more than 5% of any class of voting securities of a U.S. bank or of a non-bank financial company (unless, in the case of a non-bank financial company, such bank holding company stockholders is a financial holding company). In the event that a bank holding company or savings and loan holding company stockholder controls us, we could not, without prior approval of the Federal Reserve Board, acquire more than 5% of any class of voting securities of any non-financial company, unless the bank holding company stockholder that controls us is a financial holding company; however, if each bank holding company stockholder that controls us is a financial holding company, we could make any investment in any non-financial company (but not in a bank or non-bank financial company) pursuant to the Bank Holding Company Act. If a bank holding company stockholder or savings and loan holding company controls us, then any direct or indirect investment by us in more than 5% of any class of voting securities of a foreign company (including a foreign bank) would have to comply with the provisions promulgated by the Federal Reserve Board.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banking institutions and transactions related to our portfolio investments may require approval from one or more regulatory authorities.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would be required to seek prior approval from the Federal Reserve Board in order to acquire control of more than 5% of the outstanding shares of any class of voting securities or 25% or more of the total equity (voting and non-voting) or other controlling interests of a bank, bank holding company or financial holding company. In addition, bank holding companies (but, not financial holding companies) are required to obtain approval prior to purchasing 25% or more of the total equity of a non-bank financial company.</w:t>
      </w:r>
    </w:p>
    <w:p>
      <w:pPr>
        <w:spacing w:after="0" w:line="18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would be required to seek prior approval from the Federal Reserve Board or the OCC if we proposed to acquire control of a savings and loan association or a savings and loan holding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1" w:name="page52"/>
    <w:bookmarkEnd w:id="51"/>
    <w:p>
      <w:pPr>
        <w:ind w:right="20"/>
        <w:spacing w:after="0" w:line="282" w:lineRule="auto"/>
        <w:rPr>
          <w:sz w:val="20"/>
          <w:szCs w:val="20"/>
          <w:color w:val="auto"/>
        </w:rPr>
      </w:pPr>
      <w:r>
        <w:rPr>
          <w:rFonts w:ascii="Times New Roman" w:cs="Times New Roman" w:eastAsia="Times New Roman" w:hAnsi="Times New Roman"/>
          <w:sz w:val="18"/>
          <w:szCs w:val="18"/>
          <w:color w:val="auto"/>
        </w:rPr>
        <w:t>If we were deemed to be a bank holding company or savings and loan holding company, bank holding companies or savings and loan holding companies that invest in us will be subject to certain restrictions and regulations.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we were deemed to be a bank holding company or savings and loan holding company, a bank holding company or savings and loan holding company stockholder could acquire less than 5% of any class of our stock, and less than 25% of our total equity, without Federal Reserve Board approval, provided that such bank holding company or savings and loan holding company stockholder does not control us. If we made controlling investments, directly or indirectly in a U.S. bank, then any bank holding company or savings and loan holding company stockholder that acquires more than 5% of any class of voting interests or 25% of our total equity would be required to receive prior written approval of the Federal Reserve Board before acquiring such interests. Bank holding company or savings and loan holding company stockholders that are not financial holding companies may be required to obtain prior approval from the Federal Reserve Board prior to acquiring more than 5% of any class of voting interests or 25% of our total equity if we make non-controlling or controlling investments in non-bank financial companies.</w:t>
      </w:r>
    </w:p>
    <w:p>
      <w:pPr>
        <w:spacing w:after="0" w:line="19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Each prospective investor that is or may become a bank holding company or financial holding company or savings and loan holding company is strongly urged to consult its own legal advisors with respect to the consequences under applicable regulatory regimes regarding banking institutions and investors therein of the purchase and ownership of our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FASB CECL regulations may create volatility in our earnings and the level of our allowance for credit losses.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Financial Accounting Standards Board, or FASB, has issued a new credit impairment model, the Current Expected Credit Loss, or CECL model, which must be implemented by banks and certain other companies beginning in 2021. Under the CECL model, entities subject to the model will be required to present certain financial assets carried at amortized cost, such as loans held for investment and held-to-maturity debt securities, at the net amount expected to be collected. The measurement of expected credit losses is to be based on information about past events, including historical experience, current conditions, and reasonable and supportable forecasts that affect the collectability of the reported amount. This measurement will take place at the time the financial asset is first added to the balance sheet and periodically thereafter. This differs significantly from the "incurred loss" model, which delays recognition until it is probable a loss has been incurred. CECL may create more volatility in the companies in which we invest, and this in turn could affect the value of our portfolio.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will be subject to dividend and interest rate fluctuations, and we may incur interest rate risk.</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investments are likely to include regulatory capital relief securities, preferred stock with variable dividend rates and may include debt or hybrid instruments with floating interest rates, credit-linked notes and equity and junior debt tranches issued by a CLO or similar issuer. Variable rate and floating rate investments earn interest at rates that adjust from time to time (typically monthly) based upon an index. The amount of income we receive from our investments may fluctuate based upon changes in interest rates and, in a declining and/or low interest rate environment, these investments will produce less income, which will impact our operating performance. Fixed dividend rate and interest rate investments, however, do not have adjusting rates and the relative value of the fixed cash flows from these investments may decrease as prevailing interest rates rise or increase as prevailing interest rates fall, causing potentially significant changes in our NAV. We may employ various hedging strategies to limit the effects of changes in interest rates (and in some cases credit spreads), including engaging in interest rate swaps, caps, floors and other interest rate derivative products. No strategy can completely insulate us from the risks associated with interest rate changes, and there is a risk that our strategies may provide no protection at all and will potentially compound the impact of changes in interest rates. Hedging transactions involve certain additional risks such as counterparty risk, leverage risk, the legal enforceability of hedging contracts, the early repayment of hedged transactions and the risk that unanticipated and significant changes in interest rates may cause a significant loss of basis in the instrument and a change in current period expense. We cannot assure you that we will be able to enter into hedging transactions or that such hedging transactions will adequately protect us against the foregoing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our assets will be illiquid, and their fair value may not be readily determinable.</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It is expected that a substantial portion of the securities and instruments in which the Company invests will not trade on any exchange and will be illiquid. The Company may also invest in restricted securities. Investments in restricted securities could have the effect of increasing the amount of the Company’s assets invested in illiquid securities if qualified institutional buyers are unwilling to purchase these securities.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Illiquid and restricted securities may be difficult to dispose of at a fair price at the times when the Company believes it is desirable to do so. The market price of illiquid and restricted securities generally is more volatile than that of more liquid securities, which may adversely affect the price that the Company pays for or recovers upon the sale of such securities. Illiquid and restricted securities are also more difficult to value, especially in challenging markets. The Adviser’s judgment may play a greater role in the valuation process. Investment of the Company’s assets in illiquid and restricted securities may restrict the Company’s ability to take advantage of market opportunities. To dispose of an unregistered security, the Company, where it has contractual rights to do so, may have to cause such security to be registered. A considerable period may elapse between the time the decision is made to sell the security and the time the security is registered, thereby enabling the Company to sell it. Contractual restrictions on the resale of securities vary in length and scope and are generally the result of a negotiation between the issuer and acquiror of the securities. In either case, the Company would bear market risks during that period.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ind w:right="240"/>
        <w:spacing w:after="0" w:line="258" w:lineRule="auto"/>
        <w:rPr>
          <w:sz w:val="20"/>
          <w:szCs w:val="20"/>
          <w:color w:val="auto"/>
        </w:rPr>
      </w:pPr>
      <w:r>
        <w:rPr>
          <w:rFonts w:ascii="Times New Roman" w:cs="Times New Roman" w:eastAsia="Times New Roman" w:hAnsi="Times New Roman"/>
          <w:sz w:val="18"/>
          <w:szCs w:val="18"/>
          <w:color w:val="auto"/>
        </w:rPr>
        <w:t>Certain fixed-income instruments are not readily marketable and may be subject to restrictions on resale. Fixed-income instruments may not be listed on any national securities exchange and no active trading market may exist for certain of the fixed-income instruments in which the Company will invest. Where a secondary market exists, the market for some fixed-income instruments may be subject to irregular trading activity, wide bid/ask spreads and extended trade settlement periods. In addition, dealer inventories of certain securities are at historic lows in relation to market size, which indicates a potential for reduced liquidity as dealers may be less able to “make markets” for certain fixed-income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in regulatory capital relief securities subject us to the risks of underlying bank assets.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invest in “regulatory capital relief securities” which are securities issued or structured by banks seeking capital that is treated more favorably under banking regulations than other types of capital, acquisitions and other refinancing activities. Regulatory capital relief securities are issued or structured by a bank to maintain or reduce its regulatory capital requirements by transferring certain credit risks to investors. Regulatory capital relief securities may be in the form of structured notes (e.g., credit-linked notes), convertible securities (including contingent convertible securities), and other structured products or transactions. We invest in credit-linked notes which are unsecured notes linked to loans or other assets held by a bank or other financial institution on its balance sheet. Although the credit-linked notes are tied to the underlying performance of the assets held by the bank, such credit-linked notes may not be secured by such assets and we have no direct or indirect ownership of the underlying assets. Thus, as a holder of such credit-linked notes, we would be subject to counterparty risk of the bank which issues the credit-linked notes (in addition to the risk associated with the assets themselves). To the extent the relevant bank experiences an insolvency event or goes into receivership, we may not receive payments on the credit-linked notes, or such payments may be delayed.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of Credit-linked Notes.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credit-linked note is a security structured and issued by an issuer, which may be a bank, broker or special purpose vehicle. The performance and payment of principal and interest is tied to that of a reference asset which may be a particular pool of loans, security, basket of securities, credit default swap, basket of credit default swaps, or index. The reference asset may be denominated in foreign currency. Risks of credit-linked notes include those risks associated with the underlying reference asset including but not limited to market risk, interest rate risk, credit risk, default risk and foreign currency risk. In the case of a credit-linked notes created with credit default swaps, the structure will be “funded” such that the par amount of the security will represent the maximum loss that could be incurred on the investment and no leverage is introduced. An investor in a credit-linked note also bears counterparty risk or the risk that the issuer of the credit-linked note will default or become bankrupt and not make timely payment of principal and interest of the structured security. Should the issuer default or declare bankruptcy, the credit-linked note holder may not receive any compensation. In return for these risks, the credit linked note holder receives a higher yield. As with most derivative instruments, valuation of a credit-linked note may be difficult due to the complexity of the security and the reference asset.</w:t>
      </w:r>
    </w:p>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currently invests in credit-linked notes that are structured as unsecured notes linked to loans or other assets held by a bank or other financial institution on its balance sheet. Although the credit-linked notes are tied to the underlying performance of the assets held by the bank, such credit-linked notes may not be secured by such assets and we have no direct or indirect ownership of the underlying assets. Thus, as a holder of such credit-linked notes, we would be subject to counterparty risk of the bank which issues the credit-linked notes (in addition to the risk associated with the assets themselves). To the extent the relevant bank experiences an insolvency event or goes into receivership, we may not receive payments on the credit-linked notes, or such payments may be delayed.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of Collateralized Loan Obligations (“CLOS”) and Collateralized Debt Obligations (“CDOS”).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CLOs and CDOs are typically privately offered and sold, and thus, are not registered under the securities laws, which means less information about the security may be available as compared to publicly offered securities and only certain institutions may buy and sell them. As a result, investments in CLOs and CDOs may be characterized by the Company as illiquid securities. An active dealer market may exist for CLOs and CDOs that can be resold in Rule 144A transactions, but there can be no assurance that such a market will exist or will be active enough for the Company to sell such securities. In addition to the typical risks associated with fixed-income securities and asset-backed securities, CDOs carry other risks including, but not limited to: (i) the possibility that distributions from collateral securities will not be adequate to make interest or other payments; (ii) the risk that the collateral may default, decline in value or quality, or be downgraded by a rating agency; (iii) the Company may invest in tranches of CDOs that are subordinate to other tranches, diminishing the likelihood of payment; (iv) the structure and complexity of the transaction and the legal documents could lead to disputes among investors regarding the characterization of proceeds; (v) risk of forced “fire sale” liquidation due to technical defaults such as coverage test failures; and (vi) the CDO’s manager may perform poorly.</w:t>
      </w:r>
    </w:p>
    <w:p>
      <w:pPr>
        <w:spacing w:after="0" w:line="1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Additional Risks Related to Investments in CLOs. </w:t>
      </w:r>
      <w:r>
        <w:rPr>
          <w:rFonts w:ascii="Times New Roman" w:cs="Times New Roman" w:eastAsia="Times New Roman" w:hAnsi="Times New Roman"/>
          <w:sz w:val="18"/>
          <w:szCs w:val="18"/>
          <w:color w:val="auto"/>
        </w:rPr>
        <w:t>The CLOs and other CDOs in which the Company may invest are Structured Products.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Structured Products bear risks of the underlying assets and are subject to counterparty risk.</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may have the right to receive payments only from the structured product, and generally does not have direct rights against the issuer or the entity that sold the assets to be securitized. While certain Structured Products enable the investor to acquire interests in a pool of securities without the brokerage and other expenses associated with directly holding the same securities, investors in Structured Products generally pay their share of the structured product’s administrative and other expenses. Although it is difficult to predict whether the prices of assets underlying Structured Products will rise or fall, these prices (and, therefore, the prices of Structured Products) will be influenced by the same types of political and economic events that affect issuers of securities and capital markets generally. If the issuer of a structured product uses shorter-term financing to purchase longer-term securities, the issuer may be forced to sell its securities at below-market prices if it experiences difficulty in obtaining short-term financing, which may adversely affect the value of the Structured Products owned by the Company.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77" w:right="359" w:bottom="1149" w:gutter="0" w:footer="0" w:header="0"/>
        </w:sectPr>
      </w:pPr>
    </w:p>
    <w:bookmarkStart w:id="53" w:name="page54"/>
    <w:bookmarkEnd w:id="53"/>
    <w:p>
      <w:pPr>
        <w:ind w:right="120"/>
        <w:spacing w:after="0" w:line="256" w:lineRule="auto"/>
        <w:rPr>
          <w:sz w:val="20"/>
          <w:szCs w:val="20"/>
          <w:color w:val="auto"/>
        </w:rPr>
      </w:pPr>
      <w:r>
        <w:rPr>
          <w:rFonts w:ascii="Times New Roman" w:cs="Times New Roman" w:eastAsia="Times New Roman" w:hAnsi="Times New Roman"/>
          <w:sz w:val="18"/>
          <w:szCs w:val="18"/>
          <w:color w:val="auto"/>
        </w:rPr>
        <w:t>Certain structured products may be thinly traded or have a limited trading market. Structured Products are typically privately offered and sold. As a result, investments in Structured Products may be characterized by the Company as illiquid securities. In addition to the general risks associated with fixed-income securities discussed herein, Structured Products carry additional risks, including, but not limited to: (i) the possibility that distributions from collateral securities will not be adequate to make interest or other payments; (ii) the quality of the collateral may decline in value or default; (iii) the possibility that the investments in Structured Products are subordinate to other classes or tranches thereof; and (iv) the complex structure of the security may not be fully understood at the time of investment and may produce disputes with the issuer or unexpected investment results.</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are subject to risks associated with the bankruptcy or insolvency of an issuer or borrower of a loan underlying a Structured Product that we hold or of an underlying asset held by or reference asset of an instrument vehicle in which we invest (including regulatory capital relief securities).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event of a bankruptcy or insolvency of an issuer or borrower of a loan underlying a Structured Product that we hold or of an underlying asset held by or a reference asset of a regulatory capital relief security, CLO or other investment vehicle in which we invest, a court or other governmental entity may determine that our claims or those of the relevant investment vehicle are not valid or not entitled to the treatment we expected when making our initial investment decision.</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Various laws enacted for the protection of debtors may apply to the underlying assets and reference assets in our investment portfolio. The information in this and the following paragraph represents a brief summary of certain points only, is not intended to be an extensive summary of the relevant issues and is applicable with respect to U.S. issuers and borrowers only. The following is not intended to be a summary of all relevant risks. Similar avoidance provisions to those described below are sometimes available with respect to non-U.S. issuers or borrowers, and there is no assurance that this will be the case which may result in a much greater risk of partial or total loss of value in that underlying asset.</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 court in a lawsuit brought by an unpaid creditor or representative of creditors of an issuer or borrower of underlying assets or reference assets, such as a trustee in bankruptcy, were to find that such issuer or borrower did not receive fair consideration or reasonably equivalent value for incurring the indebtedness constituting such underlying assets and, after giving effect to such indebtedness, the issuer or borrower (1) was insolvent; (2) was engaged in a business for which the remaining assets of such issuer or borrower constituted unreasonably small capital; or (3) intended to incur, or believed that it would incur, debts beyond our ability to pay such debts as they mature, such court could decide to invalidate, in whole or in part, the indebtedness constituting the underlying assets as a fraudulent conveyance, to subordinate such indebtedness to existing or future creditors of the issuer or borrower or to recover amounts previously paid by the issuer or borrower in satisfaction of such indebtedness. In addition, in the event of the insolvency of an issuer or borrower of underlying assets or reference assets, payments made on such underlying or reference assets could be subject to avoidance as a “preference” if made within a certain period of time (which may be as long as one year under U.S. Federal bankruptcy law or even longer under state laws) before insolvency.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Securities and Currency Risk.</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adoption of new international banking and insurance guidelines may cause uncertainty or disruptions in the global banking industry. Adverse conditions in the global banking industry and credit markets may adversely impact the value of our investments to the extent we make investments in global financial institutions. Investments in securities of foreign issuers involve special risks not usually associated with investing in securities of U.S. companies, including political and economic considerations, such as greater risks of expropriation and nationalization, confiscatory taxation, the potential difficulty of repatriating funds, social, political and economic instability and adverse diplomatic developments; the possibility of the imposition of withholding or other taxes on dividends, interest, capital gain or other income; the small size of the securities markets in such countries and the low volume of trading, resulting in potential lack of liquidity and in price volatility; fluctuations in the rate of exchange between currencies and costs associated with currency conversion; and certain government policies that may restrict the Company’s investment opportunities. In addition, there may be different types of, and lower quality, information available about a foreign company than a U.S. company. There is also less regulation, generally, of the securities markets in many foreign countries than there is in the United States, and such markets may not provide the same protections available in the United States. Corporate governance standards may be lower in foreign markets. With respect to certain countries there may be the possibility of political, economic or social instability, the imposition of trading controls, import duties or other protectionist measures, various laws enacted for the protection of creditors, greater risks of nationalization or diplomatic developments which could materially adversely affect the Company’s investments in those countries. The Company’s investment in foreign countries may also be subject to withholding or other taxes, which may be significant and may reduce the Company’s returns.</w:t>
      </w:r>
    </w:p>
    <w:p>
      <w:pPr>
        <w:spacing w:after="0" w:line="19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Brokerage commissions, custodial services and other costs relating to investment in international securities markets may be more expensive than in the United States. In addition, clearance and settlement procedures may be different in foreign countries and, in certain markets, such procedures have been unable to keep pace with the volume of securities transactions, thus making it difficult to conduct such transactions.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Derivatives transactions may limit our income or result in losses.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derivative investments have risks, including the imperfect correlation between the value of such instruments and the underlying asset, rate or index, which creates the possibility that the loss on such instruments may be greater than the gain in the value of the underlying asset, rate or index; the loss of principal; the possible default of the other party to the transaction; and illiquidity of the derivative investments. If a counterparty becomes bankrupt or otherwise fails to perform its obligations under a derivative contract due to financial difficulties, the Company may experience significant delays in obtaining any recovery under the derivative contract in a bankruptcy or other reorganization proceeding, or may not recover at all. In addition, in the event of the insolvency of a counterparty to a derivative transaction, the derivative contract would typically be terminated at its fair market value. If the Company is owed this fair market value in the termination of the derivative contract and its claim is unsecured, the Company will be treated as a general creditor of such counterparty, and will not have any claim with respect to the underlying security. Certain of the derivative investments in which the Company may invest may, in certain circumstances, give rise to a form of financial leverage, which may magnify the risk of owning such instruments. The ability to successfully use derivative investments depends on the ability of the Adviser to predict pertinent market movements, which cannot be assured. In addition, amounts paid by the Company as premiums and cash or other assets held in margin accounts with respect to the Company’s derivative investments would not be available to the Company for other investment purposes, which may result in lost opportunities for gain.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instruments and techniques that the Company may principally use include:</w:t>
      </w:r>
    </w:p>
    <w:p>
      <w:pPr>
        <w:spacing w:after="0" w:line="221"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Futures. </w:t>
      </w:r>
      <w:r>
        <w:rPr>
          <w:rFonts w:ascii="Times New Roman" w:cs="Times New Roman" w:eastAsia="Times New Roman" w:hAnsi="Times New Roman"/>
          <w:sz w:val="18"/>
          <w:szCs w:val="18"/>
          <w:color w:val="auto"/>
        </w:rPr>
        <w:t>A futures contract is a standardized agreement to buy or sell a specific quantity of an underlying instrument at a specific price 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future time. The value of a futures contract tends to increase and decrease in tandem with the value of the underlying instrument. Depending on the terms of the particular contract, futures contracts are settled through either physical delivery of the underlying instrument on the settlement date or by payment of a cash settlement amount on the settlement date. A decision as to whether, when and how to use futures involves the exercise of skill and judgment and even a well-conceived futures transaction may be unsuccessful because of market behavior or unexpected events. In addition to the derivatives risks discussed above, the prices of futures can be highly volatile, using futures can lower total return, and the potential loss from futures can exceed the Company’s initial investment in such contracts.</w:t>
      </w:r>
    </w:p>
    <w:p>
      <w:pPr>
        <w:spacing w:after="0" w:line="183"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8"/>
          <w:szCs w:val="18"/>
          <w:b w:val="1"/>
          <w:bCs w:val="1"/>
          <w:color w:val="auto"/>
        </w:rPr>
        <w:t>Covered Calls on Bank Equity Securities and Other Option Transactions</w:t>
      </w:r>
      <w:r>
        <w:rPr>
          <w:rFonts w:ascii="Times New Roman" w:cs="Times New Roman" w:eastAsia="Times New Roman" w:hAnsi="Times New Roman"/>
          <w:sz w:val="18"/>
          <w:szCs w:val="18"/>
          <w:color w:val="auto"/>
        </w:rPr>
        <w:t>. There are several risks associated with transactions in options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For example, there are significant differences between the securities and options markets that could result in an imperfect correlation between these markets, causing a given covered call option transaction not to achieve its objectives. A decision as to whether, when and how to use covered calls (or other options) on bank equity securities involves the exercise of skill and judgment, and even a well-conceived transaction may be unsuccessful because of market behavior or unexpected events. The use of options may require the Company to sell portfolio securities at inopportune times or for prices other than current market values, may limit the amount of appreciation the Company can realize on an investment, or may cause the Company to hold a security it might otherwise sell. As the writer of a covered call option on bank equity securities, the Company forgoes, during the option’s life, the opportunity to profit from increases in the market value of the security covering the call option above the exercise price of the call option, but has retained the risk of loss should the price of the underlying security decline. Although such loss would be offset in part by the option premium received, in a situation in which the price of a particular bank equity security on which the Company has written a covered call option declines rapidly and materially or in which prices in general on all or a substantial portion of the stocks on which the Company has written covered call options decline rapidly and materially, the Company could sustain material depreciation or loss in its net assets to the extent it does not sell the underlying securities (which may require it to terminate, offset or otherwise cover its option position as well). The writer of an option has no control over the time when it may be required to fulfill its obligation as a writer of the option. Once an option writer has received an exercise notice, it cannot effect a closing purchase transaction in order to terminate its obligation under the option and must deliver the underlying security at the exercise price.</w:t>
      </w:r>
    </w:p>
    <w:p>
      <w:pPr>
        <w:spacing w:after="0" w:line="1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can be no assurance that a liquid market will exist when the Company seeks to close out an option position. Reasons for the absence of a liquid secondary market for exchange-traded options include the following: (i) there may be insufficient trading interest; (ii) restrictions may be imposed by an exchange on opening transactions or closing transactions or both; (iii) trading halts, suspensions or other restrictions may be imposed with respect to particular classes or series of options; (iv) unusual or unforeseen circumstances may interrupt normal operations on an exchange; (v) the trading facilities of an exchange or the Options Clearing Corporation (the “OCC”) may not be adequate to handle current trading volume; or (vi) the relevant exchange could, for economic or other reasons, decide or be compelled at some future date to discontinue the trading of options (or a particular class or series of options). If trading were discontinued, the secondary market on that exchange (or in that class or series of options) would cease to exist. However, outstanding options on that exchange that had been issued by the OCC as a result of trades on that exchange would continue to be exercisable in accordance with their terms. The Company’s ability to terminate OTC options may be more limited than with exchange-traded options and may involve the risk that counterparties participating in such transactions will not fulfill their obligations. If the Company were unable to close out a covered call option that it had written on a bank equity security, it would not be able to sell the underlying security unless the option expired without exercise.</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hours of trading for options may not conform to the hours during which the underlying securities are traded. To the extent that the options markets close before the markets for the underlying securities, significant price and rate movements can take place in the underlying markets that cannot be reflected in the options markets. Call options are marked to market daily and their value will be affected by changes in the value of and dividend rates of the underlying common stocks, an increase in interest rates, changes in the actual or perceived volatility of the stock market and the underlying common stocks and the remaining time to the options’ expiration. Additionally, the exercise price of an option may be adjusted downward before the option’s expiration as a result of the occurrence of certain corporate events affecting the underlying bank equity security, such as extraordinary dividends, stock splits, merger or other extraordinary distributions or events. A reduction in the exercise price of an option would reduce the Company’s capital appreciation potential on the underlying security.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5" w:name="page56"/>
    <w:bookmarkEnd w:id="55"/>
    <w:p>
      <w:pPr>
        <w:spacing w:after="0" w:line="254" w:lineRule="auto"/>
        <w:rPr>
          <w:sz w:val="20"/>
          <w:szCs w:val="20"/>
          <w:color w:val="auto"/>
        </w:rPr>
      </w:pPr>
      <w:r>
        <w:rPr>
          <w:rFonts w:ascii="Times New Roman" w:cs="Times New Roman" w:eastAsia="Times New Roman" w:hAnsi="Times New Roman"/>
          <w:sz w:val="18"/>
          <w:szCs w:val="18"/>
          <w:color w:val="auto"/>
        </w:rPr>
        <w:t>Limitation on Covered Call Writing Risk. The number of covered call options on bank equity securities the Company can write is limited by the number of shares of the corresponding common stock the Company holds. Furthermore, the Company’s covered call options on bank equity securities and other options transactions will be subject to limitations established by each of the exchanges, boards of trade or other trading facilities on which such options are traded. These limitations govern the maximum number of options in each class which may be written or purchased by a single investor or group of investors acting in concert, regardless of whether the options are written or purchased on the same or different exchanges, boards of trade or other trading facilities or are held or written in one or more accounts or through one or more brokers. As a result, the number of covered call options on bank equity securities that the Company may write or purchase may be affected by options written or purchased by it and other investment advisory clients of the Adviser. An exchange, board of trade or other trading facility may order the liquidation of positions found to be in excess of these limits, and it may impose certain other sanctions.</w:t>
      </w:r>
    </w:p>
    <w:p>
      <w:pPr>
        <w:spacing w:after="0" w:line="1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Swaps. </w:t>
      </w:r>
      <w:r>
        <w:rPr>
          <w:rFonts w:ascii="Times New Roman" w:cs="Times New Roman" w:eastAsia="Times New Roman" w:hAnsi="Times New Roman"/>
          <w:sz w:val="18"/>
          <w:szCs w:val="18"/>
          <w:color w:val="auto"/>
        </w:rPr>
        <w:t>A swap contract is an agreement between two parties pursuant to which the parties exchange payments at specified dates on the basis of a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notional amount, with the payments calculated by reference to specified securities, indexes, reference rates, currencies or other instruments. Most swap agreements provide that when the period payment dates for both parties are the same, the payments are made on a net basis (i.e., the two payment streams are netted out, with only the net amount paid by one party to the other). The Company’s obligations or rights under a swap contract entered into on a net basis will generally be equal only to the net amount to be paid or received under the agreement, based on the relative values of the positions held by each counterparty. Swap agreements are particularly subject to counterparty credit, liquidity, valuation, correlation and leverage risk. Certain standardized swaps are now subject to mandatory central clearing requirements and others are now required to be exchange-traded. While central clearing and exchange-trading are intended to reduce counterparty and liquidity risk, they do not make swap transactions risk-free. Swaps could result in losses if interest rate or foreign currency exchange rates or credit quality changes are not correctly anticipated by the Company or if the reference index, security or investments do not perform as expected. The Company’s use of swaps may include those based on the credit of an underlying security, commonly referred to as “credit default swaps.” Where the Company is the buyer of a credit default swap contract, it would be entitled to receive the par (or other agreed-upon) value of a referenced debt obligation from the counterparty to the contract only in the event of a default or similar event by a third party on the debt obligation. If no default occurs, the Company would have paid to the counterparty a periodic stream of payments over the term of the contract and received no benefit from the contract. When the Company is the seller of a credit default swap contract, it receives the stream of payments but is obligated to pay an amount equal to the par (or other agreed-upon) value of a referenced debt obligation upon the default or similar event of that obligation. The use of credit default swaps can result in losses if the Company’s assumptions regarding the creditworthiness of the underlying obligation prove to be incorrect. The Company will “cover” its swap positions by segregating an amount of cash and/or liquid securities as required by the 1940 Act and applicable SEC interpretations and guidance from time to time. In cases where the Company is the writer, or seller, of a swap agreement, the segregated amount will be equal to the full, un-netted amount of the Company’s contractual obligation (the “notional amount”).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Use of Leverage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operate with leverage, which may adversely affect our return on our assets and may reduce cash available distribution.</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will continue to operate with leverage, which we may incur in the form of recourse and non-recourse collateralized financings, private or public offerings of debt, warehouse facilities, secured and unsecured bank credit facilities, repurchase agreements or other borrowings.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currently have a bank loan to finance investments as a form of leverage. We also have authority to issue preferred stock or engage in reverse repurchase agreements to finance investments. Leverage exaggerates the effects of market downturns or upturns on the NAV and market value of our common stock, as well as on distributions to holders of common stock. Leverage can also increase the volatility of the Company’s NAV, and expenses related to leverage can reduce the Company’s income. In the case of leverage, if our assets decline in value so that applicable asset coverage requirements for any borrowings or preferred stock would not be met, the Company may be prevented from paying distributions, which could jeopardize its qualification for pass-through tax treatment, make it liable for excise taxes and/ or force it to sell portfolio securities at an inopportune time.</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noted above, the Company utilizes a revolving credit agreement with Texas Capital Bank, N.A. (“Texas Capital Bank”) and two additional lenders (the “Credit Facility”). The terms of the Credit Facility were last amended in May 2022, to provide for a maximum borrowing amount of $70 million and a fee of Secured Overnight Funding Rate (“SOFR”) + 2.61%, with a maturity date of May 27, 2025 (which may be extended until May 27, 2026). The Credit Facility contains customary covenants, negative covenants and default provisions, including covenants that limit our ability to incur additional debt or consolidate or merge into or with any person, other than as permitted, or sell, lease or otherwise transfer, directly or indirectly, all or substantially all of its assets. Prior to the May 2022 amendment, the Credit Facility had been with a syndicate of financial institutions that was led by Texas Capital Bank, it had a five-year term maturing in May 2022, was priced at a term of LIBOR +2.35%, and permitted us to borrow up to $62 million. As of June 30, 2024, $58.8 million was committed and drawn on the Credit Facility.</w:t>
      </w:r>
    </w:p>
    <w:p>
      <w:pPr>
        <w:spacing w:after="0" w:line="1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Although we have no present intention to do so, we may also operate with leverage by issuing preferred stock. Any form of leverage may include contractual terms that are unfavorable to our stockholders, including limitations on our ability to declare and distribute dividends. Such terms will likely also contain restrictive covenants that impose asset coverage requirements, voting right requirements and restrictions on the composition of our assets, and limit the use of our investment techniques and strategies, any or all of which may have an adverse effect on us and our ability to pay dividends. If we are unable to repay or refinance maturing debt on the date it is due, we may be forced to seek other sources of capital to repay the maturing debt that may be expensive or dilutive to existing stockholders. To the extent that we are unable to find additional financing or extend or refinance our debt when it becomes due and we do not have sufficient cash to redeem such debt, we may be required to liquidate assets that are illiquid and difficult to sell for fair value and the sale of assets may occur at a time when it would not otherwise be desirable to do so. Failure to meet any contractual term set forth by our lenders, including maturity, may result in a default, a forced sale of assets or reduced operational flexibility, or a significant loss or complete loss for our stockholders.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6" w:name="page57"/>
    <w:bookmarkEnd w:id="56"/>
    <w:p>
      <w:pPr>
        <w:ind w:right="380"/>
        <w:spacing w:after="0" w:line="282" w:lineRule="auto"/>
        <w:rPr>
          <w:sz w:val="20"/>
          <w:szCs w:val="20"/>
          <w:color w:val="auto"/>
        </w:rPr>
      </w:pPr>
      <w:r>
        <w:rPr>
          <w:rFonts w:ascii="Times New Roman" w:cs="Times New Roman" w:eastAsia="Times New Roman" w:hAnsi="Times New Roman"/>
          <w:sz w:val="18"/>
          <w:szCs w:val="18"/>
          <w:color w:val="auto"/>
        </w:rPr>
        <w:t>Leverage is a speculative technique that may adversely affect our earnings or book value. If the return on assets acquired with borrowed funds or other leveraged proceeds does not exceed the cost of the leverage and our cost of operations, the use of leverage could cause us to lose money.</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Successful use of leverage depends on our Adviser’s ability to predict or hedge correctly cash flows generated by our assets, which depends upon default rates, interest rates, refinancing and prepayment rates, timing of recoveries and various other factors. Our actual use of leverage may vary depending on our ability to obtain credit facilities and the lender’s and rating agencies’ estimate of the stability of our cash flows. The return on our assets and cash available for distribution to our stockholders may be reduced by changes in market conditions that cause the cost of these financings to increase relative to the income that can be derived from our assets. Defaults and lower than expected recoveries, as well as delays in recoveries on defaults, could rapidly erode our equity. Debt service payments will reduce cash flow available for distributions to stockholders. In addition, lenders from whom we may borrow money or holders of our debt securities will have claims on our assets that are superior to the claims of our common stockholders, and we may grant a security interest in our assets when we undertake leverage. In the case of a liquidation event, those lenders or note holders would receive proceeds before our common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arrangements with lenders or preferred stockholders may limit our ability to make dividend payments to our stockholders.</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depend on the ability of our operations to generate positive cash-flow measured as the positive difference between the yield on our assets and the cost of our funds. Because we use leverage to increase our return on equity, we may be subject to contractual operational limitations, including limitations on our ability to make dividends to our stockholders. If, as a consequence of these various limitations and restrictions, we are unable to generate sufficient funds for distributions from our assets or we are not in compliance with the terms of our debt agreements or any new series of preferred stock, we may not be able to make expected dividend payments.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depend upon key personnel of our Adviser, ArrowMark Partners and their affiliates</w:t>
      </w:r>
    </w:p>
    <w:p>
      <w:pPr>
        <w:spacing w:after="0" w:line="225"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We are an externally managed investment company, and therefore we do not have any internal management capacity or employees. We depend on the diligence, expertise and business relationships of the senior management of our Adviser and its affiliates to achieve our investment objective. We expect that our Adviser will evaluate, negotiate, structure, close and monitor our investments in accordance with the terms of the management agreement.</w:t>
      </w:r>
    </w:p>
    <w:p>
      <w:pPr>
        <w:spacing w:after="0" w:line="15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Adviser is an affiliate of ArrowMark Partners and, in turn, depends upon access to the investment professionals and other resources of ArrowMark Partners and its affiliates to fulfill its obligations to us under the management agreement. Our Adviser also depends upon ArrowMark Partners to obtain access to deal flow generated by the professionals of ArrowMark Partners. ArrowMark Partners and its affiliates also provide our Adviser with resources necessary to fulfill these obligations, including by making available to the Adviser experienced investment professionals and access to the senior investment personnel of ArrowMark Partners for purposes of evaluating, negotiating, structuring, closing and monitoring our investments.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depend upon the senior professionals of ArrowMark Partners and its affiliates to maintain relationships with potential sources of investment opportunities, and we intend to rely to a significant extent upon these relationships to provide us with potential investment opportunities. We cannot assure you that these individuals will continue to directly or indirectly provide investment advice to us. If these individuals, including the members of our investment committee, do not maintain their existing relationships with our affiliates, maintain existing relationships or develop new relationships with other sources of investment opportunities, we may not be able to grow our investment portfolio. In addition, individuals with whom the senior professionals of ArrowMark Partners or its affiliates have relationships are not obligated to provide us with investment opportunities. Therefore, we cannot assure you that such relationships will generate investment opportunities for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Adviser may rely on assumptions that prove to be incorrect.</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will employ strategies which depend upon the reliability, accuracy and analyses of our Adviser’s analytical models. To the extent such models (or the assumptions underlying them) do not prove to be correct, we may not perform as anticipated, which could result in material losses. All models ultimately depend upon the judgment of the investment professionals and the assumptions embedded in the models. To the extent that, with respect to any investment, the judgment or assumptions are incorrect, we can suffer material losses. The models that our management team uses to assess and control our risk exposures reflect assumptions about the degrees of correlation or lack thereof among prices of various asset classes or other market indicators, and in times of market stress or other unforeseen circumstances previously uncorrelated indicators may become correlated, or conversely previously correlated indicators may move in different directions. These types of market movements may at times limit the effectiveness of any hedging strategies that we may employ and cause us to incur material losses.</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Adviser and its affiliates may serve as investment adviser to other funds, investment vehicles and investors, which may create conflicts of interest not in the best interest of us or our stockholders.</w:t>
      </w:r>
    </w:p>
    <w:p>
      <w:pPr>
        <w:spacing w:after="0" w:line="16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of June 30, 2024, our Adviser and its affiliates managed $21.7 billion in assets on behalf of a broad array of institutional clients and professional asset allocators across alternative credit and capacity constrained equity strategies, as well commercial real estate. Our Adviser may advise clients in addition to us in the future. Our Adviser and its affiliates intend to allocate investment opportunities and collective expenses among their respective clients fairly and equitably and in accordance with their allocation policies.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We may generate low or negative rates of return on capital, and we may not be able to execute our business plans as quickly as expected, if at all.</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anticipate that it may take up to six months to utilize fully the net proceeds received from any future offering; however, we may take longer to utilize such proceeds fully. This six-month period and any additional delay may result from a lack of attractive investment opportunities or from competition with other market participants for investments in the banking sector. We may initially invest the proceeds from any future offering in cash, cash equivalents, securities issued or guaranteed by the U.S. government or its instrumentalities or agencies, high-quality, short-term money market instruments, short-term debt securities, certificates of deposit, bankers’ acceptances and other bank obligations, commercial paper or other liquid fixed income securities. Because these temporary investments may generate lower projected returns than our core business strategy, we may experience lower returns during this period, which may result in low distributions in this initial period, or possibly no distributions at all.</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model depends to a significant extent upon strong referral relationships, and our inability to maintain or develop these relationships, as well as the failure of these relationships to generate investment opportunities, could adversely affect our business.</w:t>
      </w:r>
    </w:p>
    <w:p>
      <w:pPr>
        <w:spacing w:after="0" w:line="16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We expect that our Adviser and its affiliates will maintain their relationships with intermediaries, financial institutions, investment bankers, commercial bankers, financial advisors, attorneys, accountants, consultants and other individuals within their networks, and we will rely to a significant extent upon these relationships to provide us with potential investment opportunities. If our Adviser fails to maintain its existing relationships or develop new relationships with sources of investment opportunities, we will not be able to grow our investment portfolio. In addition, individuals with whom our Adviser and its affiliates have relationships are not obligated to provide us with investment opportunities, and, therefore, there is no assurance that such relationships will generate investment opportunities for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unable to source investments effectively, we may be unable to achieve our investment objective.</w:t>
      </w:r>
    </w:p>
    <w:p>
      <w:pPr>
        <w:spacing w:after="0" w:line="22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Adviser’s ability to identify, evaluate and invest in suitable securities that meet our investment criteria. Accomplishing this result on a cost-effective basis is largely a function of our Adviser’s marketing capabilities, management of the investment process, ability to provide efficient services and access to financing sources on acceptable terms. Failure to manage our future growth effectively could have a material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may fluctuate from period to period.</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could experience fluctuations in our operating results from one fiscal period to the next due to a number of factors, including the return on our investments expenses, variations in and the timing of the recognition of realized and unrealized gains or losses, the degree to which we encounter competition in our markets and general economic conditions. Restrictions and provisions in any future credit facilities, debt securities or other leverage instruments may also limit our ability to make distributions. As a result of these factors, results for any period should not be relied upon as being indicative of performance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make distributions to our stockholders on a quarterly basis.</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If the amount of any distribution exceeds our net investment income or capital gains, then all or a portion of such distribution could constitute a return of capital to stockholders rather than dividend income for tax purposes. A return of capital distribution has the effect of lowering stockholders’ basis in their shares, which will result in higher tax liability when the shares are sold, even if such shares have not increased in value or have, in fact, lost value. In addition to the tax consequences, such a distribution is a return of a shareholder’s own investment, but distributed net of Company expenses, and will decrease the funds available for investment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Adviser is unable to manage our investments effectively, we may be unable to achieve our investment objective.</w:t>
      </w:r>
    </w:p>
    <w:p>
      <w:pPr>
        <w:spacing w:after="0" w:line="22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ability to manage and grow our business. This depends, in turn, on our Adviser’s ability to identify, invest in and monitor companies that meet our investment criteria. The achievement of our investment objectives on a cost-effective basis will depend upon our Adviser’s execution of our investment process, its ability to provide competent, attentive and efficient services to us and our access to leverage on acceptable terms. Our Adviser has substantial responsibilities under the management agreement. Our future success will depend on the continued service of the senior management team of our Adviser and the personnel of its affiliates who are made available to our Adviser. These persons are engaged in other business activities, which could distract them, divert their time and attention or otherwise cause them not to dedicate a significant portion of their time to our investments, which could slow our rate of investment. Any failure to manage our business and our future growth effectively could have a material adverse effect on our business, financial condition, results of operations and cash flows. In addition, to the extent that our assets continue to grow, our Adviser may have to source additional personnel, and to the extent it is unable to source qualified individuals, our growth may be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spacing w:after="0" w:line="282" w:lineRule="auto"/>
        <w:rPr>
          <w:sz w:val="20"/>
          <w:szCs w:val="20"/>
          <w:color w:val="auto"/>
        </w:rPr>
      </w:pPr>
      <w:r>
        <w:rPr>
          <w:rFonts w:ascii="Times New Roman" w:cs="Times New Roman" w:eastAsia="Times New Roman" w:hAnsi="Times New Roman"/>
          <w:sz w:val="18"/>
          <w:szCs w:val="18"/>
          <w:color w:val="auto"/>
        </w:rPr>
        <w:t>We may not replicate the historical results achieved by other entities managed or sponsored by members of our investment committee or by ArrowMark Partners or its affiliates.</w:t>
      </w:r>
    </w:p>
    <w:p>
      <w:pPr>
        <w:spacing w:after="0" w:line="16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Our primary focus in making investments generally differs from that of many of the investment funds, accounts or other investment vehicles that are or have been managed by members of our investment committee or sponsored by ArrowMark Partners or its affiliates. In addition, investors in our common stock do not acquire an interest in any such investment funds, accounts or other investment vehicles that are or have been managed by members of our investment committee or sponsored by ArrowMark Partners or its affiliates. We cannot assure you that we will replicate the historical results achieved by members of the investment committee, and we caution you that our investment returns could be substantially lower than the returns achieved by them in prior periods. Additionally, all or a portion of the prior results may have been achieved in particular market conditions which may never be repeated. Moreover, current or future market volatility and regulatory uncertainty may have an adverse impact on our future performance.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investment portfolio is recorded at fair value, with our board of directors having final responsibility for overseeing, reviewing and approving, in good faith, our estimate of fair value and, as a result, there is uncertainty as to the value of our investments.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Unlike publicly traded common stock which trades on national exchanges, there is no central place or exchange for some of the Company’s investments to trade. Due to the lack of centralized information and trading, the valuation of loans or fixed-income instruments may carry more risk than that of common stock. Uncertainties in the conditions of the financial market, unreliable reference data, lack of transparency and inconsistency of valuation models and processes may lead to inaccurate asset pricing. In addition, other market participants may value securities differently than the Company. As a result, the Company may be subject to the risk that when an instrument is sold in the market, the amount received by the Company is less than the value of such loans or fixed income instruments carried on the Company’s books.</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Stockholders should recognize that valuations of illiquid assets involve various judgments and consideration of factors that may be subjective. As a result, the NAV of the Company, as determined based on the fair value of its investments, may vary from the amount ultimately received by the Company from its investments.</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will determine fair value of its assets and liabilities in accordance with valuation procedures adopted by its Board of Directors. The Company may utilize the services of one or more regionally or nationally recognized independent valuation firms to help it determine the value of each investment for which a market price is not available. Our Board of Directors will also review valuations of such investments provided by the Adviser. To the extent we invest in securities for which market quotations are readily available, such market value will be used to value those securities. If a market value cannot be obtained or if the Adviser determines that the value of a security as so obtained does not represent a fair value as of the measurement date (due to a significant development subsequent to the time its price is determined or otherwise), fair value shall be determined pursuant to the methodologies established by the Board of Directors. In making these determinations, the Company may engage an independent valuation firm from time to time to assist in determining the fair value of our investments. The methods for valuing these investments may include fundamental analysis,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compete with a number of other prospective investors for desirable investment opportunities.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While we believe that there is presently a general lack of investment competition for investment opportunities in the community banking sector from institutional investors including publicly traded investment companies, hedge funds and private equity funds, such investors do exist. In addition, competition among institutional investors and investment managers for any bank related investments may increase significantly. While the competitive landscape for investors in regulatory capital relief securities has broadened modestly over the last ten years, the core investor base remains relatively concentrated due to the relatively high barriers to entry facing new investors. In addition to established competitors, new competitors may be established at any time. Increasing competitive conditions may adversely impact our ability to meet our business objectives, which in turn could adversely impact our ability to meet debt service obligations or make dividend payments to our stockholders. Some of our competitors may have a lower cost for borrowing funds than us or greater access to funding sources not available to us.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in certain circumstances permitted by law, change our business strategy and operational policies without stockholder consent, which may result in a determination to pursue riskier business activities.</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With majority consent of our board of directors, we may change our business strategy for how we invest in bank sector opportunities at any time without the consent of our stockholders (unless stockholder consent is specifically required by the Investment Company Act), which could result in our acquiring subsidiaries or assets that are different from, and possibly riskier than, the strategy described in this prospectus. For example, we could change our strategy to focus to a greater extent on investing in common stock rather than preferred stock, subordinated debt and convertible securities (including contingent convertible securities). However, we will endeavor to notify investors of any such material change in business strategy and operational policies no later than our subsequent semi-annual or annual report, as applicable, filed with the SEC. A change in our business strategy may increase our exposure to interest rate, mark to market risks or other risks. Our board of directors will determine our operational policies and may amend or revise our policies, including our policies with respect to our investments, operations, indebtedness, capitalization and distributions or approve transactions that deviate from these policies, without a vote of, or notice to, our stockholders (unless stockholder consent is specifically required by the Investment Company Act). Operational policy changes could adversely affect the market price of our common stock and our ability to make distributions to our stockholders.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Laws and regulations may prohibit the banks in which we invest from paying interest and/or dividends to us.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Dividend payments by banks are subject to legal and regulatory limitations imposed by applicable state and federal bank regulatory agencies. For instance, banks will be prohibited from paying cash dividends to their stockholders or holding company parents to the extent that any such payment would reduce the bank’s capital below required capital levels. To the extent these regulatory capital requirements are increased, banks may find it more difficult to declare and pay dividends on the preferred stock they have issued and, to the extent that such preferred stock is non-cumulative, may be more reluctant to declare such dividends. Regulatory approval may also be required for a bank to declare a dividend if the total of all dividends declared by it in any calendar year exceeds the total of the bank’s net profits for that year combined with its retained net profits of the preceding two years, less any required transfer to surplus or a fund for the retirement of any preferred stock. The ability of banks to pay dividends will also depend upon other factors, including their debt and equity structure, earnings and financial condition, need for capital, and other factors, including economic conditions, and tax considerations. To the extent we invest in the holding companies of banks, the only funds available for the payment of dividends on the capital stock of the holding company may be the cash and cash equivalents held by the holding company, dividends paid by the bank to the holding company and borrowings. The banks in which we invest may be constrained in their ability to pay dividends by these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regulatory changes could occur that may adversely affect us.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U.S. and non-U.S. government agencies and other regulators regularly adopt new regulations and legislatures enact new statutes that affect the investments held by the Company, the strategies used by the Company or the level of regulation or taxation that applies to the Company. For example, the Tax Cuts and Jobs Act of 2017, among other things, significantly changed the taxation of business entities (including by significantly lowering corporate tax rates), the deductibility of interest expense, and the timing in which certain income items are recognized (potentially including, in certain cases, income from debt and other financial instruments). These statutes and regulations may impact the investment strategies, performance, costs and operations of the Company or the taxation of its shareholders.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Changes in government legislation, regulation and/or intervention may change the way the Adviser or the Company is regulated, affect the expenses incurred directly by the Company and the value of its investments and limit and/or preclude the Company’s ability to implement, or increase the Company’s costs associated with implementing, its investments strategies. Changes to tax laws and regulations may also result in certain tax consequences for the Company and/or investors. Government regulation may change frequently and may have significant adverse consequences. Moreover, government regulation may have unpredictable and unintended effects. In addition to exposing the Company to potential new costs and expenses, additional regulation or changes to existing regulation may also require changes to the Company’s investment practices. The Adviser cannot predict the effects of any new governmental regulation that may be implemented, and there can be no assurance that any new governmental regulation will not adversely affect the Company’s ability to achieve its respective investment objective.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be required to register as a commodity pool operator.</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claimed an exclusion from the definition of the term “commodity pool operator” pursuant to Regulation 4.5 under the CEA with respect to the Company. While we currently expect that our activities will remain within the scope of the exclusion, if we change our hedging and risk management strategies, we may be required to register under the CEA as a commodity pool operator, and the Adviser may be required to register under the CEA as a commodity trading adviser, each of which would increase our regulatory and compliance costs and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fluctuations caused by force majeure, terrorism or certain other events may adversely affect our performance.</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historic market risks, our performance may be adversely affected by market fluctuations resulting from certain risks which are unprecedented in nature or magnitude and therefore not amenable to existing risk management techniques which are based on modeling past events and assigning probabilities to the recurrence of those events. Such events include, without limitation, catastrophic acts of terror, imposition or declaration of martial law, mass disruption of telecommunications facilities, pandemics resulting from bio-terror attacks or outbreaks of fatal disease, cyber-terror and terrorist attacks on financial markets, exchanges and payments systems and acts of providence.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interest rates may affect our net investment income, reinvestment risk and the probability of defaults of our investments.</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Rising interest rates tend to extend the duration of securities, making them more sensitive to changes in interest rates. The value of longer-term securities generally changes more in response to changes in interest rates than shorter-term securities. As a result, in a period of rising interest rates, securities may exhibit additional volatility and may lose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Adviser and/or its Affiliates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performance is dependent on our Adviser, and we may not find a suitable replacement if the management agreement is terminated.</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Some of our executive officers are also executive officers of our Adviser or its affiliates. We have no separate facilities, employees or management and rely on our Adviser, which has significant discretion as to the implementation of our operating policies and strategies. We will depend on our Adviser and its affiliates for certain services including administrative and business advice. We are subject to the risk that our Adviser will terminate the management agreement and that no suitable replacement will be found. Investors who are not willing to rely on our Adviser or ArrowMark Partners should not invest in our common stock. The employees, systems and facilities of our Adviser and ArrowMark Partners may be utilized by other funds and companies advised by them or their affiliates. Our Advisor may not have sufficient access to such employees, systems and facilities in order to comply with its obligations under the management agreement. We believe that our success depends to a significant extent upon the experience of the executive officers, portfolio managers and employees of ArrowMark or its affiliates, whose employment is not guaranteed.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717" w:gutter="0" w:footer="0" w:header="0"/>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t>The departure or death of any of the members of senior management of our Adviser or ArrowMark Partners may adversely affect our ability to achieve our business objective; our management agreement does not require the availability to us of any particular individuals.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depend on the diligence, skill and network of business contacts of the employees of our Adviser and ArrowMark Partners and its affiliates, whose investment professionals will evaluate, negotiate, structure, close and monitor our assets. Our future success depends on the continued service of the management team of the Adviser and ArrowMark Partners and its affiliates, and that continued service is not guaranteed. The management agreement does not obligate that any particular individual’s services be made available to us. The departure, death or disability of any of the members of the management of the Adviser or ArrowMark Partners could have a material adverse effect on our ability to achieve our business objective.</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our Adviser ceases to be our manager under our management agreement, financial institutions that provided our credit facilities may not provide future financing to us.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financial institutions that will finance our investments pursuant to credit facilities or reverse repurchase agreements arranged by our Adviser may require that our Adviser serve as our manager as a condition to making continued advances to us under these credit facilities. Additionally, if our Adviser ceases to be our adviser, each of these financial institutions under these credit facilities may terminate their facility and their obligation to advance funds to us in order to finance our future investments. If our Adviser ceases to be our manager for any reason and we are not able to obtain financing under these credit facilities, our growth maybe limited and our earnings and book value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Adviser’s liability is limited under our management agreement, and we have agreed to indemnify our Adviser against certain liabilities.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our management agreement with our Adviser, its affiliates and their officers, directors, managing members, members and employees will not be liable to us, our directors, or our stockholders for acts performed in accordance with and pursuant to our management agreement, except by reason of acts constituting willful misconduct, bad faith or gross negligence, or as otherwise required by applicable law.</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our management agreement, we will indemnify our Adviser, its affiliates and their officers, directors, managing members, members, employees and certain other parties against all losses, expenses and costs or damages arising out of or in connection with actions of such indemnified party or failure to act on the part of such indemnified party all in connection with our investment activities or in respect of our management agreement or the services provided by our manager or ArrowMark Partners to us, in the absence of willful misfeasance, gross negligence or bad faith. See “Management— Management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may be potential conflicts of interest between our management or Adviser, on one hand, and the interest of our common stockholders, on the other.</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Adviser is subject to certain conflicts of interest in our management. These conflicts will arise primarily from the involvement of our Adviser and its affiliates in other activities that may conflict with our activities. Our Adviser and its affiliates engage in a broad spectrum of activities. In the ordinary course of their business activities, they may engage in activities where their interests or the interests of their clients may conflict with our interests and the interests of the holders of our common stock. Other present and future activities of our Adviser and its affiliates may give rise to additional conflicts of interest which may have a negative impact on us.</w:t>
      </w:r>
    </w:p>
    <w:p>
      <w:pPr>
        <w:spacing w:after="0" w:line="18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Adviser’s compliance department and legal department will oversee its conflict-resolution system. The program places particular emphasis on the principle of fair and equitable allocation of appropriate opportunities and of common fees and expenses to our Adviser’s clients over time. As a result of our Adviser’s allocation policies, we may not be able to invest in all opportunities that are appropriate for us and this may have the effect of reducing our potential earnings. Although our Adviser has agreed with us that it will allocate opportunities, fees and expenses among its clients pursuant to its written policies and procedures, there is no assurance that these policies and procedures will work as intended or that we will be allocated our fair share of investment opportunities over time or appropriately allocated the fees and expenses of the Adviser.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limited in our ability to conduct transactions with affiliates.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Investment Company Act imposes restrictions on transactions we can conduct with our affiliates. These restrictions prohibit us from buying or selling any security directly from or to any portfolio company of a registered investment company or private equity fund managed by ArrowMark, ArrowMark Partners or any of their respective affiliates. These restrictions also prohibit certain “joint” transactions with certain of our affiliates, which could include investments in the same portfolio company (whether at the same or different times). These limitations may limit the scope of investment opportunities that would otherwise be available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Adviser’s investment committee is not independent from its management.</w:t>
      </w:r>
    </w:p>
    <w:p>
      <w:pPr>
        <w:spacing w:after="0" w:line="22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Adviser’s investment committee is comprised exclusively of our affiliated persons, and they are the same individuals who manage our assets. The individuals comprising our Adviser’s investment committee may have inherent conflicts of interest with the holders of common stock, since they also advise other investment companies affiliated with us. We cannot guarantee that the investment opportunities provided to us will have better results than investment opportunities provided to our affiliates.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We may compete with our Adviser’s current and future investment vehicles for access to capital and assets.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Adviser and its affiliates may sponsor or manage additional investment funds in the future. Although these funds may have different business objectives and operate differently than we do, we may nonetheless compete with these funds for capital or assets or for access to the benefits that we expect our Adviser to provide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may be other conflicts of interest in our relationship with our Adviser and/or its affiliates that could negatively affect our earnings.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Adviser and/or its affiliates manage, sponsor and invest in other secured borrowings via special purpose vehicles, investment funds, hedge funds and separate accounts and may in the future sponsor additional investment funds and other investments in community banks, commercial loans, municipal debt and other targeted assets in the community banking sector, and some of the members of our board of directors and officers or members of our Adviser’s investment committee may serve as officers and/or directors of these other entities. This may give rise to conflicts of interest, including that certain assets appropriate for us may also be appropriate for one or more of these entities, and our Adviser may decide to allocate a particular opportunity other than to us. Our Adviser will often make asset purchase and sale decisions for us and any subsidiaries at the same time as asset purchase and sale decisions are being made for other affiliated entities for which our Adviser or one of our Adviser’s affiliates is the investment adviser, in which case our Adviser will face conflicts in the allocation of business opportunities. Our Adviser and/or its affiliates may also engage in additional management and investment opportunities in the future which may compete with us for business opportunities.</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restrictive covenants that would govern our potential secured borrowings may have greater limitations on the disposition and reinvestment of assets than do other accounts managed by our Adviser. This may result in dispositions and reinvestments not being able to be made on as advantageous a basis as our Adviser may be able to achieve for such other accounts and such other dispositions and reinvestments may adversely affect the price at which such assets can be sold or purchased on our behalf.</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Adviser’s management of our business is subject to the oversight of our board of directors, but our board of directors will not approve each business decision made by our Adviser.</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Adviser is authorized to follow a very broad business approach, including the selection of the amount and form of leverage we will employ. Our policies do not impose any limitations on the types of investments within the banking sector and, as a result, we cannot predict with any certainty the percentage of our assets that will be in each category. We may change our business strategy and policies for how we invest in banking-related securities without a vote of stockholders. Our board of directors will periodically review our business approach and our assets. However, our board of directors will not review each proposed purchase. In addition, in conducting periodic reviews, our board of directors will rely primarily on information provided to it by our Adviser.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Adviser may be incentivized to incur additional leverage, up to the extent permitted by regulations.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Adviser’s management fee is based on our gross assets at the end of each quarter, not net of any leverage that we incur. Our Adviser therefore may be incentivized to increase our leverage within regulatory limits in order to increase our asset value.</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Additional leverage may pose risks that could adversely affect our results of operations and our ability to declare and pay dividends. See “Leverage” and “Risk Factors—Risks Related to our Operations.”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Adviser can resign on not less than 60 days’ notice, and we may not be able to find a suitable replacement within that time, resulting in a disruption in our operations that could adversely affect our financial condition, business and results of operations.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Adviser has the right, under the management agreement, to resign at any time upon not less than 60 days’ written notice, whether we have found a replacement or not. If our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Adviser and its affiliates. Even if we are able to retain comparable management, whether internal or external, the integration of such management and their lack of familiarity with our investment objective may result in additional costs and time delays that may adversely affect our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Offerings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for our common stock may be volatile.</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following any future offering may fluctuate substantially. The price of our common stock that will prevail in the market after any future offering may be higher or lower than the price you pay and the liquidity of our common stock may be limited, in each case depending on many factors, some of which are beyond our control and may not be directly related to our operating performance. These factors include the following:</w:t>
      </w:r>
    </w:p>
    <w:p>
      <w:pPr>
        <w:spacing w:after="0" w:line="180"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portfolio of investments;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62" w:name="page63"/>
    <w:bookmarkEnd w:id="62"/>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7"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similar investment companies; our dependence on the banking sector and changes in conditions relating to that sector; our inability to deploy or invest our capital;</w:t>
      </w: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with respect to investment companies;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money or obtain additional capital;</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losing RIC status under the Code;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earnings or fluctuations in our operating results or changes in the expectations of securities analysts;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exchange-related technological disruptions.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closed-end investment companies often trade at a discount to their net asset value.</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Although our common stock is listed on the NASDAQ Global Select Market, an active trading market for our shares may not be sustained. In the absence of an active trading market for our common stock, investors may not be able to sell their common stock at or above the offering price or our NAV. Further, our issuance of common stock may have an adverse effect on prices for our common stock in the secondary market by increasing the number of common shares available, which may put downward pressure on the market price for our common stock</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Shares of closed-end investment companies have in the past frequently traded at discounts to their NAV and our common stock may also be discounted in the market. This characteristic is a risk separate and distinct from the risk that our NAV could decrease as a result of our investment activities and may be greater for investors expecting to sell their shares in a relatively short period following completion of any future offering. We cannot assure you whether our common stock will trade above, at or below our NAV. Whether investors will realize gains or losses upon the sale of our common stock will depend entirely upon whether the market price of our common stock at the time of sale is above or below the investor’s purchase price for our common stock. Because the market price of our common stock is affected by factors such as NAV, distribution levels (which are dependent, in part, on expenses), supply of and demand for our common stock, stability of distributions, trading volume of our common stock, general market and economic conditions, and other factors beyond our control, we cannot predict whether our common stock will trade at, below or above NAV or at, below or above the offering price. In addition, if shares of our common stock trade below their NAV, we will generally not be able to issue additional shares of common stock at their market price without first obtaining the approval of our stockholders and our independent directors to such issuance.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offerings of debt securities or preferred stock, which would rank senior to our common stock upon our liquidation, and future offerings of equity securities, which would dilute our existing stockholders and may be senior to our common stock for the purposes of dividend and liquidating distributions, may adversely affect the market value of our common stock.</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you purchase our common stock in any future offering, the price that you pay will be greater than the NAV per share of common stock immediately following any future offering. This discrepancy is in large part due to the expenses we will incur in connection with the consummation of any future offering. In the future, we may attempt to increase our capital resources by making offerings of debt or additional offerings of equity securities, including offerings of preferred stock, the terms of which may be determined in the discretion of our board of directors. Upon liquidation, holders of our debt securities and holders of our preferred stock and lenders with respect to other borrowings will receive a distribution of our available assets prior to the holders of our common stock. Additional equity offerings may dilute the holdings of our existing stockholders or reduce the market price of our common stock, or both. Our preferred stock, if issued, could have a preference on liquidating distributions or a preference on dividend payments that could limit our ability to make a dividend distribution to the holders of our common stock. Because our decision to issue securities in any future offering will depend on market conditions and other factors beyond our control, we cannot predict or estimate the amount, timing or nature of our future offerings. Thus, holders of our common stock bear the risk of our future offerings reducing the market value of our common stock and diluting their holdings of shares in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meet the requirements to maintain RIC status.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order to qualify as a RIC, we must be registered as a management company under the Investment Company Act at all times during each taxable year and meet an income test, a diversification/asset test and certain distribution requirements. Failure to meet the income test and the diversification/asset test requirements could result in the discontinuance of our treatment as a RIC, which would increase our tax expense and could adversely affect our NAV, results of operations and ability to distribute dividends.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be subject to corporate-level federal income tax on all of our income if we are unable to maintain RIC status under Subchapter M of the Code.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ind w:right="200"/>
        <w:spacing w:after="0" w:line="256" w:lineRule="auto"/>
        <w:rPr>
          <w:sz w:val="20"/>
          <w:szCs w:val="20"/>
          <w:color w:val="auto"/>
        </w:rPr>
      </w:pPr>
      <w:r>
        <w:rPr>
          <w:rFonts w:ascii="Times New Roman" w:cs="Times New Roman" w:eastAsia="Times New Roman" w:hAnsi="Times New Roman"/>
          <w:sz w:val="18"/>
          <w:szCs w:val="18"/>
          <w:color w:val="auto"/>
        </w:rPr>
        <w:t>If we fail to qualify for or maintain RIC status for any reason, and we do not qualify for certain relief provisions under the Code, we would be subject to corporate-level federal income tax (and any applicable state and local taxes) and our stockholders would be subject to the federal income tax rules that apply to stockholders in a regular, or “C,” corporation. The conversion from a RIC to a regular, or “C,” corporation could have a materially adverse tax impact on us and our stockholders in the taxable year in which RIC status is lost and in future taxable years. Further, if we seek to re-establish RIC status after operating as a regular, or “C,” corporation, because we will have operated as a regular corporation, we would have to distribute to our stockholders our pre-election earnings and may also be taxed on the gain in appreciated assets that we hold when we re-elect to be a RIC.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an investment in a RIC is appropriate for a Non-U.S. Stockholder will depend upon the Non-U.S. Stockholder’s particular circumstances.</w:t>
      </w:r>
    </w:p>
    <w:p>
      <w:pPr>
        <w:spacing w:after="0" w:line="22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Code section 871(k) provides certain “look-through” treatment to Non-U.S. Stockholders (as defined in “Material U.S. Federal Income Tax Considerations”), permitting interest-related dividends and short-term capital gains not to be subject to U.S. withholding tax. It should also be noted that withholding would still apply (generally at a 30% rate or lower applicable treaty rate) to the extent that distributions are from the Company’s dividend income, interest income from non-U.S. sources or foreign currency gains. </w:t>
      </w:r>
      <w:r>
        <w:rPr>
          <w:rFonts w:ascii="Times New Roman" w:cs="Times New Roman" w:eastAsia="Times New Roman" w:hAnsi="Times New Roman"/>
          <w:sz w:val="18"/>
          <w:szCs w:val="18"/>
          <w:b w:val="1"/>
          <w:bCs w:val="1"/>
          <w:color w:val="auto"/>
        </w:rPr>
        <w:t>We strongly urge you to review carefully the discussion under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U.S. Federal Income Tax Considerations” and to seek advice based on your particular circumstances from an independent tax advisor.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will determine and publish the NAV of our common stock on at least a quarterly basis and at such other times as our board of directors may determine. Our NAV equals the value of our total assets (the value of the securities held plus cash or other assets, including interest accrued but not yet received, dividends declared but not yet received), less: all of our liabilities and including (i) accrued expenses; (ii) accumulated and unpaid dividends on any outstanding preferred stock; (iii) the aggregate liquidation preference of any outstanding preferred stock; (iv) accrued and unpaid interest payments on any outstanding indebtedness; (v) the aggregate principal amount of any outstanding indebtedness; and (vi) any distributions payable on our common stock. The NAV per share of common stock equals our NAV divided by the number of outstanding shares of common stock.</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will determine fair value of its assets and liabilities in accordance with valuation procedures adopted by its Board of Directors. The Company may utilize the services of one or more regionally or nationally recognized independent valuation firms to help it determine the value of each investment for which a market price is not available. Our Board of Directors will also review valuations of such investments provided by the Adviser. To the extent we invest in securities for which market quotations are readily available, such market value will be used to value those securities. If a market value cannot be obtained or if the Adviser determines that the value of a security as so obtained does not represent a fair value as of the measurement date (due to a significant development subsequent to the time its price is determined or otherwise), fair value shall be determined pursuant to the methodologies established by the Board of Directors. In making these determinations, the Company may engage an independent valuation firm from time to time to assist in determining the fair value of our investments. The methods for valuing these investments may include fundamental analysis,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w:t>
      </w:r>
    </w:p>
    <w:p>
      <w:pPr>
        <w:spacing w:after="0" w:line="194" w:lineRule="exact"/>
        <w:rPr>
          <w:sz w:val="20"/>
          <w:szCs w:val="20"/>
          <w:color w:val="auto"/>
        </w:rPr>
      </w:pPr>
    </w:p>
    <w:p>
      <w:pPr>
        <w:ind w:left="1300" w:hanging="644"/>
        <w:spacing w:after="0" w:line="254"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for publicly-traded equity securities and equity-related securities will be determined by using readily available market quotations from the principal market, if available. For equity and equity-related securities that are freely tradable and listed on a securities exchange or over the counter market, fair value will be determined using the last sale price on that exchange or over-the-counter market on the measurement date. If the security is listed on more than one exchange, we will use the price of the exchange that we consider to be the principal exchange on which the security is traded. If a security is traded on the measurement date, then the last reported sale price on the exchange or OTC market on which the security is principally traded, up to the time of valuation, will be used. If there were no reported sales on the security’s principal exchange or OTC market on the measurement date, then the average between the last bid price and last asked price, as reported by the pricing service, will be used. We will obtain direct written broker-dealer quotations if a security is not traded on an exchange or quotations are not available from an approved pricing service.</w:t>
      </w:r>
    </w:p>
    <w:p>
      <w:pPr>
        <w:spacing w:after="0" w:line="188" w:lineRule="exact"/>
        <w:rPr>
          <w:rFonts w:ascii="Times New Roman" w:cs="Times New Roman" w:eastAsia="Times New Roman" w:hAnsi="Times New Roman"/>
          <w:sz w:val="18"/>
          <w:szCs w:val="18"/>
          <w:color w:val="auto"/>
        </w:rPr>
      </w:pPr>
    </w:p>
    <w:p>
      <w:pPr>
        <w:ind w:left="1300" w:right="60" w:hanging="644"/>
        <w:spacing w:after="0" w:line="25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equity security of a publicly traded company acquired in a private placement transaction is subject to restrictions on resale that can affect the security’s liquidity and fair value. Such securities that are convertible into publicly traded common stock or securities that may be sold pursuant to Rule 144 shall generally be valued based on the fair value of the freely tradable common stock counterpart, less an applicable discount. Generally, the discount will initially be equal to the discount at which we purchased the securities. To the extent that such securities are convertible or otherwise become freely tradable within a time frame that may be reasonably determined, an amortization schedule may be determined for the discount.</w:t>
      </w:r>
    </w:p>
    <w:p>
      <w:pPr>
        <w:spacing w:after="0" w:line="187" w:lineRule="exact"/>
        <w:rPr>
          <w:rFonts w:ascii="Times New Roman" w:cs="Times New Roman" w:eastAsia="Times New Roman" w:hAnsi="Times New Roman"/>
          <w:sz w:val="18"/>
          <w:szCs w:val="18"/>
          <w:color w:val="auto"/>
        </w:rPr>
      </w:pPr>
    </w:p>
    <w:p>
      <w:pPr>
        <w:ind w:left="1300" w:right="100" w:hanging="644"/>
        <w:spacing w:after="0" w:line="254"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utilize the services of one or more regionally or nationally recognized independent valuation firms to aid it in determining the fair value of these securities. The methods for valuing these securities may include: fundamental analysis (sales, income or earnings multiples, etc.),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 Because such valuations, and particularly valuations of private securities and private companies, are inherently uncertain, may fluctuate over short periods of time, and may be based on estimates, our determinations of fair value may differ materially from the values that would have been used if a ready market for these securities existed. Our NAV could be adversely affected if our determinations regarding the fair value of our investments were materially higher than the values that we ultimately realize upon the disposal of such securities.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4" w:name="page65"/>
    <w:bookmarkEnd w:id="64"/>
    <w:p>
      <w:pPr>
        <w:ind w:left="1300" w:right="80" w:hanging="644"/>
        <w:spacing w:after="0" w:line="254"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income securities (other than the short-term securities as described below) are valued by (i) using readily available market quotations based upon the last updated sale price or a market value from an approved pricing service generated by a pricing matrix based upon yield data for securities with similar characteristics; or (ii) by obtaining a direct written broker-dealer quotation from a dealer who has made a market in the security. A fixed income security acquired in a private placement transaction without registration is subject to restrictions on resale that can affect the security’s liquidity and fair value. Among the various factors that can affect the value of a privately placed security are (i) whether the issuing company has freely trading fixed income securities of the same maturity and interest rate (either through an initial public offering or otherwise); (ii) whether the company has an effective registration statement in place for the securities; and (iii) whether a market is made in the securities.</w:t>
      </w:r>
    </w:p>
    <w:p>
      <w:pPr>
        <w:spacing w:after="0" w:line="191" w:lineRule="exact"/>
        <w:rPr>
          <w:rFonts w:ascii="Times New Roman" w:cs="Times New Roman" w:eastAsia="Times New Roman" w:hAnsi="Times New Roman"/>
          <w:sz w:val="18"/>
          <w:szCs w:val="18"/>
          <w:color w:val="auto"/>
        </w:rPr>
      </w:pPr>
    </w:p>
    <w:p>
      <w:pPr>
        <w:ind w:left="1300" w:right="80" w:hanging="644"/>
        <w:spacing w:after="0" w:line="258"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securities, including bonds, notes, debentures and other fixed income securities and money market instruments such as certificates of deposit, commercial paper, bankers’ acceptances and obligations of domestic and foreign banks, with remaining maturities of 60 days or less, for which reliable market quotations are readily available are valued on an amortized cost basis at current market quotations as provided by an independent pricing service or principal market maker. Short-term securities normally will be valued at amortized cost unless market condition or other factors lead to a determination of fair value at a different amount.</w:t>
      </w:r>
    </w:p>
    <w:p>
      <w:pPr>
        <w:spacing w:after="0" w:line="183" w:lineRule="exact"/>
        <w:rPr>
          <w:rFonts w:ascii="Times New Roman" w:cs="Times New Roman" w:eastAsia="Times New Roman" w:hAnsi="Times New Roman"/>
          <w:sz w:val="18"/>
          <w:szCs w:val="18"/>
          <w:color w:val="auto"/>
        </w:rPr>
      </w:pPr>
    </w:p>
    <w:p>
      <w:pPr>
        <w:ind w:left="1300" w:right="40" w:hanging="644"/>
        <w:spacing w:after="0" w:line="253"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including equity investments for which there is no market, will be valued at market value pursuant to written valuation procedures adopted by our board of directors, or if a market value cannot be obtained (including with respect to classes of investments noted above) or if our Adviser determines that the value of a security as so obtained does not represent a fair value as of the measurement date (due to a significant development subsequent to the time its price is determined or otherwise), fair value shall be determined pursuant to the methodologies established by our board of directors. In making these determinations, our board of directors has engaged an independent valuation firm to assist in determining the fair value of our investments. The methods for valuing these investments may include fundamental analysis,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 We intend for such a third-party valuation firm to provide valuation advice with respect to approximately 25% of our investment portfolio each quarter and 100% at fiscal year end.</w:t>
      </w:r>
    </w:p>
    <w:p>
      <w:pPr>
        <w:spacing w:after="0" w:line="194"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Valuations of public company securities determined pursuant to fair value methodologies will be presented to our board of directors or a designated committee thereof for approval at the next regularly scheduled board meeting. See “Risk Factors—Risks Related to Our Adviser and/or its Affiliates.”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a dividend reinvestment plan for our stockholders. Our plan is an “opt out” dividend reinvestment plan. As a result, if a stockholder’s shares are registered directly with us or with a brokerage firm that participates in our dividend reinvestment plan (the “Plan”) through the facilities of the Depository Trust Company (“DTC”), and such stockholder’s account is coded for dividend reinvestment by such brokerage firm, all distributions are automatically reinvested for stockholders by Computershare Trust Company, N.A., as Plan agent (the “Plan Agent”), in additional common stock (unless a stockholder is ineligible or elects otherwise). If a stockholder opts out of the Plan, such stockholder’s account is not coded dividend reinvestment by such brokerage firm, and such stockholder receives distributions in cash. If a stockholder’s shares are registered with a brokerage firm that does not participate in the Plan through the facilities of DTC, a stockholder will need to ask its investment professional to determine what arrangements can be made to set up its account to participate in the Plan if desired, and, until such arrangements are made, a stockholder receives distributions in cash.</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case that newly issued shares of our common stock are used to implement the Plan, the number of shares of common stock to be delivered to a participating stockholder is determined by dividing the total dollar amount of the dividends payable to such stockholder by 97% of the average market prices per share of common stock at the close of regular trading on the NASDAQ Global Select Market (or such other exchange or quotation system on which the common stock is primarily traded) for the five trading days immediately prior to the valuation date fixed by our board of directors. In the case that shares repurchased on the open market are used to implement the Plan, the number of shares of common stock to be delivered to a participating stockholder is determined by dividing the total dollar amount of the dividends payable to such stockholder by the weighted average purchase price, without deduction for transaction processing fees such as brokerage commissions and other related costs, of all such shares purchased by the Plan Agent on the open market in connection with such distribution.</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Stockholders who elect not to participate in the Plan will receive all distributions payable in cash paid by check mailed directly to the stockholder of record (or, if the shares are held in street or other nominee name, then to such nominee) by Computershare Trust Company, N.A., as dividend paying agent. Participation in the Plan is completely voluntary and may be terminated or resumed at any time without penalty by giving notice in writing to, or by calling, the Plan Agent. Stockholders may elect not to participate in the Plan by notifying the Plan Agent in writing so that it is received by the Plan Agent no later than 5 days prior to the applicable dividend record date. Any such election will remain in effect until the stockholder notifies the Plan Agent in writing of the withdrawal of such election, which withdrawal must be received by the Plan Agent no later than 5 days prior to the applicable dividend record date. A stockholder that holds its shares through a broker or other nominee must make any such election or termination through its broker or nominee.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spacing w:after="0" w:line="282" w:lineRule="auto"/>
        <w:rPr>
          <w:sz w:val="20"/>
          <w:szCs w:val="20"/>
          <w:color w:val="auto"/>
        </w:rPr>
      </w:pPr>
      <w:r>
        <w:rPr>
          <w:rFonts w:ascii="Times New Roman" w:cs="Times New Roman" w:eastAsia="Times New Roman" w:hAnsi="Times New Roman"/>
          <w:sz w:val="18"/>
          <w:szCs w:val="18"/>
          <w:color w:val="auto"/>
        </w:rPr>
        <w:t>Whenever we declare a distribution payable in cash, non-participants in the Plan will receive cash, and participants in the Plan will receive the equivalent in common stock.</w:t>
      </w:r>
    </w:p>
    <w:p>
      <w:pPr>
        <w:spacing w:after="0" w:line="16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will use primarily newly-issued common stock to implement the Plan, whether our shares are trading at a premium or at a discount to NAV. However, we reserve the right to instruct the Plan Agent to purchase shares in the open market in connection with its obligations under the Plan. Such purchases may be effected through an affiliated or unaffiliated broker-dealer as selected by the Plan agent. The broker-dealer may charge transaction processing fees such as brokerage commissions and other related costs in addition to any compensation received by the Plan Agent.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cannot establish the number of shares of our common stock to be outstanding after giving effect to payment of the dividend or other distribution until the value per share at which additional shares will be issued has been determined and elections of our stockholders have been tabulated. Stockholders who do not elect to receive dividends in shares of common stock will experience dilution over time. The level of discount would depend on various factors, including the proportion of our stockholders who participate in the plan, the level of premium or discount at which our shares are trading and the amount of the dividend payable to a stockholder.</w:t>
      </w:r>
    </w:p>
    <w:p>
      <w:pPr>
        <w:spacing w:after="0" w:line="183"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The Plan Agent will maintain all stockholders’ accounts in the Plan and will furnish written confirmation of each acquisition made for the participant’s account as soon as practicable, but in no event later than 60 days after the date thereof. Shares in the account of each Plan participant will be held by the Plan Agent in non-certificated form in the Plan Agent’s name or that of its nominee, and each stockholder’s proxy will include those shares purchased or received pursuant to the Plan. The Plan Agent will forward all proxy solicitation materials to participants and vote proxies for shares held pursuant to the Plan in accordance with the instructions of the participants.</w:t>
      </w:r>
    </w:p>
    <w:p>
      <w:pPr>
        <w:spacing w:after="0" w:line="18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There will be no brokerage charges with respect to shares issued directly by us as a result of distributions payable in shares. If the participant elects to have the Plan Agent sell part or all of his or her common stock and remit the proceeds, such participant will be charged his or her pro rata share of brokerage commissions, fees and transaction costs incurred for the transaction, and the Plan Agent is entitled to deduct a $15 transaction fee. The automatic reinvestment of distributions will not relieve participants of any federal, state or local income tax that may be payable (or required to be withheld) on such distributions. The Plan proceeds to non-U.S. persons may be subject to withholding tax. See “Material U.S. Federal Income Tax Considerations.”</w:t>
      </w:r>
    </w:p>
    <w:p>
      <w:pPr>
        <w:spacing w:after="0" w:line="1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Experience under the Plan may indicate that changes are desirable. Accordingly, we reserve the right to amend or terminate the Plan if in the judgment of our board of directors such a change is warranted. We may terminate the Plan upon notice in writing mailed to each participant at least 60 days prior to the effective date of the termination. Upon any termination, the Plan Agent will cause a certificate or certificates to be issued for the full shares held by each participant under the Plan and cash adjustment for any fraction of a share of common stock at the then current market value of the common stock to be delivered to him, her or it. If preferred, a participant may request the sale of all of the common stock held by the Plan Agent in his or her Plan account in order to terminate participation in the Plan. If such participant elects in advance of such termination to have the Plan Agent sell part or all of his or her shares, the Plan Agent is authorized to deduct from the proceeds the brokerage commissions, fees and transaction costs incurred for the transaction. If a participant has terminated his or her participation in the Plan but continues to have common stock registered in his or her name, he or she may re-enroll in the Plan at any time by notifying the Plan Agent in writing at the address below. The terms and conditions of the Plan may be amended by us at any time, except when necessary or appropriate to comply with applicable law or the rules or policies of the SEC or any other regulatory authority, only by mailing to each participant appropriate written notice at least 30 days prior to the effective date thereof. The amendment shall be deemed to be accepted by each participant unless, prior to the effective date thereof, the Plan Agent receives notice of the termination of the participant’s account under the Plan. Any such amendment may include an appointment by the Plan Agent of a successor Plan Agent, subject to the prior written approval of the successor Plan Agent by us.</w:t>
      </w:r>
    </w:p>
    <w:p>
      <w:pPr>
        <w:spacing w:after="0" w:line="1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All correspondence concerning the Plan should be directed to Computershare Trust Company, N.A., 250 Royall Street, Canton, Massachusetts 02021.</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$150 million of our common stock, preferred stock, debt securities or subscription rights to purchase shares of our common stock, in one or more underwritten public offerings, at-the-market offerings, negotiated transactions, block trades, best efforts or a combination of these methods. We may sell the securities through underwriters or dealers, directly to one or more purchasers, including existing stockholders in a rights offering, through agents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if any,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named in the prospectus supplement will be underwriters of the securities offered by the prospectus supplement.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6" w:name="page67"/>
    <w:bookmarkEnd w:id="66"/>
    <w:p>
      <w:pPr>
        <w:ind w:right="160"/>
        <w:spacing w:after="0" w:line="256"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net asset value per share of our common stock at the time of the offering except (1) in connection with a rights offering to our existing stockholders, (2) offerings completed within one year of the receipt of consent of the majority of our common stockholders or (3) under such circumstances as the SEC may permit. The price at which securities may be distributed may represent a discount from prevailing market prices.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us or from purchasers of the securities, for whom they may act as agents, in the form of discounts, concessions or commissions. Our common stockholders will indirectly bear such fees and expenses as well as any other fees and expenses incurred by us in connection with any sale of securities.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We may elect to list any other class or series of securities on any exchanges, but we are not obligated to do so. We cannot guarantee the liquidity of the trading markets for any securities.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agreements that we may enter, underwriters, dealers and agents who participate in the distribution of shares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our securities offered hereby will be sold in such jurisdictions only through registered or licensed brokers or dealers.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descriptions of our securities, certain provisions of Delaware law and certain provisions of our certificate of incorporation and our bylaws are summaries and are qualified by reference to Delaware law and our certificate of incorporation and bylaws, copies of which are available from us upon request.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our board of directors (without any further vote or action by our stockholders) may cause us to issue up to 40,000,000 shares of common stock, par value $0.001 per share, and up to 10,000,000 shares of undesignated preferred stock, par value $0.001 per share. As of December 31, 2024, there are 7,120,782 shares of common stock outstanding and no shares of preferred stock outstanding. All references to “stock” or “shares” herein refer to common stock, unless otherwise indicated. Each share of common stock has equal voting, dividend, distribution and liquidation rights. The shares outstanding are, and, when issued, the shares offered by this prospectus will be, fully paid and non-assessable. Shares are not redeemable and have no preemptive, conversion or cumulative voting rights. The number of shares of common stock outstanding as of December 31, 2023 was 7,112,453.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regarding our authorized shares is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Outstanding</w:t>
            </w: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Amount Held by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(Exclusive of Amount</w:t>
            </w:r>
          </w:p>
        </w:tc>
      </w:tr>
      <w:tr>
        <w:trPr>
          <w:trHeight w:val="229"/>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the Company for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Held by the Company</w:t>
            </w:r>
          </w:p>
        </w:tc>
      </w:tr>
      <w:tr>
        <w:trPr>
          <w:trHeight w:val="23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1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 Authorized</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its Account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its Account)</w:t>
            </w:r>
          </w:p>
        </w:tc>
      </w:tr>
      <w:tr>
        <w:trPr>
          <w:trHeight w:val="210"/>
        </w:trPr>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$0.001</w:t>
            </w:r>
          </w:p>
        </w:tc>
        <w:tc>
          <w:tcPr>
            <w:tcW w:w="1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7,120,782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par value $0.001</w:t>
            </w:r>
          </w:p>
        </w:tc>
        <w:tc>
          <w:tcPr>
            <w:tcW w:w="2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10,000,000</w:t>
            </w:r>
          </w:p>
        </w:tc>
        <w:tc>
          <w:tcPr>
            <w:tcW w:w="172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Rights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held of record on all matters submitted to a vote of our stockholders. Generally, except with respect to extraordinary corporate transactions, certain amendments to our certificate of incorporation, any amendment to our bylaws, liquidation and the election and removal of directors, all matters to be voted on by our stockholders must be approved by a majority (or, in the case of election of directors, by a plurality) of the votes cast by all common stock present in person or represented by proxy. Removal of directors for cause must be approved by at least a majority of the votes entitled to be cast by our stockholders generally in the election of directors. See “—Certificate of Incorporation and Bylaws— Amendment of Our Certificate of Incorporation and Bylaws” for a discussion of approval rights with regard to such amendments.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Rights</w:t>
      </w:r>
    </w:p>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Holders of common stock share ratably (based on the number of shares of common stock held) in any dividend declared by our board of directors out of funds legally available therefor, subject to any statutory or contractual restrictions on the payment of dividends and to any restrictions on the payment of dividends imposed by the terms of any preferred stock we may issue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Preemptive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holder of common stock is entitled to preemptive, redemption or conversion rights, sinking fund or cumulative voting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Rights</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Upon our dissolution, liquidation or winding up, after payment in full of all amounts required to be paid to creditors and to the holders of preferred stock having liquidation preferences, if any, the holders of our common stock are entitled to receive an equal amount per share of all our remaining assets available for distribution.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ticker symbol “BANX.”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our certificate of incorporation, our board of directors (without any further vote or action by our stockholders) is authorized to provide for the issuance from time to time of up to 10,000,000 shares of preferred stock consisting of one or more classes or series of preferred stock. Unless required by law or by any stock exchange, if applicable, any such authorized preferred stock will be available for issuance without further action by our common stockholders. Our board of directors is authorized to fix the number of shares, the relative powers, preferences and rights, and the qualifications, limitations or restrictions applicable to each class or series thereof by resolution authorizing the issuance of such class or series. As of the date of this prospectus, no preferred stock is outstanding and we have no current plans to issue any preferred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906" w:gutter="0" w:footer="0" w:header="0"/>
        </w:sectPr>
      </w:pPr>
    </w:p>
    <w:bookmarkStart w:id="68" w:name="page69"/>
    <w:bookmarkEnd w:id="68"/>
    <w:p>
      <w:pPr>
        <w:ind w:right="160"/>
        <w:spacing w:after="0" w:line="266" w:lineRule="auto"/>
        <w:rPr>
          <w:sz w:val="20"/>
          <w:szCs w:val="20"/>
          <w:color w:val="auto"/>
        </w:rPr>
      </w:pPr>
      <w:r>
        <w:rPr>
          <w:rFonts w:ascii="Times New Roman" w:cs="Times New Roman" w:eastAsia="Times New Roman" w:hAnsi="Times New Roman"/>
          <w:sz w:val="18"/>
          <w:szCs w:val="18"/>
          <w:color w:val="auto"/>
        </w:rPr>
        <w:t>We may issue a series of preferred stock that could, depending on the terms of the series, impede or discourage an acquisition attempt or other transaction that some, or a majority, of holders of common stock might believe to be in their best interests or in which holders of common stock might receive a premium for their common stock.</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Investment Company Act requires that the total aggregate liquidation value and outstanding principal amount of all our preferred stock and debt securities not exceed 50% of the amount of our total assets (including the proceeds of preferred stock and debt securities) less liabilities and indebtedness not represented by our preferred stock and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subscription rights we may issue from time to time. Particular terms of any subscription rights we offer will be described in the prospectus supplement relating to such subscription rights. We will not offer transferable subscription rights to our stockholders at a price equivalent to less than the then current net asset value per share of common stock, taking into account underwriting commissions and discounts,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backstop or other arrangement with one or more persons pursuant to which such persons would purchase any offered securities remaining unsubscribed for after such subscription rights offering.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Our common stockholders will indirectly bear all of the expenses incurred by us in connection with any subscription rights offerings, regardless of whether any common stockholder exercises any subscription rights.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subscription rights we may issue, including the following:</w:t>
      </w:r>
    </w:p>
    <w:p>
      <w:pPr>
        <w:spacing w:after="0" w:line="225" w:lineRule="exact"/>
        <w:rPr>
          <w:sz w:val="20"/>
          <w:szCs w:val="20"/>
          <w:color w:val="auto"/>
        </w:rPr>
      </w:pPr>
    </w:p>
    <w:p>
      <w:pPr>
        <w:ind w:left="1300" w:right="60" w:hanging="644"/>
        <w:spacing w:after="0" w:line="261"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number of such subscription rights;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subscription rights may be payable;</w:t>
      </w:r>
    </w:p>
    <w:p>
      <w:pPr>
        <w:spacing w:after="0" w:line="9" w:lineRule="exact"/>
        <w:rPr>
          <w:rFonts w:ascii="Times New Roman" w:cs="Times New Roman" w:eastAsia="Times New Roman" w:hAnsi="Times New Roman"/>
          <w:sz w:val="18"/>
          <w:szCs w:val="18"/>
          <w:color w:val="auto"/>
        </w:rPr>
      </w:pPr>
    </w:p>
    <w:p>
      <w:pPr>
        <w:ind w:left="1300" w:right="380" w:hanging="644"/>
        <w:spacing w:after="0" w:line="250"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subscription rights are issued and the number of subscription rights issued with each such security or each principal amount of such security;</w:t>
      </w:r>
    </w:p>
    <w:p>
      <w:pPr>
        <w:ind w:left="1300" w:right="360" w:hanging="644"/>
        <w:spacing w:after="0" w:line="250"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stockholder;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9"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number of subscription rights that may be exercised at one time;</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we may have in connection with such subscription rights offering;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such subscription rights;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subscription rights;</w:t>
      </w:r>
    </w:p>
    <w:p>
      <w:pPr>
        <w:spacing w:after="0" w:line="9" w:lineRule="exact"/>
        <w:rPr>
          <w:rFonts w:ascii="Times New Roman" w:cs="Times New Roman" w:eastAsia="Times New Roman" w:hAnsi="Times New Roman"/>
          <w:sz w:val="18"/>
          <w:szCs w:val="18"/>
          <w:color w:val="auto"/>
        </w:rPr>
      </w:pPr>
    </w:p>
    <w:p>
      <w:pPr>
        <w:ind w:left="1300" w:right="280" w:hanging="644"/>
        <w:spacing w:after="0" w:line="250"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any standby underwriting, backstop or other purchase arrangement that we may enter into in connection with the subscription rights offering;</w:t>
      </w:r>
    </w:p>
    <w:p>
      <w:pPr>
        <w:ind w:left="1300" w:right="600" w:hanging="644"/>
        <w:spacing w:after="0" w:line="250"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material U.S. federal income tax considerations applicable to the issuance or exercise of such subscription rights; and</w:t>
      </w:r>
    </w:p>
    <w:p>
      <w:pPr>
        <w:ind w:left="1300" w:right="20" w:hanging="644"/>
        <w:spacing w:after="0" w:line="260"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subscription right will entitle the holder of the subscription right to purchase for cash or other consideration such amount of shares of common stock at such subscription price as shall in each case be set forth in, or be determinable as set forth in, the prospectus supplement relating to the subscription rights offered thereby. Subscription rights may be exercised as set forth in the prospectus supplement beginning on the date specified therein and continuing until the close of business on the expiration date for such subscription rights set forth in the prospectus supplement. After the close of business on the expiration date, all unexercised subscription rights will become void.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ind w:right="100"/>
        <w:spacing w:after="0" w:line="255" w:lineRule="auto"/>
        <w:rPr>
          <w:sz w:val="20"/>
          <w:szCs w:val="20"/>
          <w:color w:val="auto"/>
        </w:rPr>
      </w:pPr>
      <w:r>
        <w:rPr>
          <w:rFonts w:ascii="Times New Roman" w:cs="Times New Roman" w:eastAsia="Times New Roman" w:hAnsi="Times New Roman"/>
          <w:sz w:val="18"/>
          <w:szCs w:val="18"/>
          <w:color w:val="auto"/>
        </w:rPr>
        <w:t>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If less than all of the rights represented by such subscription rights certificate are exercised, a new subscription certificate will be issued for the remaining rights. Prior to exercising their subscription rights, holders of subscription rights will not have any of the rights of holders of the securities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 with respect to our debt securities.</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Investment Company Act, we may only issue one class of senior securities representing indebtedness, which in the aggregate, may represent no more than 33 1/3% of our managed assets. A prospectus supplement and indenture (a summary of the expected terms of which is attached as Appendix A to the statement of additional information) relating to any debt securities will include specific terms relating to the offering. These terms are expected to include the following:</w:t>
      </w:r>
    </w:p>
    <w:p>
      <w:pPr>
        <w:spacing w:after="0" w:line="180"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title of the security;</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securities;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of the securities;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on which the principal of the securities will be payable;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or additional events of default or covenants;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or mandatory redemption provisions;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identities of, and any changes in trustees, paying agents or security registrar;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Unless otherwise stated in a prospectus supplement, debt securities will bear interest as generally determined by the Board of Directors, as more fully described in the related prospectus supplement. Interest on debt securities shall be payable when due as described in the related prospectus supplement. If we do not pay interest when due, it will trigger an event of default and we will be restricted from declaring dividends and making other distributions with respect to our common shares and preferred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Limitations</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requirements of the Investment Company Act, immediately after issuing any senior securities representing indebtedness, we must have an asset coverage of at least 300%. Asset coverage means the ratio which the value of our total assets, less all liabilities and indebtedness not represented by senior securities, bears to the aggregate amount of senior securities representing indebtedness. Other types of borrowings also may result in our being subject to similar covenants in credit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and Acceleration of Maturity of Debt Securities; Remedies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Unless stated otherwise in the related prospectus supplement, any one of the following events are expected to constitute an “event of default” for that series under the indenture:</w:t>
      </w:r>
    </w:p>
    <w:p>
      <w:pPr>
        <w:spacing w:after="0" w:line="162" w:lineRule="exact"/>
        <w:rPr>
          <w:sz w:val="20"/>
          <w:szCs w:val="20"/>
          <w:color w:val="auto"/>
        </w:rPr>
      </w:pPr>
    </w:p>
    <w:p>
      <w:pPr>
        <w:ind w:left="1300" w:right="460" w:hanging="644"/>
        <w:spacing w:after="0" w:line="261"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 series of debt securities when it becomes due and payable and the continuance of such default for 30 days;</w:t>
      </w: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on, a series of debt securities at its stated maturity;</w:t>
      </w:r>
    </w:p>
    <w:p>
      <w:pPr>
        <w:spacing w:after="0" w:line="9" w:lineRule="exact"/>
        <w:rPr>
          <w:rFonts w:ascii="Times New Roman" w:cs="Times New Roman" w:eastAsia="Times New Roman" w:hAnsi="Times New Roman"/>
          <w:sz w:val="18"/>
          <w:szCs w:val="18"/>
          <w:color w:val="auto"/>
        </w:rPr>
      </w:pPr>
    </w:p>
    <w:p>
      <w:pPr>
        <w:ind w:left="1300" w:right="80" w:hanging="644"/>
        <w:spacing w:after="0" w:line="250"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ours in the indenture, and continuance of such default or breach for a period of 90 days after written notice has been given to us by the trustee;</w:t>
      </w: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proceedings involving us and relating to bankruptcy, insolvency or other similar laws;</w:t>
      </w:r>
    </w:p>
    <w:p>
      <w:pPr>
        <w:spacing w:after="0" w:line="9" w:lineRule="exact"/>
        <w:rPr>
          <w:rFonts w:ascii="Times New Roman" w:cs="Times New Roman" w:eastAsia="Times New Roman" w:hAnsi="Times New Roman"/>
          <w:sz w:val="18"/>
          <w:szCs w:val="18"/>
          <w:color w:val="auto"/>
        </w:rPr>
      </w:pPr>
    </w:p>
    <w:p>
      <w:pPr>
        <w:ind w:left="1300" w:right="380" w:hanging="644"/>
        <w:spacing w:after="0" w:line="250"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last business day of each of twenty-four consecutive calendar months, the debt securities have an Investment Company Act asset coverage of less than 100%; or</w:t>
      </w:r>
    </w:p>
    <w:p>
      <w:pPr>
        <w:ind w:left="1300" w:right="140" w:hanging="644"/>
        <w:spacing w:after="0" w:line="260"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series, including a default in the payment of any redemption price payable on the redemption date.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717" w:gutter="0" w:footer="0" w:header="0"/>
        </w:sectPr>
      </w:pPr>
    </w:p>
    <w:bookmarkStart w:id="70" w:name="page71"/>
    <w:bookmarkEnd w:id="70"/>
    <w:p>
      <w:pPr>
        <w:spacing w:after="0" w:line="254" w:lineRule="auto"/>
        <w:rPr>
          <w:sz w:val="20"/>
          <w:szCs w:val="20"/>
          <w:color w:val="auto"/>
        </w:rPr>
      </w:pPr>
      <w:r>
        <w:rPr>
          <w:rFonts w:ascii="Times New Roman" w:cs="Times New Roman" w:eastAsia="Times New Roman" w:hAnsi="Times New Roman"/>
          <w:sz w:val="18"/>
          <w:szCs w:val="18"/>
          <w:color w:val="auto"/>
        </w:rPr>
        <w:t>Upon the occurrence and continuance of an event of default, the holders of a majority in principal amount of a series of outstanding debt securities or the trustee may declare the principal amount of that series of debt securities immediately due and payable upon written notice to us. A default that relates only to one series of debt securities does not affect any other series and the holders of such other series of debt securities are not entitled to receive notice of such a default under the indenture. Upon an event of default relating to bankruptcy, insolvency or other similar laws, acceleration of maturity occurs automatically with respect to all series. At any time after a declaration of acceleration with respect to a series of debt securities has been made, and before a judgment or decree for payment of the money due has been obtained, the holders of a majority in principal amount of the outstanding debt securities of that series, by written notice to us and the trustee, may rescind and annul the declaration of acceleration and its consequences if all events of default with respect to that series of debt securities, other than the non-payment of the principal of that series of debt securities which has become due solely by such declaration of acceleration, have been cured or waived and other conditions have been met.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Rights</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event of (a) any insolvency or bankruptcy case or proceeding, or any receivership, liquidation, reorganization or other similar case or proceeding in connection therewith, relative to us or to our creditors, as such, or to our assets, or (b) any liquidation, dissolution or other winding up of the Company, whether voluntary or involuntary and whether or not involving insolvency or bankruptcy, or (c) any assignment for the benefit of creditors or any other marshalling of assets and liabilities of ours, then (after any payments with respect to any secured creditor of ours outstanding at such time) and in any such event the holders of debt securities shall be entitled to receive payment in full of all amounts due or to become due on or in respect of all debt securities (including any interest accruing thereon after the commencement of any such case or proceeding), or provision shall be made for such payment in cash or cash equivalents or otherwise in a manner satisfactory to the holders of the debt securities, before the holders of any common or preferred stock of the Company are entitled to receive any payment on account of any redemption proceeds, liquidation preference or dividends from such shares. The holders of debt securities shall be entitled to receive, for application to the payment thereof, any payment or distribution of any kind or character, whether in cash, property or securities, including any such payment or distribution which may be payable or deliverable by reason of the payment of any other indebtedness of ours being subordinated to the payment of the debt securities, which may be payable or deliverable in respect of the debt securities in any such case, proceeding, dissolution, liquidation or other winding up event.</w:t>
      </w:r>
    </w:p>
    <w:p>
      <w:pPr>
        <w:spacing w:after="0" w:line="19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Unsecured creditors of ours may include, without limitation, service providers including our custodian, administrator, broker-dealers and the trustee, pursuant to the terms of various contracts with us. Secured creditors of ours may include without limitation parties entering into any interest rate swap, floor or cap transactions, or other similar transactions with us that create liens, pledges, charges, security interests, security agreements or other encumbrances on our assets.</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 consolidation, reorganization or merger of the Company with or into any other company, or a sale, lease or exchange of all or substantially all of our assets in consideration for the issuance of equity securities of another company shall not be deemed to be a liquidation, dissolution or winding up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Rights</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Debt securities have no voting rights, except to the extent required by law or as otherwise provided in the Indenture relating to the acceleration of maturity upon the occurrence and continuance of an event of default. In connection with any other borrowings (if any), the Investment Company Act does in certain circumstances grant to the lenders certain voting rights in the event of default in the payment of interest on or repayment of principal.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debt securities are not likely to be listed on an exchange or automated quotation system. The details on how to buy and sell such securities, along with the other terms of the securities, will be described in a prospectus supplement. We cannot assure you that any market will exist for our debt securities or if a market does exist, whether it will provide holders with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Book-Entry, Delivery and Form</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Unless otherwise stated in the related prospectus supplement, the debt securities will be issued in book-entry form and will be represented by one or more notes in registered global form. The global notes will be deposited with the trustee as custodian for The Depositary Trust Company (“DTC”) and registered in the name of Cede &amp; Co., as nominee of DTC. DTC will maintain the notes in designated denominations through its book-entry facilities.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expected terms of the indenture, we and the trustee may treat the persons in whose names any notes, including the global notes, are registered as the owners thereof for the purpose of receiving payments and for any and all other purposes whatsoever. Therefore, so long as DTC or its nominee is the registered owner of the global notes, DTC or such nominee will be considered the sole holder of outstanding notes under the indenture. We or the trustee may give effect to any written certification, proxy or other authorization furnished by DTC or its nominee.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ind w:right="340"/>
        <w:spacing w:after="0" w:line="266" w:lineRule="auto"/>
        <w:rPr>
          <w:sz w:val="20"/>
          <w:szCs w:val="20"/>
          <w:color w:val="auto"/>
        </w:rPr>
      </w:pPr>
      <w:r>
        <w:rPr>
          <w:rFonts w:ascii="Times New Roman" w:cs="Times New Roman" w:eastAsia="Times New Roman" w:hAnsi="Times New Roman"/>
          <w:sz w:val="18"/>
          <w:szCs w:val="18"/>
          <w:color w:val="auto"/>
        </w:rPr>
        <w:t>A global note may not be transferred except as a whole by DTC, its successors or their respective nominees. Interests of beneficial owners in the global note may be transferred or exchanged for definitive securities in accordance with the rules and procedures of DTC. In addition, a global note may be exchangeable for notes in definitive form if:</w:t>
      </w:r>
    </w:p>
    <w:p>
      <w:pPr>
        <w:spacing w:after="0" w:line="176"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depository and we do not appoint a successor within 60 days;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notify the trustee in writing that we elect to cause the issuance of notes in definitive form under the indenture;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each instance, upon surrender by DTC or its nominee of the global note, notes in definitive form will be issued to each person that DTC or its nominee identifies as being the beneficial owner of the related notes.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Under the expected terms of the indenture, the holder of any global note may grant proxies and otherwise authorize any person, including its participants and persons who may hold interests through DTC participants, to take any action which a holder is entitled to take under the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 and Duration</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were formed on February 7, 2013 as StoneCastle Financial Corp. and changed our name to ArrowMark Financial Corp. on February 22, 2022. We will remain in existence until dissolved in accordance with our certificate of incorporation.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we are permitted to engage in any business activity that lawfully may be conducted by a corporation organized under Delaware law and, in connection therewith, to exercise all of the rights and powers conferred upon us pursuant to the agreement relating to such business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Duties of Officers and Directors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except as may otherwise be provided by the certificate of incorporation or by our bylaws, our property, affairs and business shall be managed under the direction of our board of directors. Pursuant to our bylaws, our board of directors has the power to elect or appoint our officers and such officers have the authority to exercise the powers and perform the duties specified in our bylaws or as may be specified by our board of directors or delegated by our chief executive officer.</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we indemnify our directors and officers for acts or omissions to the fullest extent permitted by law. Under the Delaware General Corporation Law (“DGCL”), a corporation can only indemnify directors and officers for acts or omissions if the director or officer acted in good faith, in a manner he reasonably believed to be in the best interests of the corporation and, in a criminal action, if the officer or director had no reasonable cause to believe his conduct was unlawful.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Size and Election of Board of Directors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number of directors may be established, increased or decreased by our board of directors but may not be fewer than one. Our certificate of incorporation will provide that our board of directors is divided into three classes. Each class of directors will hold office for a three-year term. The initial members of the three classes have staggered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and until their successors are duly elected and qualified. Except as may be provided by our board of directors in setting the terms of any class or series of preferred stock, any and all vacancies on our board of directors may be filled only by the affirmative vote of a majority of the remaining directors in office, even if the remaining directors do not constitute a quorum, and any director elected to fill a vacancy shall serve for the remainder of the full term of the directorship in which such vacancy occurred and until a successor is elected and qualifies.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Removal of Members of Our Board of Directors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DGCL provides that directors may be removed, but only for cause, by an affirmative vote of at least a majority of the votes entitled to be cast by our stockholders generally in the election of our directors. Our certificate of incorporation states that directors may be removed at any time, but only for cause, by at least two-thirds of the votes entitled to be cast by our stockholders generally in the election of our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Advance Notice of Director Nominations and New Business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stockholders may only be called by our board of directors, the chairman of our board of directors or our chief executive officer.</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bylaws provide that with respect to an annual meeting of stockholders, nominations of persons for election to our board of directors and the proposal of business to be considered by stockholders may be made only (i) pursuant to our notice of the meeting, (ii) by or at the direction of our board of directors or the chairman of the board of directors or (iii) by any stockholder who is entitled to vote at the meeting and has complied with the advance notice procedures set forth in our bylaws. Our bylaws provide that with respect to special meetings of our stockholders, only the business specified in our notice of meeting may be brought before the meeting. Nominations of persons for election to our board of directors may be made only (i) pursuant to our notice of the meeting, (ii) by or at the direction of our board of directors or (iii) provided that our board of directors has determined that directors shall be elected at the meeting, by any stockholder who is entitled to vote at the meeting and has complied with the advance notice procedures set forth in our bylaws.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purpose of requiring stockholders to give advance notice of nominations and other proposals is to afford our board of directors the opportunity to consider the qualifications of the proposed nominees or the advisability of the other proposals and, to the extent considered necessary by our board of directors, to inform stockholders and make recommendations regarding the nominations or other proposals. The advance notice procedures also permit a more orderly procedure for conducting our stockholder meetings.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Limitations on Liability and Indemnification of Our Directors and Officers</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our directors will not be liable to us or our stockholders for monetary damages for breach of fiduciary duty as a director to the fullest extent permitted by the DGCL. Our bylaws provide that our directors, officers, employees and agents, as well as persons serving as a director, officer, partner, trustee, member, manager, employee or agent of another enterprise at our request, will be indemnified, and may have their expenses of defense advanced, in each case to the full extent permitted under the DGCL.</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w:t>
      </w:r>
    </w:p>
    <w:p>
      <w:pPr>
        <w:spacing w:after="0" w:line="183"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acted in good faith, (ii) in a manner such person reasonably believed to be in or not opposed to the best interests of the corporation and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criminal action or proceeding, such person had no reasonable cause to believe the person’s conduct was unlawful.</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DGCL further empowers a corporation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the person reasonably believed to be in, or not opposed to, the best interests of the corporation, and except that no indemnification may be made in respect of any claim, issue or matter as to which such person has been adjudged to be liable to the corporation unless and only to the extent that the Delaware Court of Chancery or the court in which such action or suit was brought determines upon application that, despite the adjudication of liability but in view of all the circumstances of the case, such person is fairly and reasonably entitled to indemnity for such expenses which the Delaware Court of Chancery or such other court deems proper.</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the extent a present or former director or officer is successful in the defense of any action, suit or proceeding noted above, or in defense of any claim, issue or matter therein, such person will be indemnified against expenses (including attorneys’ fees) actually and reasonably incurred by such person in connection with such action, suit or proceeding. We are further authorized to pay expenses incurred by an officer or director in advance of the final disposition of a proceeding upon our receipt of an undertaking by or on behalf of the person to whom the advance will be made, to repay the advances if it is ultimately determined that he or she was not entitled to indemnification.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of Our Certificate of Incorporation and Bylaws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Amendments to our certificate of incorporation may be proposed only by or with the consent of our board of directors. To adopt a proposed amendment, our board of directors is required to seek written approval of the holders of the number of shares required to approve the amendment or call a meeting of our stockholders to consider and vote upon the proposed amendment. Generally, an amendment must be approved by at least a majority of the votes entitled to be cast by our stockholders generally in the election of directors and, in general, to the extent that such amendment would have a material adverse effect on the holders of any class or series of shares, by the holders of a majority of the holders of such class or series. Amendments pertaining to removal of directors, indemnification of directors or amendment of certain provisions of the certificate of incorporation or any provision of the bylaws, however, require the approval of the holders of two-thirds of our voting stock then outstanding.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ind w:right="60"/>
        <w:spacing w:after="0" w:line="282" w:lineRule="auto"/>
        <w:rPr>
          <w:sz w:val="20"/>
          <w:szCs w:val="20"/>
          <w:color w:val="auto"/>
        </w:rPr>
      </w:pPr>
      <w:r>
        <w:rPr>
          <w:rFonts w:ascii="Times New Roman" w:cs="Times New Roman" w:eastAsia="Times New Roman" w:hAnsi="Times New Roman"/>
          <w:sz w:val="18"/>
          <w:szCs w:val="18"/>
          <w:color w:val="auto"/>
        </w:rPr>
        <w:t>Our board of directors has the power to adopt, alter or repeal our bylaws. Our certificate of incorporation provides that our stockholders may adopt, alter or repeal our bylaws upon approval of at least two-thirds of the common stock then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Sale or Other Disposition of Assets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board of directors is generally prohibited, without the prior approval of at least a majority of the votes entitled to be cast by our stockholders generally in the election of directors, from causing us to, among other things, sell, exchange or otherwise dispose of all or substantially all of our assets in a single transaction or a series of related transactions, or approving on our behalf the sale, exchange or other disposition of all or substantially all of our assets, provided that our board of directors may mortgage, pledge, hypothecate or grant a security interest in all or substantially all of our assets without the approval of any stockholder.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and Dissolution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existence is perpetual unless we are dissolved as provided by the DGCL.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Books and Reports</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will be maintained for both tax and financial reporting purposes a basis that permits the preparation of financial statements in accordance with US GAAP. For financial reporting purposes and tax purposes, our fiscal year and our tax year are the calendar year, unless otherwise determined by our board of directors in accordance with the Code.</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are required to file periodic reports, proxy statements and other information with the SEC. This information will be available at the SEC’s public reference room in Washington, D.C. and on the SEC’s website at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provisions of our certificate of incorporation and bylaws that may be deemed to have an anti-takeover effect and may delay, deter or prevent a tender offer or takeover attempt that a stockholder might consider to be in its best interest, including those attempts that might result in a premium over the market price for the interests held by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but Unissued Stock</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for authorized but unissued shares that our board of directors may use without the approval of any holders of our shares. Future issuances of common and preferred stock may be utilized for a variety of purposes, including future public offerings to raise additional capital, acquisitions and employee benefit plans. Our ability to issue additional shares and other equity securities could render more difficult or discourage an attempt to obtain control over us by means of a proxy contest, tender offer, merger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Business Combination Statute—Section 203</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Some provisions of the DGCL law may delay or prevent a transaction that would cause a change in our control. Section 203 of the DGCL, which restricts certain business combinations with interested stockholders in certain situations, generally applies to a corporation unless otherwise set forth in the corporation’s certificate of incorporation. We have not opted out of Section 203.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did own, 15% or more of voting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Board of Directors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with the term of office of only one of the three classes expiring each year. A classified board of directors may render a change in control of us or removal of our incumbent management more difficult. This provision could delay for up to two years the replacement of a majority of our board of directors. We believe, however, that the longer time required to elect a majority of a classified board of directors helps to ensure the continuity and stability of our management and policies.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Directors; Removal; Vacancies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the number of directors will be set only by our board of directors in accordance with our bylaws. Our bylaws provide that a majority of our entire board of directors may at any time increase or decrease the number of directors. Under the DGCL, unless the certificate of incorporation provides otherwise (which our certificate of incorporation does not), directors on a classified board of directors such as our board of directors may be removed only for cause by a majority vote of our stockholders. Under our certificate of incorporation and bylaws, any vacancy on our board of directors, including a vacancy resulting from an enlargement of our board of directors, may be filled only by vote of a majority of the directors then in office. The limitations on the ability of our stockholders to remove directors and fill vacancies could make it more difficult for a third-party to acquire, or discourage a third-party from seeking to acquire, control of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149"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Advance Notice Bylaw</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bylaws provide that, in order for any matter to be considered properly brought before a meeting or for a stockholder to nominate a candidate for director, a stockholder must comply with requirements regarding advance notice to us, including the timing of such notice and the information that such notice must contain. Our certificate of incorporation provides that stockholders may not act by written consent without a meeting of stockholders. These provisions could delay until the next stockholders’ meeting stockholder actions which are favored by the holders of a majority of our outstanding voting securities.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Furthermore, stockholders do not have the ability to call a special meeting.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of Our Certificate of Incorporation and Bylaws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DGCL generally provides that the affirmative vote of a majority of the shares entitled to vote on any matter is required to amend a corporation’s certificate of incorporation or bylaws, unless a corporation’s certificate of incorporation or bylaws requires a greater percentage. Under our certificate of incorporation, the affirmative vote of the holders of at least 66 2/3% of the shares of our capital stock entitled to vote will be required to amend or repeal any of the provisions of our bylaws or certain provisions of our certificate of incorporation. In addition, our certificate of incorporation permits our board of directors to amend or repeal our bylaws by a majority vote of the board of directors.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is a general summary of certain material U.S. federal income tax considerations relating to the acquisition, holding and disposition of our common stock. For purposes of this section, under the heading “Material U.S. Federal Income Tax Considerations,” references to “we,” “us” or “our” mean only ArrowMark Financial Corp. and not any subsidiaries or other lower-tier entities that we may organize or invest in, except as otherwise indicated. This summary is based upon the Code, the regulations promulgated by the U.S. Treasury Department (“Treasury regulations”), current administrative interpretations and practices of the U.S. Internal Revenue Service (the “IRS”) and judicial decisions, all as currently in effect and all of which may be subject to differing interpretations or to change, possibly with retroactive effect. No advance ruling has been or will be sought from the IRS regarding any matter discussed in this summary. Therefore, no assurance can be given that the IRS would not assert, or that a court would not sustain, a position contrary to any of the tax consequences described below. This summary does not purport to discuss all aspects of U.S. federal income taxation to us or stockholders and in particular does not discuss those issues that may be important to stockholders subject to special tax rules, such as:</w:t>
      </w:r>
    </w:p>
    <w:p>
      <w:pPr>
        <w:spacing w:after="0" w:line="188"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U.S. citizens or long-term residents subject to Code section 877 or section 877A;</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subject to the U.S. anti-inversion rules;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Stockholders;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mark-to-market our common stock;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S corporations;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(as defined below) whose functional currency is not the U.S. Dollar;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receive our common stock through the exercise of employee stock options or otherwise as compensation;</w:t>
      </w:r>
    </w:p>
    <w:p>
      <w:pPr>
        <w:spacing w:after="0" w:line="9" w:lineRule="exact"/>
        <w:rPr>
          <w:rFonts w:ascii="Times New Roman" w:cs="Times New Roman" w:eastAsia="Times New Roman" w:hAnsi="Times New Roman"/>
          <w:sz w:val="18"/>
          <w:szCs w:val="18"/>
          <w:color w:val="auto"/>
        </w:rPr>
      </w:pPr>
    </w:p>
    <w:p>
      <w:pPr>
        <w:ind w:left="1300" w:right="860" w:hanging="644"/>
        <w:spacing w:after="0" w:line="250"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hold our common stock through tax-advantaged accounts (such as an individual retirement account (an “IRA”), a 401(k) plan account or other qualified retirement account);</w:t>
      </w:r>
    </w:p>
    <w:p>
      <w:pPr>
        <w:ind w:left="1300" w:right="360" w:hanging="644"/>
        <w:spacing w:after="0" w:line="250"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“hedge,” “conversion transaction,” “synthetic security” or other integrated investment; and</w:t>
      </w: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U.S. federal income tax treatment of a partner in such partnership generally will depend upon the status of the partner and the activities of such partnership. A partner of a partnership holding our common stock should consult its own tax advisor regarding the U.S. federal income tax consequences to the partner of the acquisition, ownership and disposition of our common stock by the partnership.</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summary assumes that stockholders will hold our common stock as capital assets, which generally means as property held for investment. This discussion addresses only the U.S. income tax consequences of an investment by U.S. Stockholders, and therefore, does not address U.S. estate and gift tax rules, U.S. state or local taxation, the alternative minimum tax, excise taxes, transfer taxes or foreign taxes.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summary does not discuss the consequences of an investment in our preferred stock, subscription rights or debt securities. The U.S. federal income tax consequences of such an investment will be discussed in a relevant prospectus supplement.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ind w:right="200"/>
        <w:spacing w:after="0" w:line="270" w:lineRule="auto"/>
        <w:rPr>
          <w:sz w:val="20"/>
          <w:szCs w:val="20"/>
          <w:color w:val="auto"/>
        </w:rPr>
      </w:pPr>
      <w:r>
        <w:rPr>
          <w:rFonts w:ascii="Times New Roman" w:cs="Times New Roman" w:eastAsia="Times New Roman" w:hAnsi="Times New Roman"/>
          <w:sz w:val="17"/>
          <w:szCs w:val="17"/>
          <w:color w:val="auto"/>
        </w:rPr>
        <w:t>For purposes of the following discussion, a “U.S. Stockholder” is a stockholder that is (i) a citizen or individual resident of the United States, (ii) a corporation (or other entity taxable as a corporation) created or organized under the laws of the United States or any state thereof or the District of Columbia, (iii) an estate, the income of which is subject to U.S. federal income taxation regardless of its source or (iv) a trust if (a) a U.S. court can exercise primary supervision over the trust’s administration and one or more U.S. persons are authorized to control all substantial decisions of the trust or</w:t>
      </w:r>
    </w:p>
    <w:p>
      <w:pPr>
        <w:spacing w:after="0" w:line="3" w:lineRule="exact"/>
        <w:rPr>
          <w:sz w:val="20"/>
          <w:szCs w:val="20"/>
          <w:color w:val="auto"/>
        </w:rPr>
      </w:pPr>
    </w:p>
    <w:p>
      <w:pPr>
        <w:ind w:right="40" w:firstLine="8"/>
        <w:spacing w:after="0" w:line="260"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 valid election in effect under applicable Treasury regulations to be treated as a U.S. person. A “Non-U.S. Stockholder” is a person that is neither a U.S. Stockholder nor an entity treated as a partnership for U.S. federal income tax purposes.</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U.S. FEDERAL INCOME TAX TREATMENT OF OUR STOCKHOLDERS DEPENDS IN SOME INSTANCES ON DETERMINATIONS OF FACT AND INTERPRETATIONS OF COMPLEX PROVISIONS OF U.S. FEDERAL INCOME TAX LAW. IN ADDITION, THE TAX CONSEQUENCES OF HOLDING OUR COMMON STOCK TO ANY PARTICULAR STOCKHOLDER WILL DEPEND ON THE STOCKHOLDER’S PARTICULAR TAX CIRCUMSTANCES. YOU ARE URGED TO CONSULT YOUR TAX ADVISOR REGARDING THE U.S. FEDERAL, STATE, LOCAL AND FOREIGN INCOME AND OTHER TAX CONSEQUENCES TO YOU, IN LIGHT OF YOUR PARTICULAR CIRCUMSTANCES, OF HOLDING AND DISPOSING OF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 as a RIC</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elected to be treated, and intend to comply with the requirements to qualify annually, as a RIC under Subchapter M of the Code. In order to qualify as a RIC, we must be registered as a management company under the Investment Company Act at all times during each taxable year and meet (i) an income test, and (ii) a diversification/asset test. By qualifying as a RIC, we generally will not be subject to tax on that portion of our investment company taxable income and net realized capital gain provided we meet certain distribution requirements. Failure to meet the income test or the diversification/asset test would disqualify us from RIC tax treatment for the entire year. However, in certain situations we may be able to take corrective action which would allow us to remain qualified as a RIC.</w:t>
      </w:r>
    </w:p>
    <w:p>
      <w:pPr>
        <w:spacing w:after="0" w:line="18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Income Test. At least 90% of our gross income in each taxable year must be derived from dividends; interest; payments with respect to securities loans; gains from the sale or other disposition of stock, securities or foreign currencies; other income (including gains from options, futures or forward contracts) derived with respect to our business of investing in such stock, securities or currencies; or net income from a “qualified publicly traded partnership.”</w:t>
      </w:r>
    </w:p>
    <w:p>
      <w:pPr>
        <w:spacing w:after="0" w:line="1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Diversification/Asset Test. At the end of each quarter of our taxable year, at least 50% of the value of our assets must be invested in cash and cash items (such as receivables); U.S. government securities; securities of other RICs; and securities of other issuers, provided that no investment in any such issuer exceeds 5% of the value of our assets or 10% of the issuer’s outstanding voting securities. In addition, at the end of each quarter of our taxable year, generally no more than 25% of the value of our assets may be invested in (i) the securities (other than U.S. government securities or the securities of other RICs) of any one issuer, (ii) the securities (other than the securities of other RICs) of any two or more issuers that we control (i.e., ownership of 20% or more of the total combined voting power of all classes of stock entitled to vote) and that are engaged in the same or related trades or businesses or (iii) the securities of one or more qualified publicly traded partnerships.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a RIC</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RICs generally are not subject to U.S. corporate income tax on the part of their net ordinary income and net realized capital gains that they distribute to their stockholders, provided that they comply with the requirements to be a RIC and meet applicable distribution requirements.</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Distribution Requirements. In any fiscal year in which we distribute at least 90% of the sum of (i) our investment company taxable income (which includes, among other items, dividends, interest and the excess of any net short-term capital gain over net long-term capital loss and other taxable income, other than any net capital gain (excess of net long-term capital gain over net short-term capital loss), reduced by deductible expenses) determined without regard to the deduction for dividends paid, and (ii) our net tax-exempt interest, if any (the excess of our gross tax-exempt interest over certain disallowed deductions), we generally will not be subject to U.S. federal income tax on our investment company taxable income and net capital gains that we timely distribute to our stockholders; instead, our stockholders will be taxed on such distributions as more fully described herein. To the extent that we retain any investment company taxable income or net capital gain, we will be subject to U.S. federal income tax. We may choose to retain our net capital gains for investment and pay the associated federal corporate income tax.</w:t>
      </w:r>
    </w:p>
    <w:p>
      <w:pPr>
        <w:spacing w:after="0" w:line="1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Amounts not distributed on a timely basis in accordance with a calendar year distribution requirement are subject to a nondeductible 4% excise tax at the RIC level. To avoid the tax, we must distribute during each calendar year an amount at least equal to the sum of (i) 98% of our taxable ordinary income (taking into account certain deferrals and elections) for the calendar year, (ii) 98.2% of our capital gains in excess of our capital losses (adjusted for certain ordinary losses) for the one-year period ending on the last day of our taxable year (or October 31st, if applicable) and (iii) certain undistributed amounts from the prior year on which we paid no U.S. federal income tax. While we intend to distribute any income and capital gain in the manner necessary to minimize imposition of the 4% excise tax, there can be no assurance that sufficient amounts of our taxable income and capital gain will be distributed to avoid entirely the imposition of the tax. In that event, we will be liable for the tax only on the amount by which we do not meet the foregoing distribution requirement.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ind w:right="20"/>
        <w:spacing w:after="0" w:line="254" w:lineRule="auto"/>
        <w:rPr>
          <w:sz w:val="20"/>
          <w:szCs w:val="20"/>
          <w:color w:val="auto"/>
        </w:rPr>
      </w:pPr>
      <w:r>
        <w:rPr>
          <w:rFonts w:ascii="Times New Roman" w:cs="Times New Roman" w:eastAsia="Times New Roman" w:hAnsi="Times New Roman"/>
          <w:sz w:val="18"/>
          <w:szCs w:val="18"/>
          <w:color w:val="auto"/>
        </w:rPr>
        <w:t>A RIC is limited in its ability to deduct expenses in excess of its “investment company taxable income” (which is, generally, ordinary income plus the excess of realized net short-term capital gains over realized net long-term capital losses). If our expenses in a given year exceed our investment company taxable income, we would experience a net operating loss for that year. However, a RIC is not permitted to carry forward net operating losses to subsequent years and such net operating losses do not pass through to its stockholders. In addition, expenses can be used only to offset investment company taxable income, not net capital gain (excess of net long-term capital gain over net short-term capital loss). A RIC may not use any net capital losses (that is, realized capital losses in excess of realized capital gains) to offset the RIC’s investment company taxable income, but may carry forward such losses, and use them to offset capital gains, indefinitely. Due to these limits on the deductibility of expenses and net capital losses, we could for tax purposes have aggregate taxable income that we are required to distribute and that is taxable to our stockholders even if such income is greater than the aggregate net income we actually earned during those years.</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Similarly, we may be required to recognize taxable income in circumstances in which we do not receive cash. For example, if we hold debt obligations that are treated under applicable tax rules as having original issue discount (such as debt instruments with payment-in-kind interest or, in certain cases, increasing interest rates or that were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distribution requirements, even though we will not have received any corresponding cash amount.</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Purchase of Our Stock. Prior to purchasing our stock, the impact of dividends or distributions which are expected to be or have been declared, but not paid, should be carefully considered. Any dividend or distribution declared shortly after a purchase of our stock prior to the record date will have the effect of reducing the per share net asset value by the per share amount of the dividend or distribution, and to the extent the distribution consists of taxable income, the purchasing stockholder will be taxed on the taxable portion of the dividend or distribution received even though some or all of the amount distributed is effectively a return of capital. This is called “buying a dividend.” To avoid “buying a dividend,” check our distribution dates before you invest.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a U.S. Stockholder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Distributions by a RIC generally are taxable to U.S. Stockholders as ordinary income or capital gains.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Distributions of our “investment company taxable income” (which is, generally, our ordinary income plus net short-term capital gains in excess of net long-term capital losses) will be taxable as ordinary income to U.S. Stockholders to the extent of our current or accumulated earnings and profits, whether paid in cash or reinvested in additional shares of common stock. However, distributions to noncorporate stockholders attributable to dividends received by us from U.S. and certain foreign corporations will generally be eligible for the maximum federal capital gains tax rate of 20% applicable to qualified dividend income, as long as certain other requirements are met. For these lower rates to apply, the noncorporate stockholders must have owned our shares for at least 61 days during the 121-day period beginning 60 days before the ex-dividend date and we must also have owned the underlying stock for this same period beginning 60 days before the ex-dividend date for the stock. The amount of our distributions that otherwise qualify for these lower rates may be reduced as a result of our securities lending activities or a high portfolio turnover rate and may also be reduced as a result of certain derivative transactions entered into by us.</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Distributions derived from our dividend income that would be eligible for the dividends received deduction if we were not a RIC may be eligible for the dividends received deduction for corporate stockholders. The dividends received deduction, if available, is reduced to the extent the shares with respect to which the dividends are received are treated as debt-financed under federal income tax law and is eliminated if the shares are deemed to have been held for less than a minimum period, generally 46 days. The dividends received deduction also may be reduced as a result of our securities lending activities or a high portfolio turnover rate or as a result of certain derivative transactions entered into by us.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Distributions of our net capital gains (which is generally our net long-term capital gains in excess of net short-term capital losses) properly designated by us as “capital gain dividends” will be taxable to a non-corporate U.S. Stockholder as long-term capital gains which are generally subject to the federal capital gains tax rate, to the extent of our current or accumulated earnings and profits, regardless of the U.S. Stockholder’s holding period for his, her or its stock and regardless of whether paid in cash or reinvested in additional stock. Distributions in excess of our earnings and profits first will be treated as a return of capital. A return of capital is not taxable but will reduce a U.S. Stockholder’s adjusted tax basis in our stock and, after the adjusted basis is reduced to zero, the amount of the distribution in excess of our earnings and profits and the U.S. Stockholder’s adjusted tax basis will constitute capital gains to such U.S. Stockholder. Such capital gain will be long-term capital gain and thus will be generally taxed at the federal capital gains tax rate, if the distributions are attributable to stock held for more than one year by a non-corporate U.S. Stockholder.</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designate any of our retained capital gains as a deemed distribution, we will pay tax on the retained amount, and each U.S. Stockholder will be required to include the U.S. Stockholder’s share of the deemed distribution in income as if it had been actually distributed to the U.S. Stockholder. The U.S. Stockholder may be entitled to claim a credit equal to the U.S. Stockholder’s allocable share of the tax paid thereon by us. The amount of the deemed distribution net of such tax will be added to the U.S. Stockholder’s tax basis for his, her or its common stock. Because we expect to pay tax on any retained capital gains at the regular corporate tax rate, and because that rate generally is less than the maximum rate currently payable by non-corporate U.S. Stockholders on long-term capital gains, the amount of tax that non-corporate U.S. Stockholders will be treated as having paid and for which they will receive a credit may not exceed the tax they owe on the retained net capital gain. A stockholder that is not subject to U.S. federal income tax or otherwise required to file a federal income tax return would be required to file a federal income tax return on the appropriate form in order to claim a refund for the taxes we paid. In order to utilize the deemed distribution approach, we must provide written notice to our stockholders prior to the expiration of 60 days after the close of the relevant taxable year.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ind w:right="100"/>
        <w:spacing w:after="0" w:line="256" w:lineRule="auto"/>
        <w:rPr>
          <w:sz w:val="20"/>
          <w:szCs w:val="20"/>
          <w:color w:val="auto"/>
        </w:rPr>
      </w:pPr>
      <w:r>
        <w:rPr>
          <w:rFonts w:ascii="Times New Roman" w:cs="Times New Roman" w:eastAsia="Times New Roman" w:hAnsi="Times New Roman"/>
          <w:sz w:val="18"/>
          <w:szCs w:val="18"/>
          <w:color w:val="auto"/>
        </w:rPr>
        <w:t>For purposes of determining (i) whether the distribution requirements are satisfied for any year and (ii)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dividend was declared.</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Sale of Stock. Upon the sale, exchange or other taxable disposition of our common stock, a U.S. Stockholder generally will recognize capital gain or loss equal to the difference between the amount realized on the sale, exchange or other taxable disposition and the U.S. Stockholder’s adjusted tax basis in our stock. Any such capital gain or loss will generally be a long-term capital gain or loss if the U.S. Stockholder has held the stock for more than one year at the time of disposition and such shares of common stock are held as capital assets. Otherwise, the gain or loss would be classified as short-term capital gain or loss except as otherwise noted herein. However, any capital loss arising from the sale or disposition of shares of our common stock held for six months or less (determined by applying the holding period rules contained in Code Section 852(b)(4)(C)) will be treated as long-term capital loss to the extent of the amount of capital gain dividends received, or undistributed capital gain deemed received, with respect to such stock. In addition, all or a portion of any capital loss arising from the sale or disposition of shares of our common stock may be disallowed to the extent the U.S. Stockholder acquires other shares of our common stock (through reinvestment of dividends or otherwise) within 30 days before or after the sale or disposition. In such case, any disallowed loss is generally added to the U.S. Stockholder’s adjusted tax basis of the acquired stock.</w:t>
      </w:r>
    </w:p>
    <w:p>
      <w:pPr>
        <w:spacing w:after="0" w:line="19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Long-term capital gains of non-corporate U.S. Stockholders are generally subject to the U.S. federal capital gains rate. Capital losses generally are deductible only against capital gains except that individuals may deduct up to $3,000 of capital losses against ordinary income.</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Dividend Reinvestment Plan. Under the dividend reinvestment plan, if a U.S. Stockholder’s common stock is registered directly with us or with a brokerage firm that participates in our Plan, the U.S. Stockholder will have all cash distributions automatically reinvested in additional shares of common stock unless the U.S. Stockholder opts out of the dividend reinvestment plan. See “Dividend Reinvestment Plan.” Any distributions reinvested under the Plan will nevertheless remain taxable to the U.S. Stockholder. To the extent that a U.S. Stockholder receives distributions in the form of additional shares of our common stock purchased in the market, the U.S. Stockholder should be treated for U.S. federal income tax purposes as receiving a distribution in an amount equal to the amount of money that the stockholders receiving cash distributions will receive, and should have a cost basis in the shares received equal to such amount. To the extent that a U.S. stockholder receives a distribution in newly issued shares of our common stock, the U.S. stockholder should be treated as receiving a distribution equal to the fair market value of the shares received on the date of the distribution, and should have a cost basis in the shares received equal to such amount. The additional shares of common stock will have a new holding period commencing on the day following the day on which the stock is credited to the U.S. Stockholder’s account.</w:t>
      </w:r>
    </w:p>
    <w:p>
      <w:pPr>
        <w:spacing w:after="0" w:line="19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Tax on Net Investment Income. Non-corporate U.S. Stockholders whose income exceeds certain thresholds are subject to an additional 3.8% Medicare contribution tax on “net investment income,” subject to certain limitations and exceptions. For this purpose, net investment income generally includes dividends, interest and long-term capital gains from the sale or other disposition of stock, such as our common stock. </w:t>
      </w:r>
      <w:r>
        <w:rPr>
          <w:rFonts w:ascii="Times New Roman" w:cs="Times New Roman" w:eastAsia="Times New Roman" w:hAnsi="Times New Roman"/>
          <w:sz w:val="18"/>
          <w:szCs w:val="18"/>
          <w:b w:val="1"/>
          <w:bCs w:val="1"/>
          <w:color w:val="auto"/>
        </w:rPr>
        <w:t>U.S. Stockholders should consult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their tax advisors regarding the effect, if any, of this tax on their ownership and disposition of our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a Non-U.S. Stockholder</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Distributions. Distributions by us will be treated as dividends for U.S. federal income tax purposes to the extent paid from our current or accumulated earnings and profits (as determined under U.S. federal income tax principles). Dividends paid to a Non-U.S. Stockholder generally will be subject to U.S. withholding tax at a 30% rate or a reduced rate specified by an applicable income tax treaty. If a Non-U.S. Stockholder is eligible for a reduced rate of withholding tax under an applicable tax treaty, the Non-U.S. Stockholder will be required to provide an applicable IRS Form W-8 certifying its entitlement to benefits under the treaty in order to obtain a reduced rate of withholding tax. However, if the distributions are effectively connected with a U.S. trade or business of the Non-U.S. Stockholder (or, if an income tax treaty applies, attributable to a permanent establishment in the United States of the Non-U.S. Stockholder), then the distributions will be subject to U.S. federal income tax at the rates applicable to U.S. persons, plus, in certain cases where the Non-U.S. Stockholder is a corporation, a branch profits tax at a 30% rate (or lower rate provided in an applicable treaty). If the Non-U.S. Stockholder is subject to such U.S. income tax on a distribution, then we are not required to withhold U.S. federal tax if the Non-U.S. Stockholder complies with applicable certification and disclosure requirements. </w:t>
      </w:r>
      <w:r>
        <w:rPr>
          <w:rFonts w:ascii="Times New Roman" w:cs="Times New Roman" w:eastAsia="Times New Roman" w:hAnsi="Times New Roman"/>
          <w:sz w:val="18"/>
          <w:szCs w:val="18"/>
          <w:b w:val="1"/>
          <w:bCs w:val="1"/>
          <w:color w:val="auto"/>
        </w:rPr>
        <w:t>Special certification requirements apply to a Non-U.S. Stockholder that is a foreign partnership 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foreign trust, and such entities are urged to consult their own tax advisors.</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Code section 871(k) provides certain “look-through” treatment to Non-U.S. Stockholders, permitting interest-related dividends and short-term capital gains not to be subject to U.S. withholding tax.</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the amount of a distribution exceeds our current and accumulated earnings and profits, such excess will be treated for U.S. federal income tax purposes as a tax-free return of capital to the extent of the Non-U.S. Stockholder’s tax basis in our common stock. To the extent that any distribution received by a Non-U.S. Stockholder exceeds the Non-U.S. Stockholder’s tax basis in our common stock and our current and accumulated earnings and profits, the excess will be treated as gain from the sale of the common stock and will be taxed as described in “Sales of Stock” below.</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ind w:right="40"/>
        <w:spacing w:after="0" w:line="254" w:lineRule="auto"/>
        <w:rPr>
          <w:sz w:val="20"/>
          <w:szCs w:val="20"/>
          <w:color w:val="auto"/>
        </w:rPr>
      </w:pPr>
      <w:r>
        <w:rPr>
          <w:rFonts w:ascii="Times New Roman" w:cs="Times New Roman" w:eastAsia="Times New Roman" w:hAnsi="Times New Roman"/>
          <w:sz w:val="18"/>
          <w:szCs w:val="18"/>
          <w:color w:val="auto"/>
        </w:rPr>
        <w:t>Sales of Stock. A Non-U.S. Stockholder generally will not be subject to U.S. federal income tax on gain realized on the sale, exchange or other non-redemption disposition of our common stock, unless (i) the gain is effectively connected with a trade or business of the Non-U.S. Stockholder in the United States (or, if the Non-U.S. Stockholder is eligible for the benefits of a U.S. tax treaty, the gain is attributable to a permanent establishment in the United States of the Non-U.S. Stockholder); (ii) the Non-U.S. Stockholder is an individual who is present in the United States for 183 days or more in the taxable year of disposition and who has a “tax home” in the United States; or (iii) we are or have been a U.S. real property holding corporation at any time within the five-year period preceding the date of disposition of our common stock or, if shorter, within the period during which the Non-U.S. Stockholder has held our common stock. Generally, a corporation is a U.S. real property holding corporation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We do not expect to be treated as a U.S. real property holding corporation.</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Dividend Reinvestment Plan. Under the dividend reinvestment plan, if a Non-U.S. Stockholder’s common stock is registered directly with us or with a brokerage firm that participates in our Plan, the Non-U.S. Stockholder will have all cash distributions automatically reinvested in additional shares unless the Non-U.S. Stockholder opts out of the Plan. If the distribution is a distribution of our investment company taxable income, is not designated by us as a short-term capital gain dividend or interest-related dividend (if applicable and to the extent that the temporary “look-through” rule described above is extended), and is not effectively connected with a U.S. trade or business of the Non-U.S. Stockholder (or, if required by an applicable income tax treaty, is not attributable to a U.S. permanent establishment of the Non-U.S. Stockholder), the amount distributed (to the extent of our current or accumulated earnings and profits) will be subject to withholding of federal income tax at a 30% rate (or lower rate provided by an applicable income tax treaty) and only the net after-tax amount will be reinvested in our shares. If the distribution is effectively connected with a U.S. trade or business of the Non-U.S. Stockholder (and, if required by an applicable income tax treaty, is attributable to a U.S. permanent establishment of the Non-U.S. Stockholder), the full amount of the distribution generally will be reinvested in our common stock and will nevertheless be subject to federal income tax at the ordinary income rates applicable to U.S. persons. The Non-U.S. Stockholder will have an adjusted tax basis in the additional shares of our common stock purchased through the plan equal to the amount of the reinvested distribution. The additional shares of our common stock will have a new holding period commencing on the day following the day on which the shares of our common stock are credited to the Non-U.S. Stockholder’s account.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Foreign Account Tax Compliance Act (“FATCA”), a 30% withholding tax generally is imposed on payments of interest and dividends to</w:t>
      </w:r>
    </w:p>
    <w:p>
      <w:pPr>
        <w:spacing w:after="0" w:line="27" w:lineRule="exact"/>
        <w:rPr>
          <w:sz w:val="20"/>
          <w:szCs w:val="20"/>
          <w:color w:val="auto"/>
        </w:rPr>
      </w:pPr>
    </w:p>
    <w:p>
      <w:pPr>
        <w:ind w:right="40" w:firstLine="8"/>
        <w:spacing w:after="0" w:line="252" w:lineRule="auto"/>
        <w:tabs>
          <w:tab w:leader="none" w:pos="2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financial institutions including non-U.S. investment funds and (ii) certain other foreign entities, unless the foreign financial institution or foreign entity provides the withholding agent with documentation sufficient to show that it is compliant with FATCA (generally by providing the Company with a properly completed IRS Form W-8BEN or IRS Form W-8BEN-E, as applicable). If the payment is subject to the 30% withholding tax under FATCA, a non-U.S. shareholder will not be subject to the 30% withholding tax described above on the same income. Under proposed regulations, FATCA withholding on the gross proceeds of share redemptions and certain capital gain distributions, scheduled to take effect beginning January 1, 2019, has been eliminated. Such proposed regulations are subject to change. Shareholders are urged and advised to consult their own tax advisors regarding the application of the FATCA reporting and withholding regime to their own tax situation.</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Because of the fact-specific impact of the applicable U.S. tax rules and their interaction with tax treaties, Non-U.S. Stockholders are urged to consult their own tax advisor regarding the U.S. federal tax consequences of the holding, sale, exchange or other disposition of our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required in certain circumstances to backup withhold on certain payments paid to non-corporate stockholders of our common stock who do not furnish us with their correct taxpayer identification number (in the case of individuals, their social security number) and certain certifications, or who are otherwise subject to backup withholding. Backup withholding is not an additional tax. Any amounts withheld from payments made to you may be refunded or credited against your U.S. federal income tax liability, if any, provided that the required information is furnished to the 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Bank and Financial Accounts and Foreign Financial Asset Reporting Requirement</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 U.S. Stockholder that owns directly or indirectly more than 50% by vote or value of our common stock is urged and advised to consult its own tax advisor regarding its filing obligations with respect to IRS Form FinCEN 114, Report of Foreign Bank and Financial Accounts. Also, under certain rules, subject to exceptions, individuals (and, to the extent provided in forthcoming future Treasury regulations, certain domestic entities) must report annually their interests in “specified foreign financial assets” on their U.S. federal income tax returns. It is currently unclear whether and under what circumstances stockholders would be required to report their indirect interests in our “specified foreign financial assets” (if any) under these new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Stockholders may be subject to substantial penalties for failure to comply with these reporting requirements.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U.S. Stockholders are urged and advised to consult their own tax advisors to determine whether these reporting requirements are applicable to them.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Shelter Reporting Regulations</w:t>
      </w:r>
    </w:p>
    <w:p>
      <w:pPr>
        <w:spacing w:after="0" w:line="22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Under Treasury regulations, if a U.S. Stockholder recognizes a loss of $2 million or more for an individual U.S. Stockholder or $10 million or more for a corporate U.S. Stockholder, the U.S. Stockholder must file with the IRS a disclosure statement on IRS Form 8886. The fact that a loss is reportable under these regulations does not affect the legal determination of whether the taxpayer’s treatment of the loss is proper. U.S. Stockholders are urged and advised to consult their own tax advisors to determine the applicability of these regulations in light of their individual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Failure to Qualify or Maintain Status as a RIC</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in any taxable year, we fail to qualify as a RIC, we would be taxed in the same manner as a regular, or “C,” corporation and our stockholders would be taxed as stockholders in such a regular, or “C,” corporation. As a “C” corporation, we would be subject to U.S. federal income tax on our taxable income at the graduated rates applicable to corporations, currently at a flat rate of 21%, and our shareholders will be taxed on any distributions as described above.</w:t>
      </w:r>
    </w:p>
    <w:p>
      <w:pPr>
        <w:spacing w:after="0" w:line="17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THE PRECEDING DISCUSSION IS MERELY A SUMMARY OF CERTAIN MATERIAL U.S. FEDERAL INCOME TAX CONSIDERATIONS OF AN INVESTMENT IN OUR COMMON STOCK AND DOES NOT PURPORT TO BE COMPLETE IN ANY RESPECT. THIS SUMMARY IS PROVIDED FOR GENERAL INFORMATION ONLY AND SHOULD NOT BE CONSIDERED TAX ADVICE OR RELIED ON BY AN INVESTOR. ANY PROSPECTIVE INVESTOR CONSIDERING AN INVESTMENT IN OUR COMMON STOCK IS STRONGLY URGED TO CONSULT ITS OWN TAX ADVISORS REGARDING THE CONSEQUENCES OF SUCH AN INVESTMENT IN LIGHT OF SUCH INVESTOR'S PARTICULAR CIRCUMSTANCES.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ERISA CONSIDERATIONS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general summary of certain considerations applicable to an investment in us by an employee benefit plan subject to ERISA (as defined below) or Section 4975 of the Code.</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Employee Retirement Income Security Act of 1974, as amended (“ERISA”), and the Code, impose certain requirements on “employee benefit plans” (as defined in Section 3(3) of ERISA) subject to Title I of ERISA, or Section 4915 of the Code, including 401(k) plans, Keogh Plans of self-employed individuals and individual retirement accounts (“IRAs”) and including entities whose underlying assets include the assets of such plans (each, a “Benefit Plan” and collectively, “Benefit Plans”), and on those persons who are fiduciaries with respect to Benefit Plans. Section 406 of ERISA and Section 4975 of the Code prohibit certain transactions that involve the assets of Benefit Plans and certain persons (referred to as “parties in interest” or “disqualified persons”) having certain relationships to such Benefit Plans, except to the extent that a statutory or administrative exemption applies. A party in interest or disqualified person who engages in a non-exempt prohibited transaction may be subject to excise taxes and other penalties and liabilities under ERISA and Section 4975 of the Code.</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ERISA, as well as a regulation promulgated by the U.S. Department of Labor, as modified by Section 3(42) of ERISA (the “DOL Plan Asset Regulation”), generally provides as relevant here that, when a Benefit Plan acquires an equity interest in an entity that is issued by an investment company registered under the Investment Company Act, the Benefit Plan’s assets include the equity interest, but not, solely by reason of such investment, any of the underlying assets of the entity.</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Even if our assets are not “plan assets” for purposes of the fiduciary responsibility and prohibited transaction rules under ERISA or Section 4975 of the Code, a prohibited transaction could arise in connection with a Benefit Plan’s acquisition of our common stock. Consequently, the fiduciary of a Benefit Plan contemplating an investment in our common stock in the offering should consider, for example, whether we, any other person associated with the issuance of our common stock or any of their affiliates, is or might become a “party in interest” or “disqualified person” with respect to the Benefit Plan, and, if so, whether an exemption from such prohibited transaction rules is needed and is applicable.</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Each purchaser of our common stock in the offering will be deemed to have represented, warranted and agreed that its purchase and holding of our common stock do not and will not constitute or result in a non-exempt prohibited transaction under Section 406 of ERISA or Section 4975 of the Code.</w:t>
      </w:r>
    </w:p>
    <w:p>
      <w:pPr>
        <w:spacing w:after="0" w:line="15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THE PRECEDING DISCUSSION IS MERELY A SUMMARY OF CERTAIN ERISA AND CODE IMPLICATIONS OF AN INVESTMENT IN OUR COMMON STOCK AND DOES NOT PURPORT TO BE COMPLETE IN ANY RESPECT AND MAY BE AFFECTED BY FUTURE PUBLICATION OF REGULATIONS AND RULINGS. ANY PROSPECTIVE INVESTOR CONSIDERING AN INVESTMENT IN OUR COMMON STOCK IS STRONGLY URGED TO CONSULT ITS OWN LEGAL, TAX AND OTHER ADVISORS REGARDING THE CONSEQUENCES OF SUCH AN INVESTMENT UNDER ERISA AND SECTION 4972 OF THE CODE IN LIGHT OF SUCH INVESTOR’S PARTICULAR CIRCUMSTANCES.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CLOSED-END FUND STRUCTURE</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registered as a non-diversified, closed-end management investment company under the Investment Company Act, commonly referred to as a “closed-end investment company.” Closed-end management investment companies differ from open-end management investment companies (commonly referred to as “mutual funds”) in that closed-end investment companies generally list their shares for trading on a stock exchange and do not redeem their stock at the request of the stockholder. This means that if a stockholder wishes to sell shares of a closed-end management investment company, he or she must trade them on the market like any other stock at the prevailing market price at that time. In a mutual fund, if the stockholder wishes to sell shares of the company, the mutual fund will redeem, or buy back, the shares at NAV. Mutual funds also generally offer new shares on a continuous basis to new investors, and closed-end management investment companies generally do not. The continuous inflows and outflows of assets in a mutual fund can make it difficult to manage investments. By comparison, closed-end management investment companies are generally able to stay more fully invested in securities that are consistent with their investment objectives and also have greater flexibility to make certain types of investments and to use certain investment strategies, such as financial leverage and investments in illiquid securities.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When shares of closed-end management investment companies are traded, they frequently trade at a discount to their NAV.</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See “Risk Factors—Risks Related to Offerings.” This characteristic of shares of closed-end management investment companies is a risk separate and distinct from the risk that the closed-end management investment company’s NAV may decrease as a result of investment activities. Our conversion to an open-end mutual fund would require an amendment to our Charter. Our shares of common stock are listed on the NASDAQ Global Select Market under the symbol “BANX.”</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selected Tait, Weller &amp; Baker LLP as our independent registered public accounting firm. Their principal business address is 50 South 16th Street, Suite 2900, Philadelphia, PA 19102.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ADMINISTRATOR, CUSTODIAN, TRANSFER AND DIVIDEND PAYING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 Investment Servicing (US) Inc., 4400 Computer Drive, Westborough, Massachusetts 01581, serves as our administrator.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located at 2 Hanson Place, Brooklyn, New York 11217, serves as our custodian.</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Computershare Trust Company, N.A., 250 Royall Street, Canton, Massachusetts 02021, is the transfer agent and registrar for our common stock and serves as our dividend paying agent.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any future offering will be passed upon for us by Troutman Pepper Hamilton Sanders LLP, Philadelphia, Pennsylvania.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matters discussed under “Prospectus Summary,” “Risk Factors,” “Distribution Policy,” “The Company” and elsewhere in this prospectus, as well as in future oral and written statements by our management, that are forward-looking statements are based on current management expectations that involve substantial risks and uncertainties that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“targets,” “projects,” “contemplates,” “believes,” “estimates,” “predicts,” “potential” or “continue” or the negative of these terms or other similar words. Important assumptions include our ability to originate new investments and achieve certain levels of return, the availability to us of additional capital and the ability to maintain certain debt to asset ratios. In light of these and other uncertainties, the inclusion of a forward-looking statement in this prospectus should not be regarded as a representation by us that our plans or objectives will be achieved. Statements regarding the following subjects are forward-looking by their nature:</w:t>
      </w:r>
    </w:p>
    <w:p>
      <w:pPr>
        <w:spacing w:after="0" w:line="188"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effectively the proceeds of any future offering and manage our anticipated growth;</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future financing arrangements;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relating to, and our ability to make, future distributions;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marketplace;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capital and operating expenditures, including fees paid to our affiliates;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technology on our operations and business.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 You should carefully consider these risks before you make an investment decision with respect to our securities, along with the following factors that could cause actual results to vary from our forward-looking statements:</w:t>
      </w:r>
    </w:p>
    <w:p>
      <w:pPr>
        <w:spacing w:after="0" w:line="180"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referenced in this prospectus, including those set forth under the sections captioned “Risk Factors” and “The Company;”</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of the capital markets and the market price of our common stock;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terms and deployment of capital;</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qualified personnel;</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sectors in which we invest, interest rates or the general economy;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default and/or decreased recovery rates relating to our investments;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rules or regulations;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the requirements for treatment as a RIC;</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prepayments relating to our investments;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You should not place undue reliance on these forward-looking statements, which apply only as of the date of this prospectus. We are not obligated, and do not undertake an obligation, to update or revise any forward-looking statements, whether as a result of new information, future events or otherwise.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applicable prospectus supplement is terminated will automatically update and, where applicable, supersede any information contained in this prospectus or incorporated by reference in this prospectus.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our filings listed below and any future filings that we may file with the SEC under Section 13(a), 13(c), 14 or 15(d) of the Securities Exchange Act of 1934, until all of the Securities offered by this prospectus and any applicable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applicable prospectus supplement. Information that we file with the SEC will automatically update and may supersede information in this prospectus, any applicable prospectus supplement and information previously filed with the SEC.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and any applicable prospectus supplement incorporate by reference the documents set forth below that have previously been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207"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Statement of Additional Information, dated December 13, 2025, filed with this prospectus;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4">
        <w:r>
          <w:rPr>
            <w:rFonts w:ascii="Times New Roman" w:cs="Times New Roman" w:eastAsia="Times New Roman" w:hAnsi="Times New Roman"/>
            <w:sz w:val="18"/>
            <w:szCs w:val="18"/>
            <w:u w:val="single" w:color="auto"/>
            <w:color w:val="0000EE"/>
          </w:rPr>
          <w:t>Annual Report on Form N-CSR/A</w:t>
        </w:r>
      </w:hyperlink>
      <w:r>
        <w:rPr>
          <w:rFonts w:ascii="Times New Roman" w:cs="Times New Roman" w:eastAsia="Times New Roman" w:hAnsi="Times New Roman"/>
          <w:sz w:val="18"/>
          <w:szCs w:val="18"/>
          <w:color w:val="auto"/>
        </w:rPr>
        <w:t>, filed with the SEC on March 20, 2024;</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99">
        <w:r>
          <w:rPr>
            <w:rFonts w:ascii="Times New Roman" w:cs="Times New Roman" w:eastAsia="Times New Roman" w:hAnsi="Times New Roman"/>
            <w:sz w:val="18"/>
            <w:szCs w:val="18"/>
            <w:u w:val="single" w:color="auto"/>
            <w:color w:val="0000EE"/>
          </w:rPr>
          <w:t>Semi-Annual Report on Form N-CSR</w:t>
        </w:r>
      </w:hyperlink>
      <w:r>
        <w:rPr>
          <w:rFonts w:ascii="Times New Roman" w:cs="Times New Roman" w:eastAsia="Times New Roman" w:hAnsi="Times New Roman"/>
          <w:sz w:val="18"/>
          <w:szCs w:val="18"/>
          <w:color w:val="auto"/>
        </w:rPr>
        <w:t>, filed with the SEC on August 23, 2024;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20">
        <w:r>
          <w:rPr>
            <w:rFonts w:ascii="Times New Roman" w:cs="Times New Roman" w:eastAsia="Times New Roman" w:hAnsi="Times New Roman"/>
            <w:sz w:val="18"/>
            <w:szCs w:val="18"/>
            <w:u w:val="single" w:color="auto"/>
            <w:color w:val="0000EE"/>
          </w:rPr>
          <w:t>Description of Common Stock on Form 8-A</w:t>
        </w:r>
      </w:hyperlink>
      <w:r>
        <w:rPr>
          <w:rFonts w:ascii="Times New Roman" w:cs="Times New Roman" w:eastAsia="Times New Roman" w:hAnsi="Times New Roman"/>
          <w:sz w:val="18"/>
          <w:szCs w:val="18"/>
          <w:color w:val="auto"/>
        </w:rPr>
        <w:t>, filed with the SEC on November 6, 2013.</w:t>
      </w:r>
    </w:p>
    <w:p>
      <w:pPr>
        <w:spacing w:after="0" w:line="207" w:lineRule="exact"/>
        <w:rPr>
          <w:rFonts w:ascii="Times New Roman" w:cs="Times New Roman" w:eastAsia="Times New Roman" w:hAnsi="Times New Roman"/>
          <w:sz w:val="18"/>
          <w:szCs w:val="18"/>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To obtain a copy of these filings, see “Available Information,” or you may request a copy of these filings (other than exhibits, unless the exhibits are specifically incorporated by reference into these documents) at no cost by writing or calling the following address and telephone number:</w:t>
      </w:r>
    </w:p>
    <w:p>
      <w:pPr>
        <w:spacing w:after="0" w:line="162"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ArrowMark Asset Management, LLC</w:t>
      </w:r>
    </w:p>
    <w:p>
      <w:pPr>
        <w:spacing w:after="0" w:line="2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 Fillmore Street, Suite 325</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Denver, Colorado 80206</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(212)-468-5441</w:t>
      </w:r>
    </w:p>
    <w:p>
      <w:pPr>
        <w:spacing w:after="0" w:line="207" w:lineRule="exact"/>
        <w:rPr>
          <w:rFonts w:ascii="Times New Roman" w:cs="Times New Roman" w:eastAsia="Times New Roman" w:hAnsi="Times New Roman"/>
          <w:sz w:val="18"/>
          <w:szCs w:val="18"/>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39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83" w:name="page84"/>
    <w:bookmarkEnd w:id="8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ARROWMARK FINANCIAL CORP.</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STATEMENT OF ADDITIONAL INFORMATION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dated February 18, 2025,</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as supplemented and restated December 15, 2025</w:t>
      </w:r>
    </w:p>
    <w:p>
      <w:pPr>
        <w:spacing w:after="0" w:line="20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In this Statement of Additional Information (“SAI”), unless the context suggests otherwise, references to “we,” “us,” “Company,” “our company” or “our” refer to ArrowMark Financial Corp., a Delaware corporation and its subsidiaries. We are a non-diversified, closed-end management investment company. References to “Adviser” mean ArrowMark Asset Management, LLC (“ArrowMark”), a Delaware limited liability company; references to “ArrowMark Partners” mean ArrowMark Colorado Holdings, LLC, the parent of our Adviser; and references to “common stock” or “shares” mean the common stock of ArrowMark Financial Corp.</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This SAI, relating to our securities, does not constitute a prospectus, but should be read in conjunction with our prospectus dated February 18, 2025. This SAI does not include all information that a prospective investor should consider before purchasing common stock, and investors should obtain and read our prospectus prior to purchasing common stock. You may obtain a copy of the prospectus from us without charge by calling (212)-468-5441. You also may obtain a copy of our prospectus on the Securities and Exchange Commission’s (the “SEC”) website (http://www.sec.gov). Capitalized terms used but not defined in this SAI have the meanings ascribed to them in the prospectus.</w:t>
      </w:r>
    </w:p>
    <w:p>
      <w:pPr>
        <w:spacing w:after="0" w:line="18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No person has been authorized to give any information or to make any representations not contained in the prospectus or in this SAI in connection with the offering made by the prospectus, and, if given or made, such information or representations must not be relied upon as having been authorized by us. The prospectus and this SAI do not constitute an offering by us in any jurisdiction in which such offering may not lawfully be made.</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SAI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00" w:type="dxa"/>
            <w:vAlign w:val="bottom"/>
            <w:gridSpan w:val="4"/>
          </w:tcPr>
          <w:p>
            <w:pPr>
              <w:ind w:left="204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96"/>
        </w:trPr>
        <w:tc>
          <w:tcPr>
            <w:tcW w:w="40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DISCUSSION OF MANAGEMENT’S OPERATIONS</w:t>
            </w:r>
          </w:p>
        </w:tc>
        <w:tc>
          <w:tcPr>
            <w:tcW w:w="4640" w:type="dxa"/>
            <w:vAlign w:val="bottom"/>
            <w:tcBorders>
              <w:bottom w:val="single" w:sz="8" w:color="CCEEFF"/>
            </w:tcBorders>
            <w:gridSpan w:val="3"/>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r>
      <w:tr>
        <w:trPr>
          <w:trHeight w:val="175"/>
        </w:trPr>
        <w:tc>
          <w:tcPr>
            <w:tcW w:w="86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INVESTMENT RESTRICTIONS</w:t>
            </w:r>
          </w:p>
        </w:tc>
        <w:tc>
          <w:tcPr>
            <w:tcW w:w="2220" w:type="dxa"/>
            <w:vAlign w:val="bottom"/>
            <w:gridSpan w:val="3"/>
          </w:tcPr>
          <w:p>
            <w:pPr>
              <w:ind w:left="2040"/>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380" w:type="dxa"/>
            <w:vAlign w:val="bottom"/>
          </w:tcPr>
          <w:p>
            <w:pPr>
              <w:spacing w:after="0"/>
              <w:rPr>
                <w:sz w:val="15"/>
                <w:szCs w:val="15"/>
                <w:color w:val="auto"/>
              </w:rPr>
            </w:pPr>
          </w:p>
        </w:tc>
      </w:tr>
      <w:tr>
        <w:trPr>
          <w:trHeight w:val="21"/>
        </w:trPr>
        <w:tc>
          <w:tcPr>
            <w:tcW w:w="1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86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2220" w:type="dxa"/>
            <w:vAlign w:val="bottom"/>
            <w:gridSpan w:val="3"/>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0000EE"/>
              </w:rPr>
              <w:t>8</w:t>
            </w:r>
          </w:p>
        </w:tc>
        <w:tc>
          <w:tcPr>
            <w:tcW w:w="380" w:type="dxa"/>
            <w:vAlign w:val="bottom"/>
            <w:shd w:val="clear" w:color="auto" w:fill="CCEEFF"/>
          </w:tcPr>
          <w:p>
            <w:pPr>
              <w:spacing w:after="0"/>
              <w:rPr>
                <w:sz w:val="15"/>
                <w:szCs w:val="15"/>
                <w:color w:val="auto"/>
              </w:rPr>
            </w:pPr>
          </w:p>
        </w:tc>
      </w:tr>
      <w:tr>
        <w:trPr>
          <w:trHeight w:val="21"/>
        </w:trPr>
        <w:tc>
          <w:tcPr>
            <w:tcW w:w="1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2220" w:type="dxa"/>
            <w:vAlign w:val="bottom"/>
            <w:gridSpan w:val="3"/>
          </w:tcPr>
          <w:p>
            <w:pPr>
              <w:ind w:left="2040"/>
              <w:spacing w:after="0" w:line="176" w:lineRule="exact"/>
              <w:rPr>
                <w:sz w:val="20"/>
                <w:szCs w:val="20"/>
                <w:color w:val="auto"/>
              </w:rPr>
            </w:pPr>
            <w:r>
              <w:rPr>
                <w:rFonts w:ascii="Times New Roman" w:cs="Times New Roman" w:eastAsia="Times New Roman" w:hAnsi="Times New Roman"/>
                <w:sz w:val="18"/>
                <w:szCs w:val="18"/>
                <w:color w:val="0000EE"/>
                <w:w w:val="88"/>
              </w:rPr>
              <w:t>15</w:t>
            </w:r>
          </w:p>
        </w:tc>
        <w:tc>
          <w:tcPr>
            <w:tcW w:w="380" w:type="dxa"/>
            <w:vAlign w:val="bottom"/>
          </w:tcPr>
          <w:p>
            <w:pPr>
              <w:spacing w:after="0"/>
              <w:rPr>
                <w:sz w:val="15"/>
                <w:szCs w:val="15"/>
                <w:color w:val="auto"/>
              </w:rPr>
            </w:pPr>
          </w:p>
        </w:tc>
      </w:tr>
      <w:tr>
        <w:trPr>
          <w:trHeight w:val="20"/>
        </w:trPr>
        <w:tc>
          <w:tcPr>
            <w:tcW w:w="1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86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PORTFOLIO MANAGERS</w:t>
            </w:r>
          </w:p>
        </w:tc>
        <w:tc>
          <w:tcPr>
            <w:tcW w:w="2220" w:type="dxa"/>
            <w:vAlign w:val="bottom"/>
            <w:gridSpan w:val="3"/>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0000EE"/>
                <w:w w:val="88"/>
              </w:rPr>
              <w:t>17</w:t>
            </w:r>
          </w:p>
        </w:tc>
        <w:tc>
          <w:tcPr>
            <w:tcW w:w="380" w:type="dxa"/>
            <w:vAlign w:val="bottom"/>
            <w:shd w:val="clear" w:color="auto" w:fill="CCEEFF"/>
          </w:tcPr>
          <w:p>
            <w:pPr>
              <w:spacing w:after="0"/>
              <w:rPr>
                <w:sz w:val="15"/>
                <w:szCs w:val="15"/>
                <w:color w:val="auto"/>
              </w:rPr>
            </w:pPr>
          </w:p>
        </w:tc>
      </w:tr>
      <w:tr>
        <w:trPr>
          <w:trHeight w:val="20"/>
        </w:trPr>
        <w:tc>
          <w:tcPr>
            <w:tcW w:w="1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PORTFOLIO TRANSACTIONS AND BROKERAGE</w:t>
            </w:r>
          </w:p>
        </w:tc>
        <w:tc>
          <w:tcPr>
            <w:tcW w:w="2220" w:type="dxa"/>
            <w:vAlign w:val="bottom"/>
            <w:gridSpan w:val="3"/>
          </w:tcPr>
          <w:p>
            <w:pPr>
              <w:ind w:left="2040"/>
              <w:spacing w:after="0" w:line="176" w:lineRule="exact"/>
              <w:rPr>
                <w:sz w:val="20"/>
                <w:szCs w:val="20"/>
                <w:color w:val="auto"/>
              </w:rPr>
            </w:pPr>
            <w:r>
              <w:rPr>
                <w:rFonts w:ascii="Times New Roman" w:cs="Times New Roman" w:eastAsia="Times New Roman" w:hAnsi="Times New Roman"/>
                <w:sz w:val="18"/>
                <w:szCs w:val="18"/>
                <w:color w:val="0000EE"/>
                <w:w w:val="88"/>
              </w:rPr>
              <w:t>18</w:t>
            </w:r>
          </w:p>
        </w:tc>
        <w:tc>
          <w:tcPr>
            <w:tcW w:w="380" w:type="dxa"/>
            <w:vAlign w:val="bottom"/>
          </w:tcPr>
          <w:p>
            <w:pPr>
              <w:spacing w:after="0"/>
              <w:rPr>
                <w:sz w:val="15"/>
                <w:szCs w:val="15"/>
                <w:color w:val="auto"/>
              </w:rPr>
            </w:pPr>
          </w:p>
        </w:tc>
      </w:tr>
      <w:tr>
        <w:trPr>
          <w:trHeight w:val="21"/>
        </w:trPr>
        <w:tc>
          <w:tcPr>
            <w:tcW w:w="1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9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w:t>
            </w:r>
          </w:p>
        </w:tc>
        <w:tc>
          <w:tcPr>
            <w:tcW w:w="3680" w:type="dxa"/>
            <w:vAlign w:val="bottom"/>
            <w:tcBorders>
              <w:bottom w:val="single" w:sz="8" w:color="CCEEFF"/>
            </w:tcBorders>
            <w:gridSpan w:val="2"/>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88"/>
              </w:rPr>
              <w:t>19</w:t>
            </w:r>
          </w:p>
        </w:tc>
        <w:tc>
          <w:tcPr>
            <w:tcW w:w="380" w:type="dxa"/>
            <w:vAlign w:val="bottom"/>
            <w:tcBorders>
              <w:bottom w:val="single" w:sz="8" w:color="CCEEFF"/>
            </w:tcBorders>
            <w:shd w:val="clear" w:color="auto" w:fill="CCEEFF"/>
          </w:tcPr>
          <w:p>
            <w:pPr>
              <w:spacing w:after="0"/>
              <w:rPr>
                <w:sz w:val="17"/>
                <w:szCs w:val="17"/>
                <w:color w:val="auto"/>
              </w:rPr>
            </w:pPr>
          </w:p>
        </w:tc>
      </w:tr>
      <w:tr>
        <w:trPr>
          <w:trHeight w:val="175"/>
        </w:trPr>
        <w:tc>
          <w:tcPr>
            <w:tcW w:w="86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PROXY VOTING POLICIES</w:t>
            </w:r>
          </w:p>
        </w:tc>
        <w:tc>
          <w:tcPr>
            <w:tcW w:w="2220" w:type="dxa"/>
            <w:vAlign w:val="bottom"/>
            <w:gridSpan w:val="3"/>
          </w:tcPr>
          <w:p>
            <w:pPr>
              <w:ind w:left="2040"/>
              <w:spacing w:after="0" w:line="176" w:lineRule="exact"/>
              <w:rPr>
                <w:sz w:val="20"/>
                <w:szCs w:val="20"/>
                <w:color w:val="auto"/>
              </w:rPr>
            </w:pPr>
            <w:r>
              <w:rPr>
                <w:rFonts w:ascii="Times New Roman" w:cs="Times New Roman" w:eastAsia="Times New Roman" w:hAnsi="Times New Roman"/>
                <w:sz w:val="18"/>
                <w:szCs w:val="18"/>
                <w:color w:val="0000EE"/>
                <w:w w:val="88"/>
              </w:rPr>
              <w:t>19</w:t>
            </w:r>
          </w:p>
        </w:tc>
        <w:tc>
          <w:tcPr>
            <w:tcW w:w="380" w:type="dxa"/>
            <w:vAlign w:val="bottom"/>
          </w:tcPr>
          <w:p>
            <w:pPr>
              <w:spacing w:after="0"/>
              <w:rPr>
                <w:sz w:val="15"/>
                <w:szCs w:val="15"/>
                <w:color w:val="auto"/>
              </w:rPr>
            </w:pPr>
          </w:p>
        </w:tc>
      </w:tr>
      <w:tr>
        <w:trPr>
          <w:trHeight w:val="21"/>
        </w:trPr>
        <w:tc>
          <w:tcPr>
            <w:tcW w:w="1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6480" w:type="dxa"/>
            <w:vAlign w:val="bottom"/>
            <w:tcBorders>
              <w:bottom w:val="single" w:sz="8" w:color="CCEEFF"/>
            </w:tcBorders>
            <w:gridSpan w:val="9"/>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88"/>
              </w:rPr>
              <w:t>20</w:t>
            </w:r>
          </w:p>
        </w:tc>
        <w:tc>
          <w:tcPr>
            <w:tcW w:w="380" w:type="dxa"/>
            <w:vAlign w:val="bottom"/>
            <w:tcBorders>
              <w:bottom w:val="single" w:sz="8" w:color="CCEEFF"/>
            </w:tcBorders>
            <w:shd w:val="clear" w:color="auto" w:fill="CCEEFF"/>
          </w:tcPr>
          <w:p>
            <w:pPr>
              <w:spacing w:after="0"/>
              <w:rPr>
                <w:sz w:val="17"/>
                <w:szCs w:val="17"/>
                <w:color w:val="auto"/>
              </w:rPr>
            </w:pPr>
          </w:p>
        </w:tc>
      </w:tr>
      <w:tr>
        <w:trPr>
          <w:trHeight w:val="176"/>
        </w:trPr>
        <w:tc>
          <w:tcPr>
            <w:tcW w:w="864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2220" w:type="dxa"/>
            <w:vAlign w:val="bottom"/>
            <w:gridSpan w:val="3"/>
          </w:tcPr>
          <w:p>
            <w:pPr>
              <w:ind w:left="2040"/>
              <w:spacing w:after="0" w:line="176" w:lineRule="exact"/>
              <w:rPr>
                <w:sz w:val="20"/>
                <w:szCs w:val="20"/>
                <w:color w:val="auto"/>
              </w:rPr>
            </w:pPr>
            <w:r>
              <w:rPr>
                <w:rFonts w:ascii="Times New Roman" w:cs="Times New Roman" w:eastAsia="Times New Roman" w:hAnsi="Times New Roman"/>
                <w:sz w:val="18"/>
                <w:szCs w:val="18"/>
                <w:color w:val="0000EE"/>
                <w:w w:val="88"/>
              </w:rPr>
              <w:t>20</w:t>
            </w:r>
          </w:p>
        </w:tc>
        <w:tc>
          <w:tcPr>
            <w:tcW w:w="380" w:type="dxa"/>
            <w:vAlign w:val="bottom"/>
          </w:tcPr>
          <w:p>
            <w:pPr>
              <w:spacing w:after="0"/>
              <w:rPr>
                <w:sz w:val="15"/>
                <w:szCs w:val="15"/>
                <w:color w:val="auto"/>
              </w:rPr>
            </w:pPr>
          </w:p>
        </w:tc>
      </w:tr>
      <w:tr>
        <w:trPr>
          <w:trHeight w:val="20"/>
        </w:trPr>
        <w:tc>
          <w:tcPr>
            <w:tcW w:w="1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86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2220" w:type="dxa"/>
            <w:vAlign w:val="bottom"/>
            <w:gridSpan w:val="3"/>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0000EE"/>
                <w:w w:val="88"/>
              </w:rPr>
              <w:t>20</w:t>
            </w:r>
          </w:p>
        </w:tc>
        <w:tc>
          <w:tcPr>
            <w:tcW w:w="380" w:type="dxa"/>
            <w:vAlign w:val="bottom"/>
            <w:shd w:val="clear" w:color="auto" w:fill="CCEEFF"/>
          </w:tcPr>
          <w:p>
            <w:pPr>
              <w:spacing w:after="0"/>
              <w:rPr>
                <w:sz w:val="15"/>
                <w:szCs w:val="15"/>
                <w:color w:val="auto"/>
              </w:rPr>
            </w:pPr>
          </w:p>
        </w:tc>
      </w:tr>
      <w:tr>
        <w:trPr>
          <w:trHeight w:val="21"/>
        </w:trPr>
        <w:tc>
          <w:tcPr>
            <w:tcW w:w="1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DISCUSSION OF MANAGEMENT’S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ArrowMark Financial Corp. (originally, StoneCastle Financial Corp.) was organized on February 7, 2013 as a Delaware corporation, established to make investments in support of the ongoing capital needs of bank and banking-related institutions. The Company invests in banks and financial institutions including community banks, larger regional, national and money center banks domiciled in the United States and foreign and global money center banks.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investment objective is to provide stockholders with current income and, to a lesser extent, capital appreciation.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focused on income generation, capital preservation, and providing risk-adjusted returns. We attempt to achieve our investment objective through investment in preferred equity, debt and subordinated debt, structured notes and securities, convertible securities (including contingent convertible securities), regulatory capital relief securities and common equity issued or structured by banks and financial institutions including community banks, larger regional, national and money center banks domiciled in the United States and foreign and global money center banks. (“banking-related securities”). We make investments that will generally be expected to pay us dividends and interest on a current basis and generate capital gains over time. We may seek to enhance our returns through the use of warrants, options and other equity conversion features. The term “risk-adjusted returns” refers to the profile of expected asset returns across a range of potential macroeconomic scenarios, and does not imply that a particular strategy or investment should be considered low-risk. We have a policy to invest, under normal circumstances, at least 80% of the value of our net assets plus the amount of any borrowings for investment purposes in such banking-related securities.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investments that will generally be expected to pay us dividends and interest on a current basis and generate capital gains over time. We may seek to enhance our returns through the use of warrants, options and other equity conversion features. We have elected to be treated, and intend to comply with the requirements to qualify annually, as a RIC under Subchapter M of the Code. We do not expect to be regulated as a bank holding company or a savings and loan holding company by the Federal Reserve.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intend to generate revenue in the form of dividends on dividend-paying equity securities as well as interest payable on the debt investments that we hold. In addition, we intend to generate revenue in the form of capital gains through equity securities, warrants, options and other equity interests. We expect to invest the majority of our assets in preferred equity, subordinated debt, regulatory capital relief securities, convertible securities (including contingent convertible securities) and common equity that pay cash dividends and interest on a recurring or customized basis. We may invest in unsecured debt issued by community banks, and we currently expect these investments to have maturities in excess of ten years to enable our borrowers to obtain favorable regulatory capital treatment. We currently intend to structure our investments to provide for quarterly dividend and interest payments. To meet certain regulatory requirements of the banks in which we invest, we may structure investments to provide that dividends may be deferrable on a cumulative or non-cumulative basis. Because only TARP Preferred and certain securities issued by small bank holding companies, defined as holding companies with less than $500 million in consolidated assets, may be cumulative and qualify as Tier 1 capital, we expect that the majority of the new issue preferred stock in which we invest will be non-cumulative. However, investors should be aware that up to 100% of our portfolio may consist of non-cumulative preferred equity securities or may consist of a substantial amount of cumulative preferred equity securities, or any combination in between these scenarios. Based upon management’s prior experience, we may receive up-front fee revenue from bank issuers in connection with newly originated securities. Such fees may range from 0% to 3% of the amount we invest and will be paid in cash or in kind. We also may receive fee income from underlying banks in connection with our investments. See “Fee Income.”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operating expenses will include the payment of management fees and operating expenses, including a portion of any overhead expenses of the Adviser and its affiliates that are allocable to us by our Adviser upon its reasonable determination that such expenses provided a benefit to us Our management fees compensate our Adviser for its investment advisory and management services. The management fees are limited to a fixed percentage of our assets. Pursuant to the management agreement, our Adviser also furnishes, or arranges for the furnishing of us with office facilities and clerical, administrative services necessary for our operation (other than services provided by our custodian, accounting agent, administrator, dividend and interest paying agent, transfer agent and other service providers). We bear all expenses not specifically assumed by our Adviser and incurred in our operations, and we bear the expenses related to any future offering. We expect to reimburse our Adviser to the extent these expenses are paid by our Adviser. See “Management-Management Agreement-Payment of Our Expenses.” We may also pay a portion of the fee income that we receive from community banks in connection with our investments in them to one or more unaffiliated brokers for introducing us to such opportunities. Our Adviser is not paid an incentive fee and does not participate in our profits in its capacity as Adviser. See “Management-Management Agreement.”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affiliates of our Adviser, however, may participate in our profits to the extent of their ownership of common stock. See “Certain Relationships and Related Party Transactions.”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but are not required to, enter into interest rate hedging agreements to hedge interest rate risk associated with any indebtedness we may incur. Such hedging activities, subject to compliance with our exemption from registration under the Commodity Exchange Act of 1936, as amended (the “CEA”), may include the use of interest rate transactions such as swaps, caps, floors, repurchase agreements and reverse repurchase agreements. We will bear any costs incurred in entering into and settling such contracts. There is no assurance that any hedging strategy we may employ will be successful. See “Risk Factors - Risks Related to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generate cash primarily from: (i) the net proceeds of offering our common stock and (ii) cash flows from operations, including interest earned from the temporary investment of cash. We also fund a portion of our investments through borrowings from banks or other lenders. In the future, we may also fund a portion of our investments by creating a wholly-owned subsidiary to facilitate secured borrowing structures. We believe that the use of special purpose entities to hold our assets will permit us to potentially obtain less expensive leverage than we might otherwise be able to obtain because it will facilitate our ability to obtain favorable ratings, which in turn may reduce the cost of leverage. However, the lenders to these special purpose entities typically impose substantial restrictions on the assets contained in such special purpose entities such as restrictions on our ability to encumber them. There can be no assurances that a wholly-owned subsidiary will be able to obtain more favorable borrowing terms. We do not expect to incur such indebtedness through special purpose entities until we have substantially invested the proceeds of any future offering in securities that meet our investment objective. Our primary use of funds has been and will continue to be to make investments in companies, pay expenses and pay cash dividends to our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pay quarterly distributions to our stockholders in an amount, and on a timely basis, sufficient to obtain and maintain our status as a RIC. Investment company taxable income includes, among other items, dividends, interest and the excess of any net short-term capital gains over net long-term capital losses, reduced by deductible expenses.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elected to be treated and intend to comply with the requirements to qualify annually as an RIC. For federal income tax purposes, as a RIC we are required to distribute substantially all of our net investment income each year both to avoid federal income tax on our distributed income and to avoid a potential excise tax. If our ability to make distributions on our common stock is limited, such limitations could, under certain circumstances, impair our ability to maintain a qualification for taxation as a RIC, which would have adverse consequences for our stockholders. See “Material U.S. Federal Income Tax Considerations.”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 management agreement with our Adviser pursuant to which our Adviser has agreed to: (i) serve as our investment adviser in exchange for the consideration set forth therein; and (ii) furnish us with the facilities and administrative services necessary to conduct our day-to-day operations and to provide on our behalf managerial assistance to certain of our portfolio companies. See “Management-Management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Payments under the management agreement consist of a management fee based on a percentage of the value of our Managed Assets, as well as reimbursement of expenses of the Adviser. The compensation and allocable routine overhead expenses of all investment professionals of our Adviser and its staff, when and to the extent engaged in providing us investment advisory services, are provided and paid for by our Adviser or one of its affiliates and not us, although we may reimburse our Adviser an amount equal to our allocable portion of overhead and other expenses incurred by our Adviser in performing its obligations under the management agreement. See “Management-Management Agreement-Management Fee” and “Management-Management Agreement-Payment of our Expenses.”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management agreement with our Adviser was initially approved by our board of directors on December 5, 2020. A discussion regarding the basis for the board’s most recent continuation of the management agreement is available in the Company’s Annual Report to stockholders for the fiscal year ended December 31, 2023, which is publicly filed with the SEC. The management agreement with our Adviser may be terminated at any time, without payment or penalty, by vote of our board of directors, by vote of a majority of our voting securities, or by our Adviser, in each case on not less than 60 days’ written notice. As required by the Investment Company Act of 1940, as amended (the “Investment Company Act”), the management agreement with our Adviser will terminate automatically in the event of its assignment. See “Management” and “Portfolio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accounting principles generally accepted in the United States (or “US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Portfolio Investments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requires us to estimate the value of our investments and the related amounts of unrealized appreciation and depreciation of investments recorded. We invest primarily in illiquid securities, including debt and equity securities of primarily privately-held or thinly-traded public companies, and regulatory capital relief securities. Our investments generally are subject to restrictions on resale and in the case of privately-held companies, generally, will have no established trading market. We value all of our privately-held investments at fair value. We determine fair value of our privately-held investments to be the amount for which an investment could be exchanged in an orderly disposition over a reasonable period of time between willing parties, other than in a forced or liquidation sale. If market quotations become readily available for an investment, we will use such market quotations to value the investment.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engaged regionally or nationally recognized independent valuation firms to assist in determining the fair value of our investments that do not have readily available market prices or quotations. In the event an investment does not have a readily determinable price, our board of directors reviews valuations from one or more regionally or nationally recognized independent valuation firms along with a valuation provided by our Adviser. Our board of directors regularly reviews and evaluates our valuation methodology and any such valuation service it uses and the historical accuracy of such valuation methodologies. The Company will determine fair value of its assets and liabilities in accordance with valuation procedures adopted by our board of directors. The methods for valuing these investments may include fundamental analysis, market prices of similar securities, purchase price of securities, subsequent private transactions in the security or related securities, discounted cash flow analysis, multiple analysis, or discounts applied to the nature and duration of restrictions on the disposition of the securities, as well as a combination of these and other factors. Because such valuations, and particularly valuations of privately-held securities and private companies, are inherently uncertain, may fluctuate over short periods of time, and may be based on estimates, our determinations of fair value have, and may in the future differ materially from the values that would have been used if a ready market for these securities existed. Our NAV could be adversely affected if our determinations regarding the fair value of our investments were materially higher than the values that we ultimately realize upon the disposal of such securities.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jc w:val="both"/>
        <w:spacing w:after="0" w:line="256" w:lineRule="auto"/>
        <w:rPr>
          <w:sz w:val="20"/>
          <w:szCs w:val="20"/>
          <w:color w:val="auto"/>
        </w:rPr>
      </w:pPr>
      <w:r>
        <w:rPr>
          <w:rFonts w:ascii="Times New Roman" w:cs="Times New Roman" w:eastAsia="Times New Roman" w:hAnsi="Times New Roman"/>
          <w:sz w:val="18"/>
          <w:szCs w:val="18"/>
          <w:color w:val="auto"/>
        </w:rPr>
        <w:t>Our preferred and common equity investments as well as our equity-related investments (including warrants and options) in portfolio companies (collectively, “Equity Investments”) for which there is no liquid public market are valued at fair value, which are determined using a range of valuation techniques. The determined fair values generally are discounted to account for restrictions on resale and minority ownership positions. The value of our Equity Investments in public companies for which market quotations are readily available will be based upon the closing public market price on the measurement date. Securities with sale restrictions will typically be valued at a discount from the public market value of the security. Our board of directors may consider other methods of accounting to value our investments as appropriate in conformity with US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and Interest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dividend income on the ex-dividend date. We record interest income, which reflects the amortization of premiums and includes accretion of discounts for financial reporting purposes, on an accrual basis. To the extent we receive dividends that are eligible for qualified dividend income treatment (if received by a noncorporate holder) or the dividends received deduction (if received by a corporate holder), we report such information to our stockholders so that they can take advantage of the preferential income tax rules that would apply to the portion of our distributions that correspond to such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Fee income includes our fees, if any, for due diligence, structuring, commitment and facility fees, and fees, if any, for transaction services, consulting services and management services rendered to portfolio companies and other third parties. We recognize commitment and facility fees for debt generally as income over the life of the underlying loan, and we recognize commitment and facility fees for perpetual stock generally as income in the year the investment is consummated. We recognize due diligence, structuring, transaction service, consulting and management service fees generally as income when services are rendered.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RESTRICTIONS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restrictions listed below are policies of the Company. Except as described herein, the Company may not alter these policies without the approval of the holders of a majority of its outstanding shares. For purposes of the foregoing, “a majority of the outstanding shares” means (i) 67% or more of such shares present at a meeting, if the holders of more than 50% of such shares are present or represented by proxy, or (ii) more than 50% of such shares, whichever is less. Unless otherwise indicated, all limitations applicable to our investments (as stated below and elsewhere in the prospectus and this SAI) apply only at the time a transaction is entered into. Any subsequent change in the percentage of our assets invested in certain securities or other instruments resulting from market fluctuations or other changes in our total assets, will not require us to dispose of an investment.</w:t>
      </w:r>
    </w:p>
    <w:p>
      <w:pPr>
        <w:spacing w:after="0" w:line="187" w:lineRule="exact"/>
        <w:rPr>
          <w:sz w:val="20"/>
          <w:szCs w:val="20"/>
          <w:color w:val="auto"/>
        </w:rPr>
      </w:pPr>
    </w:p>
    <w:p>
      <w:pPr>
        <w:jc w:val="both"/>
        <w:ind w:left="200" w:hanging="134"/>
        <w:spacing w:after="0" w:line="282" w:lineRule="auto"/>
        <w:rPr>
          <w:sz w:val="20"/>
          <w:szCs w:val="20"/>
          <w:color w:val="auto"/>
        </w:rPr>
      </w:pPr>
      <w:r>
        <w:rPr>
          <w:rFonts w:ascii="Times New Roman" w:cs="Times New Roman" w:eastAsia="Times New Roman" w:hAnsi="Times New Roman"/>
          <w:sz w:val="18"/>
          <w:szCs w:val="18"/>
          <w:color w:val="auto"/>
        </w:rPr>
        <w:t>1.We may borrow money, make loans or issue senior securities to the fullest extent permitted by the Investment Company Act, the rules or regulations thereunder or applicable orders of the SEC, as such statute, rules, regulations or orders may be amended from time to time.</w:t>
      </w:r>
    </w:p>
    <w:p>
      <w:pPr>
        <w:spacing w:after="0" w:line="162" w:lineRule="exact"/>
        <w:rPr>
          <w:sz w:val="20"/>
          <w:szCs w:val="20"/>
          <w:color w:val="auto"/>
        </w:rPr>
      </w:pPr>
    </w:p>
    <w:p>
      <w:pPr>
        <w:jc w:val="both"/>
        <w:ind w:left="200" w:hanging="134"/>
        <w:spacing w:after="0" w:line="266" w:lineRule="auto"/>
        <w:rPr>
          <w:sz w:val="20"/>
          <w:szCs w:val="20"/>
          <w:color w:val="auto"/>
        </w:rPr>
      </w:pPr>
      <w:r>
        <w:rPr>
          <w:rFonts w:ascii="Times New Roman" w:cs="Times New Roman" w:eastAsia="Times New Roman" w:hAnsi="Times New Roman"/>
          <w:sz w:val="18"/>
          <w:szCs w:val="18"/>
          <w:color w:val="auto"/>
        </w:rPr>
        <w:t>2.Except with respect to the banking industry, no more than 25% of our total assets may be invested in a particular industry or group of industries. Securities issued or guaranteed by the U.S. Government or its agencies or instrumentalities or securities issued by other investment companies are not considered to represent an industry.</w:t>
      </w:r>
    </w:p>
    <w:p>
      <w:pPr>
        <w:spacing w:after="0" w:line="176" w:lineRule="exact"/>
        <w:rPr>
          <w:sz w:val="20"/>
          <w:szCs w:val="20"/>
          <w:color w:val="auto"/>
        </w:rPr>
      </w:pPr>
    </w:p>
    <w:p>
      <w:pPr>
        <w:jc w:val="both"/>
        <w:ind w:left="200" w:right="20" w:hanging="134"/>
        <w:spacing w:after="0" w:line="266" w:lineRule="auto"/>
        <w:rPr>
          <w:sz w:val="20"/>
          <w:szCs w:val="20"/>
          <w:color w:val="auto"/>
        </w:rPr>
      </w:pPr>
      <w:r>
        <w:rPr>
          <w:rFonts w:ascii="Times New Roman" w:cs="Times New Roman" w:eastAsia="Times New Roman" w:hAnsi="Times New Roman"/>
          <w:sz w:val="18"/>
          <w:szCs w:val="18"/>
          <w:color w:val="auto"/>
        </w:rPr>
        <w:t>3.We may purchase or sell commodities, commodities contracts, futures contracts and related options, options, forward contracts or real estate to the fullest extent permitted by the Investment Company Act, the rules or regulations thereunder or applicable orders of the SEC, as such statute, rules, regulations or orders may be amended from time to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9" w:name="page90"/>
    <w:bookmarkEnd w:id="89"/>
    <w:p>
      <w:pPr>
        <w:ind w:left="200" w:hanging="134"/>
        <w:spacing w:after="0" w:line="282" w:lineRule="auto"/>
        <w:rPr>
          <w:sz w:val="20"/>
          <w:szCs w:val="20"/>
          <w:color w:val="auto"/>
        </w:rPr>
      </w:pPr>
      <w:r>
        <w:rPr>
          <w:rFonts w:ascii="Times New Roman" w:cs="Times New Roman" w:eastAsia="Times New Roman" w:hAnsi="Times New Roman"/>
          <w:sz w:val="18"/>
          <w:szCs w:val="18"/>
          <w:color w:val="auto"/>
        </w:rPr>
        <w:t>4.We may underwrite securities to the fullest extent permitted by the Investment Company Act, the rules or regulations thereunder or applicable orders of the SEC, as such statute, rules, regulations or orders may be amended from time to time.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investment restrictions set forth above limit our ability to engage in certain practices and purchase securities and other instruments other than as permitted by, or consistent with, the Investment Company Act. Relevant limitations of the Investment Company Act as they presently exist are described below. These limitations are based either on the Investment Company Act itself, the rules or regulations thereunder or applicable orders of the SEC. In addition, interpretations and guidance provided by the SEC staff may be taken into account, where deemed appropriate by the Company, to determine if a certain practice or the purchase of securities or other instruments is permitted by the Investment Company Act, the rules or regulations thereunder or applicable orders of the SEC. As a result, the foregoing investment policies may be interpreted differently over time as the statute, rules, regulations or orders (or, if applicable, interpretations) that relate to the meaning and effect of these policies change, and no stockholder vote will be required or sought.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 Restriction (1). Under the Investment Company Act, we may only borrow up to one-third of the value of our total assets. For more information on leverage and the risks relating thereto, see “Leverage” in the prospectus. The Investment Company Act also restricts the ability of closed-end investment companies to lend. Under the Investment Company Act, we may only make loans if expressly permitted to do so by our investment policies, and we may not make loans to persons who control us or are under common control with us. Thus, the Investment Company Act effectively prohibits us from making loans to certain persons when conflicts of interest or undue influence are most likely present. We may, however, make other loans which, if made, would expose stockholders to additional risks, such as the failure of the other party to repay the loan. We retain the flexibility to make loans to the extent permitted by our investment policies, other than loans of securities, which will be limited to 33 1/3% of our total assets.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ability of a closed-end investment company to issue senior securities is subject to various limitations under the Investment Company Act that restrict, for instance, the amount, timing, and form of senior securities that may be issued. Certain portfolio management/leveraging techniques, such as reverse repurchase agreements, credit default swaps, futures contracts, dollar rolls, the purchase of securities on margin, short sales, or the writing of puts on portfolio securities, may be considered senior securities unless appropriate steps are taken to segregate our assets or otherwise cover its obligations. To the extent we cover our commitment under these transactions, including by the segregation of liquid assets, such instrument will not be considered a “senior security”, and therefore will not be subject to the 300% asset coverage requirement otherwise applicable to borrowings by us (or, as the case may be, the 200% asset coverage requirement applicable to preferred stock). The Company will typically cover its current obligations resulting from these portfolio management/leveraging techniques consistent with the guidelines established by the Commission. Accordingly, the Company will typically segregate, earmark, set aside or otherwise offset its obligations resulting from such techniques.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no present intention to do so, we may also issue any class of senior security that is a stock. Under the Investment Company Act, the issuance of any other type of senior security by a closed-end investment company is subject to a requirement that provision is made that, (i) if on the last business day of each of 12 consecutive calendar months the asset coverage with respect to the senior security is less than 100%, the holders of such securities voting as a class shall be entitled to elect at least a majority of our board of directors, with such voting right to continue until the asset coverage for such class of senior security is at least 110% on the last business day of each of 3 consecutive calendar months or, (ii) if on the last business day of each of 24 consecutive calendar months the asset coverage for such class of senior security is less than 100%, an event of default shall be deemed to have occurred.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Investment Company Act, a “senior security” does not include any promissory note or evidence of indebtedness where such loan is for temporary purposes only and in an amount not exceeding 5% of the value of the total assets of the issuer at the time the loan is made. A loan is presumed to be for temporary purposes if it is repaid within sixty days and is not extended or renewed.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0" w:name="page91"/>
    <w:bookmarkEnd w:id="90"/>
    <w:p>
      <w:pPr>
        <w:jc w:val="both"/>
        <w:spacing w:after="0" w:line="261" w:lineRule="auto"/>
        <w:rPr>
          <w:sz w:val="20"/>
          <w:szCs w:val="20"/>
          <w:color w:val="auto"/>
        </w:rPr>
      </w:pPr>
      <w:r>
        <w:rPr>
          <w:rFonts w:ascii="Times New Roman" w:cs="Times New Roman" w:eastAsia="Times New Roman" w:hAnsi="Times New Roman"/>
          <w:sz w:val="18"/>
          <w:szCs w:val="18"/>
          <w:color w:val="auto"/>
        </w:rPr>
        <w:t>Investment Restriction (2). We have a policy to invest 25% or more of our total assets in the banking industry. Accordingly, because we concentrate in a particular industry, we are exposed to greater risks because our performance is largely dependent on the performance of the banking industry. For purposes of determining compliance with Investment Restriction (2), we will not consider portfolio investments held by other investment companies in which we invest.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Investment Restriction (3). This restriction would permit investment in commodities, commodities contracts, futures contracts and related options, options, forward contracts or real estate to the extent permitted under the Investment Company Act. Commodities, as opposed to commodity futures, represent the actual underlying bulk goods, such as grains, metals and foodstuffs. Real estate-related instruments include real estate investment trusts, commercial and residential mortgage-backed securities, and real estate financings, and such instruments are generally sensitive to factors such as changes in real estate values and property taxes, interest rates, the cash flow of underlying real estate assets, overbuilding, and the management skill and creditworthiness of the issuer. Because we have elected to be treated, and intend to comply with the requirements to qualify annually, as a RIC under Subchapter M of the Code, our ability to invest in commodities and commodity related instruments may be further limited. For example, gains from the disposition of commodities will not be considered qualifying income for purposes of satisfying the income test applicable to RICs. Also, the U.S. Internal Revenue Service has issued a revenue ruling which holds that income derived from commodity-linked swaps is not qualifying income for purposes of such test. As such, our ability to utilize investments in commodities and commodity index-linked swaps as part of our investment strategy is limited to a maximum of 10 percent of our gross income.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Restriction (4). Under the Investment Company Act, we may not act as an underwriter of securities of other issuers, except to the extent that in connection with the disposition of portfolio securities, we may be deemed to be an underwriter under the federal securities laws.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Accordingly, our board of directors provides broad supervision over our affairs, including supervision of the duties performed by our Adviser. Our Adviser is responsible for our day-to-day operations. The names, ages and addresses of our directors and officers and specified employees of our Adviser, together with their principal occupations and other affiliations during the past five years, are set forth below. Each director and officer will hold office for the term to which he is elected and until his successor is duly elected and qualifies, or until he resigns or is removed in the manner provided by law. Our board of directors consists of three directors who are not “interested persons” (as defined in the Investment Company Act) of our Adviser or its affiliates and two directors who are “interested persons.” Our directors who are not interested persons are also independent pursuant to NASDAQ stock exchange listing standards, and we refer to them as “independent directors.” We refer to the directors who are “interested persons” (as defined in the Investment Company Act) are referred to as “interested directors.” Under our certificate of incorporation, the board of directors is divided into three classes. Each class of directors will hold office for a three-year term. However, the initial members of the three classes have initial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and until their successors are duly elected and qualified.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tbl>
      <w:tblPr>
        <w:tblLayout w:type="fixed"/>
        <w:tblInd w:w="10" w:type="dxa"/>
        <w:tblCellMar>
          <w:top w:w="0" w:type="dxa"/>
          <w:left w:w="0" w:type="dxa"/>
          <w:bottom w:w="0" w:type="dxa"/>
          <w:right w:w="0" w:type="dxa"/>
        </w:tblCellMar>
      </w:tblPr>
      <w:tr>
        <w:trPr>
          <w:trHeight w:val="207"/>
        </w:trPr>
        <w:tc>
          <w:tcPr>
            <w:tcW w:w="1360" w:type="dxa"/>
            <w:vAlign w:val="bottom"/>
            <w:tcBorders>
              <w:top w:val="single" w:sz="8" w:color="auto"/>
              <w:left w:val="single" w:sz="8" w:color="auto"/>
              <w:right w:val="single" w:sz="8" w:color="auto"/>
            </w:tcBorders>
          </w:tcPr>
          <w:p>
            <w:pPr>
              <w:spacing w:after="0"/>
              <w:rPr>
                <w:sz w:val="18"/>
                <w:szCs w:val="18"/>
                <w:color w:val="auto"/>
              </w:rPr>
            </w:pPr>
          </w:p>
        </w:tc>
        <w:tc>
          <w:tcPr>
            <w:tcW w:w="52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292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40" w:type="dxa"/>
            <w:vAlign w:val="bottom"/>
            <w:tcBorders>
              <w:top w:val="single" w:sz="8" w:color="auto"/>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Portfolios in</w:t>
            </w:r>
          </w:p>
        </w:tc>
        <w:tc>
          <w:tcPr>
            <w:tcW w:w="22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Fund</w:t>
            </w:r>
          </w:p>
        </w:tc>
        <w:tc>
          <w:tcPr>
            <w:tcW w:w="22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7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Complex</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Held</w:t>
            </w:r>
          </w:p>
        </w:tc>
        <w:tc>
          <w:tcPr>
            <w:tcW w:w="76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Term</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Occupation(s)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Overseen by</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Directorships</w:t>
            </w:r>
          </w:p>
        </w:tc>
      </w:tr>
      <w:tr>
        <w:trPr>
          <w:trHeight w:val="238"/>
        </w:trPr>
        <w:tc>
          <w:tcPr>
            <w:tcW w:w="136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Name(1)</w:t>
            </w:r>
          </w:p>
        </w:tc>
        <w:tc>
          <w:tcPr>
            <w:tcW w:w="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Age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 Company</w:t>
            </w:r>
          </w:p>
        </w:tc>
        <w:tc>
          <w:tcPr>
            <w:tcW w:w="7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End</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Last 5 Years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Fund Director</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Last 5 Years</w:t>
            </w:r>
          </w:p>
        </w:tc>
      </w:tr>
      <w:tr>
        <w:trPr>
          <w:trHeight w:val="209"/>
        </w:trPr>
        <w:tc>
          <w:tcPr>
            <w:tcW w:w="3660" w:type="dxa"/>
            <w:vAlign w:val="bottom"/>
            <w:tcBorders>
              <w:left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7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191"/>
        </w:trPr>
        <w:tc>
          <w:tcPr>
            <w:tcW w:w="1360" w:type="dxa"/>
            <w:vAlign w:val="bottom"/>
            <w:tcBorders>
              <w:left w:val="single" w:sz="8" w:color="auto"/>
              <w:right w:val="single" w:sz="8" w:color="auto"/>
            </w:tcBorders>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John Scott</w:t>
            </w:r>
          </w:p>
        </w:tc>
        <w:tc>
          <w:tcPr>
            <w:tcW w:w="520" w:type="dxa"/>
            <w:vAlign w:val="bottom"/>
            <w:tcBorders>
              <w:right w:val="single" w:sz="8" w:color="auto"/>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58</w:t>
            </w:r>
          </w:p>
        </w:tc>
        <w:tc>
          <w:tcPr>
            <w:tcW w:w="178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Class III Director,</w:t>
            </w:r>
          </w:p>
        </w:tc>
        <w:tc>
          <w:tcPr>
            <w:tcW w:w="760" w:type="dxa"/>
            <w:vAlign w:val="bottom"/>
            <w:tcBorders>
              <w:right w:val="single" w:sz="8" w:color="auto"/>
            </w:tcBorders>
            <w:shd w:val="clear" w:color="auto" w:fill="CCEEFF"/>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2028</w:t>
            </w:r>
          </w:p>
        </w:tc>
        <w:tc>
          <w:tcPr>
            <w:tcW w:w="292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Director of Meridian Funds from</w:t>
            </w:r>
          </w:p>
        </w:tc>
        <w:tc>
          <w:tcPr>
            <w:tcW w:w="1660" w:type="dxa"/>
            <w:vAlign w:val="bottom"/>
            <w:tcBorders>
              <w:right w:val="single" w:sz="8" w:color="auto"/>
            </w:tcBorders>
            <w:shd w:val="clear" w:color="auto" w:fill="CCEEFF"/>
          </w:tcPr>
          <w:p>
            <w:pPr>
              <w:jc w:val="right"/>
              <w:ind w:right="139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24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Director of Meridian Funds</w:t>
            </w:r>
          </w:p>
        </w:tc>
      </w:tr>
      <w:tr>
        <w:trPr>
          <w:trHeight w:val="216"/>
        </w:trPr>
        <w:tc>
          <w:tcPr>
            <w:tcW w:w="13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Emrich</w:t>
            </w:r>
          </w:p>
        </w:tc>
        <w:tc>
          <w:tcPr>
            <w:tcW w:w="52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Chair of Audit</w:t>
            </w:r>
          </w:p>
        </w:tc>
        <w:tc>
          <w:tcPr>
            <w:tcW w:w="76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2010- Present; Director of Destra</w:t>
            </w:r>
          </w:p>
        </w:tc>
        <w:tc>
          <w:tcPr>
            <w:tcW w:w="1660" w:type="dxa"/>
            <w:vAlign w:val="bottom"/>
            <w:tcBorders>
              <w:right w:val="single" w:sz="8" w:color="auto"/>
            </w:tcBorders>
            <w:shd w:val="clear" w:color="auto" w:fill="CCEEFF"/>
          </w:tcPr>
          <w:p>
            <w:pPr>
              <w:spacing w:after="0"/>
              <w:rPr>
                <w:sz w:val="18"/>
                <w:szCs w:val="18"/>
                <w:color w:val="auto"/>
              </w:rPr>
            </w:pPr>
          </w:p>
        </w:tc>
        <w:tc>
          <w:tcPr>
            <w:tcW w:w="224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from 2010-Present;</w:t>
            </w:r>
          </w:p>
        </w:tc>
      </w:tr>
      <w:tr>
        <w:trPr>
          <w:trHeight w:val="216"/>
        </w:trPr>
        <w:tc>
          <w:tcPr>
            <w:tcW w:w="1360" w:type="dxa"/>
            <w:vAlign w:val="bottom"/>
            <w:tcBorders>
              <w:left w:val="single" w:sz="8" w:color="auto"/>
              <w:right w:val="single" w:sz="8" w:color="auto"/>
            </w:tcBorders>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Committee and</w:t>
            </w:r>
          </w:p>
        </w:tc>
        <w:tc>
          <w:tcPr>
            <w:tcW w:w="76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Funds from 2015-Present</w:t>
            </w:r>
          </w:p>
        </w:tc>
        <w:tc>
          <w:tcPr>
            <w:tcW w:w="1660" w:type="dxa"/>
            <w:vAlign w:val="bottom"/>
            <w:tcBorders>
              <w:right w:val="single" w:sz="8" w:color="auto"/>
            </w:tcBorders>
            <w:shd w:val="clear" w:color="auto" w:fill="CCEEFF"/>
          </w:tcPr>
          <w:p>
            <w:pPr>
              <w:spacing w:after="0"/>
              <w:rPr>
                <w:sz w:val="18"/>
                <w:szCs w:val="18"/>
                <w:color w:val="auto"/>
              </w:rPr>
            </w:pPr>
          </w:p>
        </w:tc>
        <w:tc>
          <w:tcPr>
            <w:tcW w:w="224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 of Destra Funds</w:t>
            </w:r>
          </w:p>
        </w:tc>
      </w:tr>
      <w:tr>
        <w:trPr>
          <w:trHeight w:val="216"/>
        </w:trPr>
        <w:tc>
          <w:tcPr>
            <w:tcW w:w="1360" w:type="dxa"/>
            <w:vAlign w:val="bottom"/>
            <w:tcBorders>
              <w:left w:val="single" w:sz="8" w:color="auto"/>
              <w:right w:val="single" w:sz="8" w:color="auto"/>
            </w:tcBorders>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Member of</w:t>
            </w:r>
          </w:p>
        </w:tc>
        <w:tc>
          <w:tcPr>
            <w:tcW w:w="76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spacing w:after="0"/>
              <w:rPr>
                <w:sz w:val="18"/>
                <w:szCs w:val="18"/>
                <w:color w:val="auto"/>
              </w:rPr>
            </w:pPr>
          </w:p>
        </w:tc>
        <w:tc>
          <w:tcPr>
            <w:tcW w:w="1660" w:type="dxa"/>
            <w:vAlign w:val="bottom"/>
            <w:tcBorders>
              <w:right w:val="single" w:sz="8" w:color="auto"/>
            </w:tcBorders>
            <w:shd w:val="clear" w:color="auto" w:fill="CCEEFF"/>
          </w:tcPr>
          <w:p>
            <w:pPr>
              <w:spacing w:after="0"/>
              <w:rPr>
                <w:sz w:val="18"/>
                <w:szCs w:val="18"/>
                <w:color w:val="auto"/>
              </w:rPr>
            </w:pPr>
          </w:p>
        </w:tc>
        <w:tc>
          <w:tcPr>
            <w:tcW w:w="224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from 2015-Present</w:t>
            </w:r>
          </w:p>
        </w:tc>
      </w:tr>
      <w:tr>
        <w:trPr>
          <w:trHeight w:val="216"/>
        </w:trPr>
        <w:tc>
          <w:tcPr>
            <w:tcW w:w="1360" w:type="dxa"/>
            <w:vAlign w:val="bottom"/>
            <w:tcBorders>
              <w:left w:val="single" w:sz="8" w:color="auto"/>
              <w:right w:val="single" w:sz="8" w:color="auto"/>
            </w:tcBorders>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Nominating and</w:t>
            </w:r>
          </w:p>
        </w:tc>
        <w:tc>
          <w:tcPr>
            <w:tcW w:w="76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spacing w:after="0"/>
              <w:rPr>
                <w:sz w:val="18"/>
                <w:szCs w:val="18"/>
                <w:color w:val="auto"/>
              </w:rPr>
            </w:pPr>
          </w:p>
        </w:tc>
        <w:tc>
          <w:tcPr>
            <w:tcW w:w="1660" w:type="dxa"/>
            <w:vAlign w:val="bottom"/>
            <w:tcBorders>
              <w:right w:val="single" w:sz="8" w:color="auto"/>
            </w:tcBorders>
            <w:shd w:val="clear" w:color="auto" w:fill="CCEEFF"/>
          </w:tcPr>
          <w:p>
            <w:pPr>
              <w:spacing w:after="0"/>
              <w:rPr>
                <w:sz w:val="18"/>
                <w:szCs w:val="18"/>
                <w:color w:val="auto"/>
              </w:rPr>
            </w:pPr>
          </w:p>
        </w:tc>
        <w:tc>
          <w:tcPr>
            <w:tcW w:w="2240" w:type="dxa"/>
            <w:vAlign w:val="bottom"/>
            <w:tcBorders>
              <w:right w:val="single" w:sz="8" w:color="auto"/>
            </w:tcBorders>
            <w:shd w:val="clear" w:color="auto" w:fill="CCEEFF"/>
          </w:tcPr>
          <w:p>
            <w:pPr>
              <w:spacing w:after="0"/>
              <w:rPr>
                <w:sz w:val="18"/>
                <w:szCs w:val="18"/>
                <w:color w:val="auto"/>
              </w:rPr>
            </w:pPr>
          </w:p>
        </w:tc>
      </w:tr>
      <w:tr>
        <w:trPr>
          <w:trHeight w:val="216"/>
        </w:trPr>
        <w:tc>
          <w:tcPr>
            <w:tcW w:w="1360" w:type="dxa"/>
            <w:vAlign w:val="bottom"/>
            <w:tcBorders>
              <w:left w:val="single" w:sz="8" w:color="auto"/>
              <w:right w:val="single" w:sz="8" w:color="auto"/>
            </w:tcBorders>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Governance</w:t>
            </w:r>
          </w:p>
        </w:tc>
        <w:tc>
          <w:tcPr>
            <w:tcW w:w="76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spacing w:after="0"/>
              <w:rPr>
                <w:sz w:val="18"/>
                <w:szCs w:val="18"/>
                <w:color w:val="auto"/>
              </w:rPr>
            </w:pPr>
          </w:p>
        </w:tc>
        <w:tc>
          <w:tcPr>
            <w:tcW w:w="1660" w:type="dxa"/>
            <w:vAlign w:val="bottom"/>
            <w:tcBorders>
              <w:right w:val="single" w:sz="8" w:color="auto"/>
            </w:tcBorders>
            <w:shd w:val="clear" w:color="auto" w:fill="CCEEFF"/>
          </w:tcPr>
          <w:p>
            <w:pPr>
              <w:spacing w:after="0"/>
              <w:rPr>
                <w:sz w:val="18"/>
                <w:szCs w:val="18"/>
                <w:color w:val="auto"/>
              </w:rPr>
            </w:pPr>
          </w:p>
        </w:tc>
        <w:tc>
          <w:tcPr>
            <w:tcW w:w="2240" w:type="dxa"/>
            <w:vAlign w:val="bottom"/>
            <w:tcBorders>
              <w:right w:val="single" w:sz="8" w:color="auto"/>
            </w:tcBorders>
            <w:shd w:val="clear" w:color="auto" w:fill="CCEEFF"/>
          </w:tcPr>
          <w:p>
            <w:pPr>
              <w:spacing w:after="0"/>
              <w:rPr>
                <w:sz w:val="18"/>
                <w:szCs w:val="18"/>
                <w:color w:val="auto"/>
              </w:rPr>
            </w:pPr>
          </w:p>
        </w:tc>
      </w:tr>
      <w:tr>
        <w:trPr>
          <w:trHeight w:val="234"/>
        </w:trPr>
        <w:tc>
          <w:tcPr>
            <w:tcW w:w="13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2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Committee</w:t>
            </w:r>
          </w:p>
        </w:tc>
        <w:tc>
          <w:tcPr>
            <w:tcW w:w="760" w:type="dxa"/>
            <w:vAlign w:val="bottom"/>
            <w:tcBorders>
              <w:bottom w:val="single" w:sz="8" w:color="auto"/>
              <w:right w:val="single" w:sz="8" w:color="auto"/>
            </w:tcBorders>
            <w:shd w:val="clear" w:color="auto" w:fill="CCEEFF"/>
          </w:tcPr>
          <w:p>
            <w:pPr>
              <w:spacing w:after="0"/>
              <w:rPr>
                <w:sz w:val="20"/>
                <w:szCs w:val="20"/>
                <w:color w:val="auto"/>
              </w:rPr>
            </w:pPr>
          </w:p>
        </w:tc>
        <w:tc>
          <w:tcPr>
            <w:tcW w:w="2920" w:type="dxa"/>
            <w:vAlign w:val="bottom"/>
            <w:tcBorders>
              <w:bottom w:val="single" w:sz="8" w:color="auto"/>
              <w:right w:val="single" w:sz="8" w:color="auto"/>
            </w:tcBorders>
            <w:shd w:val="clear" w:color="auto" w:fill="CCEEFF"/>
          </w:tcPr>
          <w:p>
            <w:pPr>
              <w:spacing w:after="0"/>
              <w:rPr>
                <w:sz w:val="20"/>
                <w:szCs w:val="20"/>
                <w:color w:val="auto"/>
              </w:rPr>
            </w:pPr>
          </w:p>
        </w:tc>
        <w:tc>
          <w:tcPr>
            <w:tcW w:w="1660" w:type="dxa"/>
            <w:vAlign w:val="bottom"/>
            <w:tcBorders>
              <w:bottom w:val="single" w:sz="8" w:color="auto"/>
              <w:right w:val="single" w:sz="8" w:color="auto"/>
            </w:tcBorders>
            <w:shd w:val="clear" w:color="auto" w:fill="CCEEFF"/>
          </w:tcPr>
          <w:p>
            <w:pPr>
              <w:spacing w:after="0"/>
              <w:rPr>
                <w:sz w:val="20"/>
                <w:szCs w:val="20"/>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1"/>
        </w:trPr>
        <w:tc>
          <w:tcPr>
            <w:tcW w:w="13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Emil W.</w:t>
            </w:r>
          </w:p>
        </w:tc>
        <w:tc>
          <w:tcPr>
            <w:tcW w:w="5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63</w:t>
            </w:r>
          </w:p>
        </w:tc>
        <w:tc>
          <w:tcPr>
            <w:tcW w:w="1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Class I Director,</w:t>
            </w:r>
          </w:p>
        </w:tc>
        <w:tc>
          <w:tcPr>
            <w:tcW w:w="760" w:type="dxa"/>
            <w:vAlign w:val="bottom"/>
            <w:tcBorders>
              <w:right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2026</w:t>
            </w:r>
          </w:p>
        </w:tc>
        <w:tc>
          <w:tcPr>
            <w:tcW w:w="29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CEO and Founder of Tiger</w:t>
            </w:r>
          </w:p>
        </w:tc>
        <w:tc>
          <w:tcPr>
            <w:tcW w:w="1660" w:type="dxa"/>
            <w:vAlign w:val="bottom"/>
            <w:tcBorders>
              <w:right w:val="single" w:sz="8" w:color="auto"/>
            </w:tcBorders>
          </w:tcPr>
          <w:p>
            <w:pPr>
              <w:jc w:val="right"/>
              <w:ind w:right="139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Director of Easterly</w:t>
            </w:r>
          </w:p>
        </w:tc>
      </w:tr>
      <w:tr>
        <w:trPr>
          <w:trHeight w:val="216"/>
        </w:trPr>
        <w:tc>
          <w:tcPr>
            <w:tcW w:w="1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Henry, Jr.</w:t>
            </w:r>
          </w:p>
        </w:tc>
        <w:tc>
          <w:tcPr>
            <w:tcW w:w="5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Member of Audit</w:t>
            </w:r>
          </w:p>
        </w:tc>
        <w:tc>
          <w:tcPr>
            <w:tcW w:w="7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Infrastructure Partners</w:t>
            </w:r>
          </w:p>
        </w:tc>
        <w:tc>
          <w:tcPr>
            <w:tcW w:w="1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Government Properties,</w:t>
            </w: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 and</w:t>
            </w:r>
          </w:p>
        </w:tc>
        <w:tc>
          <w:tcPr>
            <w:tcW w:w="7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 of numerous</w:t>
            </w: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Chair of Nominating</w:t>
            </w:r>
          </w:p>
        </w:tc>
        <w:tc>
          <w:tcPr>
            <w:tcW w:w="7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private companies that are</w:t>
            </w: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Governance</w:t>
            </w:r>
          </w:p>
        </w:tc>
        <w:tc>
          <w:tcPr>
            <w:tcW w:w="7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Tiger Infrastructure</w:t>
            </w: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 and Lead</w:t>
            </w:r>
          </w:p>
        </w:tc>
        <w:tc>
          <w:tcPr>
            <w:tcW w:w="7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portfolio companies</w:t>
            </w:r>
          </w:p>
        </w:tc>
      </w:tr>
      <w:tr>
        <w:trPr>
          <w:trHeight w:val="234"/>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c>
          <w:tcPr>
            <w:tcW w:w="76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191"/>
        </w:trPr>
        <w:tc>
          <w:tcPr>
            <w:tcW w:w="1360" w:type="dxa"/>
            <w:vAlign w:val="bottom"/>
            <w:tcBorders>
              <w:left w:val="single" w:sz="8" w:color="auto"/>
              <w:right w:val="single" w:sz="8" w:color="auto"/>
            </w:tcBorders>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Melissa</w:t>
            </w:r>
          </w:p>
        </w:tc>
        <w:tc>
          <w:tcPr>
            <w:tcW w:w="520" w:type="dxa"/>
            <w:vAlign w:val="bottom"/>
            <w:tcBorders>
              <w:right w:val="single" w:sz="8" w:color="auto"/>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56</w:t>
            </w:r>
          </w:p>
        </w:tc>
        <w:tc>
          <w:tcPr>
            <w:tcW w:w="178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Class II Director,</w:t>
            </w:r>
          </w:p>
        </w:tc>
        <w:tc>
          <w:tcPr>
            <w:tcW w:w="760" w:type="dxa"/>
            <w:vAlign w:val="bottom"/>
            <w:tcBorders>
              <w:right w:val="single" w:sz="8" w:color="auto"/>
            </w:tcBorders>
            <w:shd w:val="clear" w:color="auto" w:fill="CCEEFF"/>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2027</w:t>
            </w:r>
          </w:p>
        </w:tc>
        <w:tc>
          <w:tcPr>
            <w:tcW w:w="292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Financial Consultant from 2013 –</w:t>
            </w:r>
          </w:p>
        </w:tc>
        <w:tc>
          <w:tcPr>
            <w:tcW w:w="1660" w:type="dxa"/>
            <w:vAlign w:val="bottom"/>
            <w:tcBorders>
              <w:right w:val="single" w:sz="8" w:color="auto"/>
            </w:tcBorders>
            <w:shd w:val="clear" w:color="auto" w:fill="CCEEFF"/>
          </w:tcPr>
          <w:p>
            <w:pPr>
              <w:jc w:val="right"/>
              <w:ind w:right="139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24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None</w:t>
            </w:r>
          </w:p>
        </w:tc>
      </w:tr>
      <w:tr>
        <w:trPr>
          <w:trHeight w:val="216"/>
        </w:trPr>
        <w:tc>
          <w:tcPr>
            <w:tcW w:w="13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Marano</w:t>
            </w:r>
          </w:p>
        </w:tc>
        <w:tc>
          <w:tcPr>
            <w:tcW w:w="52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Member of Audit</w:t>
            </w:r>
          </w:p>
        </w:tc>
        <w:tc>
          <w:tcPr>
            <w:tcW w:w="76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Present</w:t>
            </w:r>
          </w:p>
        </w:tc>
        <w:tc>
          <w:tcPr>
            <w:tcW w:w="1660" w:type="dxa"/>
            <w:vAlign w:val="bottom"/>
            <w:tcBorders>
              <w:right w:val="single" w:sz="8" w:color="auto"/>
            </w:tcBorders>
            <w:shd w:val="clear" w:color="auto" w:fill="CCEEFF"/>
          </w:tcPr>
          <w:p>
            <w:pPr>
              <w:spacing w:after="0"/>
              <w:rPr>
                <w:sz w:val="18"/>
                <w:szCs w:val="18"/>
                <w:color w:val="auto"/>
              </w:rPr>
            </w:pPr>
          </w:p>
        </w:tc>
        <w:tc>
          <w:tcPr>
            <w:tcW w:w="2240" w:type="dxa"/>
            <w:vAlign w:val="bottom"/>
            <w:tcBorders>
              <w:right w:val="single" w:sz="8" w:color="auto"/>
            </w:tcBorders>
            <w:shd w:val="clear" w:color="auto" w:fill="CCEEFF"/>
          </w:tcPr>
          <w:p>
            <w:pPr>
              <w:spacing w:after="0"/>
              <w:rPr>
                <w:sz w:val="18"/>
                <w:szCs w:val="18"/>
                <w:color w:val="auto"/>
              </w:rPr>
            </w:pPr>
          </w:p>
        </w:tc>
      </w:tr>
      <w:tr>
        <w:trPr>
          <w:trHeight w:val="216"/>
        </w:trPr>
        <w:tc>
          <w:tcPr>
            <w:tcW w:w="13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Thompson</w:t>
            </w:r>
          </w:p>
        </w:tc>
        <w:tc>
          <w:tcPr>
            <w:tcW w:w="52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Committee and</w:t>
            </w:r>
          </w:p>
        </w:tc>
        <w:tc>
          <w:tcPr>
            <w:tcW w:w="76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spacing w:after="0"/>
              <w:rPr>
                <w:sz w:val="18"/>
                <w:szCs w:val="18"/>
                <w:color w:val="auto"/>
              </w:rPr>
            </w:pPr>
          </w:p>
        </w:tc>
        <w:tc>
          <w:tcPr>
            <w:tcW w:w="1660" w:type="dxa"/>
            <w:vAlign w:val="bottom"/>
            <w:tcBorders>
              <w:right w:val="single" w:sz="8" w:color="auto"/>
            </w:tcBorders>
            <w:shd w:val="clear" w:color="auto" w:fill="CCEEFF"/>
          </w:tcPr>
          <w:p>
            <w:pPr>
              <w:spacing w:after="0"/>
              <w:rPr>
                <w:sz w:val="18"/>
                <w:szCs w:val="18"/>
                <w:color w:val="auto"/>
              </w:rPr>
            </w:pPr>
          </w:p>
        </w:tc>
        <w:tc>
          <w:tcPr>
            <w:tcW w:w="2240" w:type="dxa"/>
            <w:vAlign w:val="bottom"/>
            <w:tcBorders>
              <w:right w:val="single" w:sz="8" w:color="auto"/>
            </w:tcBorders>
            <w:shd w:val="clear" w:color="auto" w:fill="CCEEFF"/>
          </w:tcPr>
          <w:p>
            <w:pPr>
              <w:spacing w:after="0"/>
              <w:rPr>
                <w:sz w:val="18"/>
                <w:szCs w:val="18"/>
                <w:color w:val="auto"/>
              </w:rPr>
            </w:pPr>
          </w:p>
        </w:tc>
      </w:tr>
      <w:tr>
        <w:trPr>
          <w:trHeight w:val="216"/>
        </w:trPr>
        <w:tc>
          <w:tcPr>
            <w:tcW w:w="1360" w:type="dxa"/>
            <w:vAlign w:val="bottom"/>
            <w:tcBorders>
              <w:left w:val="single" w:sz="8" w:color="auto"/>
              <w:right w:val="single" w:sz="8" w:color="auto"/>
            </w:tcBorders>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Member of</w:t>
            </w:r>
          </w:p>
        </w:tc>
        <w:tc>
          <w:tcPr>
            <w:tcW w:w="76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spacing w:after="0"/>
              <w:rPr>
                <w:sz w:val="18"/>
                <w:szCs w:val="18"/>
                <w:color w:val="auto"/>
              </w:rPr>
            </w:pPr>
          </w:p>
        </w:tc>
        <w:tc>
          <w:tcPr>
            <w:tcW w:w="1660" w:type="dxa"/>
            <w:vAlign w:val="bottom"/>
            <w:tcBorders>
              <w:right w:val="single" w:sz="8" w:color="auto"/>
            </w:tcBorders>
            <w:shd w:val="clear" w:color="auto" w:fill="CCEEFF"/>
          </w:tcPr>
          <w:p>
            <w:pPr>
              <w:spacing w:after="0"/>
              <w:rPr>
                <w:sz w:val="18"/>
                <w:szCs w:val="18"/>
                <w:color w:val="auto"/>
              </w:rPr>
            </w:pPr>
          </w:p>
        </w:tc>
        <w:tc>
          <w:tcPr>
            <w:tcW w:w="2240" w:type="dxa"/>
            <w:vAlign w:val="bottom"/>
            <w:tcBorders>
              <w:right w:val="single" w:sz="8" w:color="auto"/>
            </w:tcBorders>
            <w:shd w:val="clear" w:color="auto" w:fill="CCEEFF"/>
          </w:tcPr>
          <w:p>
            <w:pPr>
              <w:spacing w:after="0"/>
              <w:rPr>
                <w:sz w:val="18"/>
                <w:szCs w:val="18"/>
                <w:color w:val="auto"/>
              </w:rPr>
            </w:pPr>
          </w:p>
        </w:tc>
      </w:tr>
      <w:tr>
        <w:trPr>
          <w:trHeight w:val="216"/>
        </w:trPr>
        <w:tc>
          <w:tcPr>
            <w:tcW w:w="1360" w:type="dxa"/>
            <w:vAlign w:val="bottom"/>
            <w:tcBorders>
              <w:left w:val="single" w:sz="8" w:color="auto"/>
              <w:right w:val="single" w:sz="8" w:color="auto"/>
            </w:tcBorders>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Nominating and</w:t>
            </w:r>
          </w:p>
        </w:tc>
        <w:tc>
          <w:tcPr>
            <w:tcW w:w="76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spacing w:after="0"/>
              <w:rPr>
                <w:sz w:val="18"/>
                <w:szCs w:val="18"/>
                <w:color w:val="auto"/>
              </w:rPr>
            </w:pPr>
          </w:p>
        </w:tc>
        <w:tc>
          <w:tcPr>
            <w:tcW w:w="1660" w:type="dxa"/>
            <w:vAlign w:val="bottom"/>
            <w:tcBorders>
              <w:right w:val="single" w:sz="8" w:color="auto"/>
            </w:tcBorders>
            <w:shd w:val="clear" w:color="auto" w:fill="CCEEFF"/>
          </w:tcPr>
          <w:p>
            <w:pPr>
              <w:spacing w:after="0"/>
              <w:rPr>
                <w:sz w:val="18"/>
                <w:szCs w:val="18"/>
                <w:color w:val="auto"/>
              </w:rPr>
            </w:pPr>
          </w:p>
        </w:tc>
        <w:tc>
          <w:tcPr>
            <w:tcW w:w="2240" w:type="dxa"/>
            <w:vAlign w:val="bottom"/>
            <w:tcBorders>
              <w:right w:val="single" w:sz="8" w:color="auto"/>
            </w:tcBorders>
            <w:shd w:val="clear" w:color="auto" w:fill="CCEEFF"/>
          </w:tcPr>
          <w:p>
            <w:pPr>
              <w:spacing w:after="0"/>
              <w:rPr>
                <w:sz w:val="18"/>
                <w:szCs w:val="18"/>
                <w:color w:val="auto"/>
              </w:rPr>
            </w:pPr>
          </w:p>
        </w:tc>
      </w:tr>
      <w:tr>
        <w:trPr>
          <w:trHeight w:val="216"/>
        </w:trPr>
        <w:tc>
          <w:tcPr>
            <w:tcW w:w="1360" w:type="dxa"/>
            <w:vAlign w:val="bottom"/>
            <w:tcBorders>
              <w:left w:val="single" w:sz="8" w:color="auto"/>
              <w:right w:val="single" w:sz="8" w:color="auto"/>
            </w:tcBorders>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Governance</w:t>
            </w:r>
          </w:p>
        </w:tc>
        <w:tc>
          <w:tcPr>
            <w:tcW w:w="76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spacing w:after="0"/>
              <w:rPr>
                <w:sz w:val="18"/>
                <w:szCs w:val="18"/>
                <w:color w:val="auto"/>
              </w:rPr>
            </w:pPr>
          </w:p>
        </w:tc>
        <w:tc>
          <w:tcPr>
            <w:tcW w:w="1660" w:type="dxa"/>
            <w:vAlign w:val="bottom"/>
            <w:tcBorders>
              <w:right w:val="single" w:sz="8" w:color="auto"/>
            </w:tcBorders>
            <w:shd w:val="clear" w:color="auto" w:fill="CCEEFF"/>
          </w:tcPr>
          <w:p>
            <w:pPr>
              <w:spacing w:after="0"/>
              <w:rPr>
                <w:sz w:val="18"/>
                <w:szCs w:val="18"/>
                <w:color w:val="auto"/>
              </w:rPr>
            </w:pPr>
          </w:p>
        </w:tc>
        <w:tc>
          <w:tcPr>
            <w:tcW w:w="2240" w:type="dxa"/>
            <w:vAlign w:val="bottom"/>
            <w:tcBorders>
              <w:right w:val="single" w:sz="8" w:color="auto"/>
            </w:tcBorders>
            <w:shd w:val="clear" w:color="auto" w:fill="CCEEFF"/>
          </w:tcPr>
          <w:p>
            <w:pPr>
              <w:spacing w:after="0"/>
              <w:rPr>
                <w:sz w:val="18"/>
                <w:szCs w:val="18"/>
                <w:color w:val="auto"/>
              </w:rPr>
            </w:pPr>
          </w:p>
        </w:tc>
      </w:tr>
      <w:tr>
        <w:trPr>
          <w:trHeight w:val="234"/>
        </w:trPr>
        <w:tc>
          <w:tcPr>
            <w:tcW w:w="13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2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Committee</w:t>
            </w:r>
          </w:p>
        </w:tc>
        <w:tc>
          <w:tcPr>
            <w:tcW w:w="760" w:type="dxa"/>
            <w:vAlign w:val="bottom"/>
            <w:tcBorders>
              <w:bottom w:val="single" w:sz="8" w:color="auto"/>
              <w:right w:val="single" w:sz="8" w:color="auto"/>
            </w:tcBorders>
            <w:shd w:val="clear" w:color="auto" w:fill="CCEEFF"/>
          </w:tcPr>
          <w:p>
            <w:pPr>
              <w:spacing w:after="0"/>
              <w:rPr>
                <w:sz w:val="20"/>
                <w:szCs w:val="20"/>
                <w:color w:val="auto"/>
              </w:rPr>
            </w:pPr>
          </w:p>
        </w:tc>
        <w:tc>
          <w:tcPr>
            <w:tcW w:w="2920" w:type="dxa"/>
            <w:vAlign w:val="bottom"/>
            <w:tcBorders>
              <w:bottom w:val="single" w:sz="8" w:color="auto"/>
              <w:right w:val="single" w:sz="8" w:color="auto"/>
            </w:tcBorders>
            <w:shd w:val="clear" w:color="auto" w:fill="CCEEFF"/>
          </w:tcPr>
          <w:p>
            <w:pPr>
              <w:spacing w:after="0"/>
              <w:rPr>
                <w:sz w:val="20"/>
                <w:szCs w:val="20"/>
                <w:color w:val="auto"/>
              </w:rPr>
            </w:pPr>
          </w:p>
        </w:tc>
        <w:tc>
          <w:tcPr>
            <w:tcW w:w="1660" w:type="dxa"/>
            <w:vAlign w:val="bottom"/>
            <w:tcBorders>
              <w:bottom w:val="single" w:sz="8" w:color="auto"/>
              <w:right w:val="single" w:sz="8" w:color="auto"/>
            </w:tcBorders>
            <w:shd w:val="clear" w:color="auto" w:fill="CCEEFF"/>
          </w:tcPr>
          <w:p>
            <w:pPr>
              <w:spacing w:after="0"/>
              <w:rPr>
                <w:sz w:val="20"/>
                <w:szCs w:val="20"/>
                <w:color w:val="auto"/>
              </w:rPr>
            </w:pPr>
          </w:p>
        </w:tc>
        <w:tc>
          <w:tcPr>
            <w:tcW w:w="22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3660" w:type="dxa"/>
            <w:vAlign w:val="bottom"/>
            <w:tcBorders>
              <w:left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7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191"/>
        </w:trPr>
        <w:tc>
          <w:tcPr>
            <w:tcW w:w="1360" w:type="dxa"/>
            <w:vAlign w:val="bottom"/>
            <w:tcBorders>
              <w:left w:val="single" w:sz="8" w:color="auto"/>
              <w:right w:val="single" w:sz="8" w:color="auto"/>
            </w:tcBorders>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Sanjai Bhonsle</w:t>
            </w:r>
          </w:p>
        </w:tc>
        <w:tc>
          <w:tcPr>
            <w:tcW w:w="520" w:type="dxa"/>
            <w:vAlign w:val="bottom"/>
            <w:tcBorders>
              <w:right w:val="single" w:sz="8" w:color="auto"/>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55</w:t>
            </w:r>
          </w:p>
        </w:tc>
        <w:tc>
          <w:tcPr>
            <w:tcW w:w="178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Chairman, Class III</w:t>
            </w:r>
          </w:p>
        </w:tc>
        <w:tc>
          <w:tcPr>
            <w:tcW w:w="760" w:type="dxa"/>
            <w:vAlign w:val="bottom"/>
            <w:tcBorders>
              <w:right w:val="single" w:sz="8" w:color="auto"/>
            </w:tcBorders>
            <w:shd w:val="clear" w:color="auto" w:fill="CCEEFF"/>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2028</w:t>
            </w:r>
          </w:p>
        </w:tc>
        <w:tc>
          <w:tcPr>
            <w:tcW w:w="292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Partner and Portfolio Manager of</w:t>
            </w:r>
          </w:p>
        </w:tc>
        <w:tc>
          <w:tcPr>
            <w:tcW w:w="1660" w:type="dxa"/>
            <w:vAlign w:val="bottom"/>
            <w:tcBorders>
              <w:right w:val="single" w:sz="8" w:color="auto"/>
            </w:tcBorders>
            <w:shd w:val="clear" w:color="auto" w:fill="CCEEFF"/>
          </w:tcPr>
          <w:p>
            <w:pPr>
              <w:jc w:val="right"/>
              <w:ind w:right="139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240" w:type="dxa"/>
            <w:vAlign w:val="bottom"/>
            <w:tcBorders>
              <w:right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Brown (RI) Management,</w:t>
            </w:r>
          </w:p>
        </w:tc>
      </w:tr>
      <w:tr>
        <w:trPr>
          <w:trHeight w:val="216"/>
        </w:trPr>
        <w:tc>
          <w:tcPr>
            <w:tcW w:w="1360" w:type="dxa"/>
            <w:vAlign w:val="bottom"/>
            <w:tcBorders>
              <w:left w:val="single" w:sz="8" w:color="auto"/>
              <w:right w:val="single" w:sz="8" w:color="auto"/>
            </w:tcBorders>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17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tcBorders>
              <w:right w:val="single" w:sz="8" w:color="auto"/>
            </w:tcBorders>
            <w:shd w:val="clear" w:color="auto" w:fill="CCEEFF"/>
          </w:tcPr>
          <w:p>
            <w:pPr>
              <w:spacing w:after="0"/>
              <w:rPr>
                <w:sz w:val="18"/>
                <w:szCs w:val="18"/>
                <w:color w:val="auto"/>
              </w:rPr>
            </w:pPr>
          </w:p>
        </w:tc>
        <w:tc>
          <w:tcPr>
            <w:tcW w:w="292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ArrowMark Partners, 2012 to</w:t>
            </w:r>
          </w:p>
        </w:tc>
        <w:tc>
          <w:tcPr>
            <w:tcW w:w="1660" w:type="dxa"/>
            <w:vAlign w:val="bottom"/>
            <w:tcBorders>
              <w:right w:val="single" w:sz="8" w:color="auto"/>
            </w:tcBorders>
            <w:shd w:val="clear" w:color="auto" w:fill="CCEEFF"/>
          </w:tcPr>
          <w:p>
            <w:pPr>
              <w:spacing w:after="0"/>
              <w:rPr>
                <w:sz w:val="18"/>
                <w:szCs w:val="18"/>
                <w:color w:val="auto"/>
              </w:rPr>
            </w:pPr>
          </w:p>
        </w:tc>
        <w:tc>
          <w:tcPr>
            <w:tcW w:w="224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LLC and Affiliates from</w:t>
            </w:r>
          </w:p>
        </w:tc>
      </w:tr>
      <w:tr>
        <w:trPr>
          <w:trHeight w:val="234"/>
        </w:trPr>
        <w:tc>
          <w:tcPr>
            <w:tcW w:w="13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20" w:type="dxa"/>
            <w:vAlign w:val="bottom"/>
            <w:tcBorders>
              <w:bottom w:val="single" w:sz="8" w:color="auto"/>
              <w:right w:val="single" w:sz="8" w:color="auto"/>
            </w:tcBorders>
            <w:shd w:val="clear" w:color="auto" w:fill="CCEEFF"/>
          </w:tcPr>
          <w:p>
            <w:pPr>
              <w:spacing w:after="0"/>
              <w:rPr>
                <w:sz w:val="20"/>
                <w:szCs w:val="20"/>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760" w:type="dxa"/>
            <w:vAlign w:val="bottom"/>
            <w:tcBorders>
              <w:bottom w:val="single" w:sz="8" w:color="auto"/>
              <w:right w:val="single" w:sz="8" w:color="auto"/>
            </w:tcBorders>
            <w:shd w:val="clear" w:color="auto" w:fill="CCEEFF"/>
          </w:tcPr>
          <w:p>
            <w:pPr>
              <w:spacing w:after="0"/>
              <w:rPr>
                <w:sz w:val="20"/>
                <w:szCs w:val="20"/>
                <w:color w:val="auto"/>
              </w:rPr>
            </w:pPr>
          </w:p>
        </w:tc>
        <w:tc>
          <w:tcPr>
            <w:tcW w:w="29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Present</w:t>
            </w:r>
          </w:p>
        </w:tc>
        <w:tc>
          <w:tcPr>
            <w:tcW w:w="1660" w:type="dxa"/>
            <w:vAlign w:val="bottom"/>
            <w:tcBorders>
              <w:bottom w:val="single" w:sz="8" w:color="auto"/>
              <w:right w:val="single" w:sz="8" w:color="auto"/>
            </w:tcBorders>
            <w:shd w:val="clear" w:color="auto" w:fill="CCEEFF"/>
          </w:tcPr>
          <w:p>
            <w:pPr>
              <w:spacing w:after="0"/>
              <w:rPr>
                <w:sz w:val="20"/>
                <w:szCs w:val="20"/>
                <w:color w:val="auto"/>
              </w:rPr>
            </w:pPr>
          </w:p>
        </w:tc>
        <w:tc>
          <w:tcPr>
            <w:tcW w:w="22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2018-Present</w:t>
            </w:r>
          </w:p>
        </w:tc>
      </w:tr>
      <w:tr>
        <w:trPr>
          <w:trHeight w:val="191"/>
        </w:trPr>
        <w:tc>
          <w:tcPr>
            <w:tcW w:w="13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Karen L.</w:t>
            </w:r>
          </w:p>
        </w:tc>
        <w:tc>
          <w:tcPr>
            <w:tcW w:w="5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58</w:t>
            </w:r>
          </w:p>
        </w:tc>
        <w:tc>
          <w:tcPr>
            <w:tcW w:w="17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Class I Director</w:t>
            </w:r>
          </w:p>
        </w:tc>
        <w:tc>
          <w:tcPr>
            <w:tcW w:w="760" w:type="dxa"/>
            <w:vAlign w:val="bottom"/>
            <w:tcBorders>
              <w:right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2026</w:t>
            </w:r>
          </w:p>
        </w:tc>
        <w:tc>
          <w:tcPr>
            <w:tcW w:w="29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Partner and Portfolio Manager at</w:t>
            </w:r>
          </w:p>
        </w:tc>
        <w:tc>
          <w:tcPr>
            <w:tcW w:w="1660" w:type="dxa"/>
            <w:vAlign w:val="bottom"/>
            <w:tcBorders>
              <w:right w:val="single" w:sz="8" w:color="auto"/>
            </w:tcBorders>
          </w:tcPr>
          <w:p>
            <w:pPr>
              <w:jc w:val="right"/>
              <w:ind w:right="139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2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Brown (RI) Management,</w:t>
            </w:r>
          </w:p>
        </w:tc>
      </w:tr>
      <w:tr>
        <w:trPr>
          <w:trHeight w:val="216"/>
        </w:trPr>
        <w:tc>
          <w:tcPr>
            <w:tcW w:w="13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Reidy</w:t>
            </w:r>
          </w:p>
        </w:tc>
        <w:tc>
          <w:tcPr>
            <w:tcW w:w="5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ArrowMark Partners from 2008-</w:t>
            </w:r>
          </w:p>
        </w:tc>
        <w:tc>
          <w:tcPr>
            <w:tcW w:w="16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LLC and Affiliates from</w:t>
            </w:r>
          </w:p>
        </w:tc>
      </w:tr>
      <w:tr>
        <w:trPr>
          <w:trHeight w:val="234"/>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Present</w:t>
            </w:r>
          </w:p>
        </w:tc>
        <w:tc>
          <w:tcPr>
            <w:tcW w:w="16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2018-Present</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The business address of each Director is c/o ArrowMark Financial Corp.,100 Fillmore Street, Suite 325, Denver, CO 80206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Responsibilities of the Board of Directors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responsible under applicable state law for overseeing generally our management and operations. Our board of directors oversees our operations by, among other things, meeting at its regularly scheduled meetings and as otherwise needed with our management and evaluating the performance of our service providers including our Adviser, our custodian and our transfer agent. As part of this process, our directors consult with our independent auditors and may consult with their own separate independent counsel.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92" w:name="page93"/>
    <w:bookmarkEnd w:id="92"/>
    <w:p>
      <w:pPr>
        <w:jc w:val="both"/>
        <w:spacing w:after="0" w:line="266" w:lineRule="auto"/>
        <w:rPr>
          <w:sz w:val="20"/>
          <w:szCs w:val="20"/>
          <w:color w:val="auto"/>
        </w:rPr>
      </w:pPr>
      <w:r>
        <w:rPr>
          <w:rFonts w:ascii="Times New Roman" w:cs="Times New Roman" w:eastAsia="Times New Roman" w:hAnsi="Times New Roman"/>
          <w:sz w:val="18"/>
          <w:szCs w:val="18"/>
          <w:color w:val="auto"/>
        </w:rPr>
        <w:t>Our directors review our financial statements, performance, net asset value and market price and the relationship between them, as well as the quality of the services being provided to us. As part of this process, our directors review our fees and expenses in light of the nature, quality and scope of the services being received while also seeking to ensure that we continue to have access to high quality services in the future.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has four regularly scheduled meetings each year, and additional meetings may be scheduled as needed. In addition, our board of directors has a standing Audit Committee and a standing Nominating and Governance Committee that each meet periodically and whose responsibilities are described below.</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fiscal year ended December 31, 2024, each director attended at least 75% of the aggregate number of meetings of the board of directors and the committees for which he or she was eligible. We do not have a formal policy regarding attendance by directors at annual meetings of stockholders.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and the Nominating and Governance Committee are each composed of all directors who have been determined not to be “interested persons” of us, our Adviser or their affiliates within the meaning of the Investment Company Act, and who are “independent” as defined in the NASDAQ stock exchange listing standards, and is chaired by an independent director. The board of directors in its discretion from time to time may establish ad hoc committees.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appointment of Mr. Bhonsle as Chairman reflects the board of director’s belief that his experience, familiarity with the our day-to-day operations and access to individuals with responsibility for our management and operations provides the board of directors with insight into our business and activities and, with his access to appropriate administrative support, facilitates the efficient development of meeting agendas that address our business, legal and other needs and the orderly conduct of board meetings. Emil Henry serves as lead independent director. The Chairman develops agendas for board meetings in consultation with the lead independent director and presides at all meetings of the board of directors. The lead independent director, among other things, chairs executive sessions of the independent directors, serves as a spokesperson for the independent directors and serves as a liaison between the independent directors and our management between board meetings. The independent directors regularly meet outside the presence of management and are advised by independent legal counsel. The board of directors also has determined that its leadership structure, as described above, is appropriate in light of our size and complexity, the number of independent directors and the general oversight responsibility of the board of directors. The board of directors also believes that its leadership structure not only facilitates the orderly and efficient flow of information to the independent directors from management, including our Adviser, but also enhances the independent and orderly exercise of its responsibilities.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Biographical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certain biographical information for our independent directors (the “Independent Directors”):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John Scott Emrich. </w:t>
      </w:r>
      <w:r>
        <w:rPr>
          <w:rFonts w:ascii="Times New Roman" w:cs="Times New Roman" w:eastAsia="Times New Roman" w:hAnsi="Times New Roman"/>
          <w:sz w:val="18"/>
          <w:szCs w:val="18"/>
          <w:color w:val="auto"/>
        </w:rPr>
        <w:t>Mr. Emrich has significant experience in the investment management and financial services industry. Mr. Emrich served as a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analyst or portfolio manager for over 13 years for various investment advisory firms. For four years, Mr. Emrich served on the board of directors for Iroquois Valley Farms, an organic farmland REIT. Prior to such positions he also performed business valuations and appraisal analyses at KPMG Peat Marwick, an accounting firm. Mr. Emrich is the founder and CEO of Red Earth Finance, LLC.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Emil W. Henry, Jr. </w:t>
      </w:r>
      <w:r>
        <w:rPr>
          <w:rFonts w:ascii="Times New Roman" w:cs="Times New Roman" w:eastAsia="Times New Roman" w:hAnsi="Times New Roman"/>
          <w:sz w:val="18"/>
          <w:szCs w:val="18"/>
          <w:color w:val="auto"/>
        </w:rPr>
        <w:t>Mr. Henry is the CEO and Founder of Tiger Infrastructure Partners, a private equity firm focused on infrastructure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opportunities. Prior to founding Tiger Infrastructure Partners, he was Global Head of the Lehman Brothers Private Equity Infrastructure businesses, where he oversaw global infrastructure investments. In 2005, Mr. Henry was appointed Assistant Secretary of the Treasury for Financial Institutions by the President of the United States. Until his departure in 2007, he was a key advisor to two Treasury Secretaries on economic, legislative and regulatory matters affecting U.S. financial institutions and markets. Before joining the Treasury, Mr. Henry was a partner of Gleacher Partners LLC, an investment banking and investment management firm, where he served as Chairman of Asset Management, and Managing Director, and where he oversaw the firm’s investment activities. Mr. Henry began the formative part of his career at Morgan Stanley in the mid-1980s in that firm’s merchant banking arm where he executed management buyouts for Morgan Stanley’s flagship private equity fund. He holds an M.B.A. from Harvard Business School and a B.A. in Economics from Yale University.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3" w:name="page94"/>
    <w:bookmarkEnd w:id="93"/>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Melissa Marano Thompson. </w:t>
      </w:r>
      <w:r>
        <w:rPr>
          <w:rFonts w:ascii="Times New Roman" w:cs="Times New Roman" w:eastAsia="Times New Roman" w:hAnsi="Times New Roman"/>
          <w:sz w:val="18"/>
          <w:szCs w:val="18"/>
          <w:color w:val="auto"/>
        </w:rPr>
        <w:t>Ms. Thompson joined ArrowMark in September 2025. She is a seasoned credit investor and risk manager with a background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spanning over 30 years in leveraged finance and private equity. Since 2013, she has been self-employed as a financial consultant. Prior to her consulting work, Ms. Marano Thompson worked as a portfolio manager of Ivy Hill Asset Management, a division of Ares Capital Corporation and served as a Senior Vice President and Chief Risk Officer at First Light Financial Corporation, a middle market finance company. Previously, Ms. Marano Thompson was a Managing Director at Oaktree Capital Management, Mezzanine Group, focusing on bank debt investments. Prior to joining Oaktree Capital Management, Ms. Marano Thompson was a Managing Director and Senior Portfolio Manager at GSO Capital Partners, where she managed approximately $4.5 billion in assets across their CLO platform. Ms. Marano Thompson also had prior roles at RBC Capital, Credit Agricole Indosuez (Indosuez Capital) and was credit trained at Chemical Bank. Ms. Marano Thompson received her B.B.A., in finance, cum laude, and her MBA in finance from Hofstra University.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certain biographical information for our Interested Directors: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Sanjai Bhonsle. </w:t>
      </w:r>
      <w:r>
        <w:rPr>
          <w:rFonts w:ascii="Times New Roman" w:cs="Times New Roman" w:eastAsia="Times New Roman" w:hAnsi="Times New Roman"/>
          <w:sz w:val="18"/>
          <w:szCs w:val="18"/>
          <w:color w:val="auto"/>
        </w:rPr>
        <w:t>Mr. Bhonsle joined ArrowMark in October 2012 and serves as Partner and Portfolio Manager for ArrowMark’s leveraged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and CLO funds. Prior to joining ArrowMark, he founded MB Consulting Partners in 2009, where he specialized in financial and operational restructuring advisory to stressed and distressed middle-market companies. With more than 10 years of restructuring experience, he has led several assignments across various industries. Mr. Bhonsle was a Senior Portfolio Manager at GSO Capital Partners, a subsidiary of The Blackstone Group, and member of the Investment and Management Committee (2005-2009). Prior to joining GSO Capital Partners, Mr. Bhonsle was an Assistant Portfolio Manager for RBC Capital Partners’ debt investment group and was a member of the Investment Committee (2001-2005). He also led the group’s restructuring efforts related to distressed investments and represented the firm’s interests on creditor committees. From 1999-2001, Mr. Bhonsle was a Senior Investment Analyst at Indosuez Capital Partners. Mr. Bhonsle received a bachelor’s degree in Mechanical Engineering from the University of Wisconsin - Madison and an MBA from the Eli Broad Graduate School of Management at Michigan State University.</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Karen L. Reidy. </w:t>
      </w:r>
      <w:r>
        <w:rPr>
          <w:rFonts w:ascii="Times New Roman" w:cs="Times New Roman" w:eastAsia="Times New Roman" w:hAnsi="Times New Roman"/>
          <w:sz w:val="18"/>
          <w:szCs w:val="18"/>
          <w:color w:val="auto"/>
        </w:rPr>
        <w:t>Ms. Reidy is a founding Partner and co-manages ArrowMark’s collateralized loan obligation and specialty finance investments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analyst team. Prior to founding ArrowMark, Ms. Reidy served as Executive Vice President and Portfolio Manager at Janus capital, managing $10 billion for two strategies: Janus Balanced Fund and Janus Core Equity Fund, as well as institutional separate accounts (2000-2005). Ms. Reidy was also the Assistant Portfolio Manager of the Janus Fund (1998-2000). She joined Janus Capital as an equity analyst in 1995. Prior to Janus Capital Group, she worked at PricewaterhouseCoopers LLC in the audit and mergers and acquisitions departments. Ms. Reidy graduated from the University of Colorado with a bachelor’s degree and holds the Chartered Financial Analyst designation.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(“Audit Committee”) of our board of directors is responsible for selecting, engaging and discharging our independent accountants, reviewing the plans, scope and results of the audit engagement with our independent accountants, approving professional services provided by our independent accountants (including compensation therefor), reviewing the independence of our independent accountants, overseeing our accounting and reporting processes, overseeing the quality and integrity of our financial statements and the independent audit thereof and reviewing the adequacy of our internal controls over financial reporting. The members of the Audit Committee are Messrs. Emrich, Henry and Ms. Thompson, all of whom are independent directors and none of whom are interested persons in the Company. Mr. Emrich serves as the chairperson of the Audit Committee and has been determined by the board of directors to be an “audit committee financial expert.” During the period from January 1, 2024 through December 31, 2024, the Audit Committee met four times.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functions of the nominating committee (“Nominating Committee”) are (i) to identify individuals qualified to become Directors of the Company in the event that a position is vacated or created; (ii) to select, or to recommend that the Board select, the Director nominees for each annual meeting of the stockholders; (iii) to set any necessary standards or qualifications for service as a Director of the Company; (iv) to make recommendations concerning the continuing education of the Directors on matters relating to their activities as Directors; (v) to oversee the periodic Director self-assessment; (vi) to periodically review and make recommendations regarding Independent Director compensation; to undertake such matters from time to time relating to Board nominations or governance of the Company as the Nominating Committee shall deem appropriate; (viii) to periodically liaise with the Company’s Chief Compliance Officer and (ix) to oversee the contract review process, including the review of the Company’s investment advisory agreement and contracts with any affiliated service providers. In addition, the Nominating Committee will consider corporate governance issues that arise from time to time, and develop appropriate recommendations for the Board, giving appropriate weight to relevant factors including industry “leading practices.” The Nominating Committee will review and report to the Board regarding any actual or potential conflicts of interest involving any Director and determine whether such Director may vote on any issue as to which there may be a conflict. In addition, the Nominating Committee will review all related-party transactions and determine whether such transactions are appropriate for the Company to undertake. The Nominating Committee is comprised of Messrs. Emrich, Henry and Ms. Thompson. Mr. Henry serves as the chairperson of the Nominating Committee. During the period from January 1, 2024 through December 31, 2024, the Nominating Committee met two times.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board of directors’ role in our risk oversight reflects its responsibility under applicable state law to oversee generally, rather than to manage, our operations. In line with this oversight responsibility, our board of directors receives reports and makes inquiry as needed regarding the nature and extent of significant risks we face (including investment, compliance and valuation risks) that potentially could have a materially adverse impact on our business operations, investment performance or reputation. The board of directors relies upon our management (including our investment committee) and Chief Compliance Officer, who reports directly to the board of directors, and our Adviser to assist them in identifying and understanding the nature and extent of such risks and determining whether, and to what extent, such risks may be eliminated or mitigated. In addition to reports and other information received from our management and our Adviser regarding our investment program and activities, the board of directors as part of their risk oversight efforts meet regularly and as needed with our Chief Compliance Officer to discuss, among other things, risk issues and issues regarding our policies, procedures and controls. Our board of directors may be assisted in performing aspects of its role in risk oversight by the audit committee, nominating and governance committee and such other standing or special committees as may be established from time to time by the board of directors. For example, the audit committee regularly meets with our independent public accounting firm to review, among other things, reports on our internal controls for financial reporting. Our board of directors believes that not all risks that may affect us can be identified, that it may not be practical or cost-effective to eliminate or mitigate certain risks, that it may be necessary to bear certain risks (such as investment-related risks) to achieve our goals, and that the processes, procedures and controls employed to address certain risks may be limited in their effectiveness. As a result of the foregoing and other factors, the board of directors’ risk management oversight is subject to substantial limitations.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Directors and Members of Investment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dollar range of equity securities owned by our directors and investment committee in us as of December 31, 2024. As of the date of this SAI, there were no other investment companies that are considered to be in the same family of investment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Aggregate Dollar Range of Equity</w:t>
            </w:r>
          </w:p>
        </w:tc>
      </w:tr>
      <w:tr>
        <w:trPr>
          <w:trHeight w:val="216"/>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Securities in All Registered Investment</w:t>
            </w:r>
          </w:p>
        </w:tc>
      </w:tr>
      <w:tr>
        <w:trPr>
          <w:trHeight w:val="216"/>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Dollar Range of Equity</w:t>
            </w:r>
          </w:p>
        </w:tc>
        <w:tc>
          <w:tcPr>
            <w:tcW w:w="8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Companies Overseen by the Director in</w:t>
            </w:r>
          </w:p>
        </w:tc>
      </w:tr>
      <w:tr>
        <w:trPr>
          <w:trHeight w:val="234"/>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Director</w:t>
            </w:r>
          </w:p>
        </w:tc>
        <w:tc>
          <w:tcPr>
            <w:tcW w:w="80" w:type="dxa"/>
            <w:vAlign w:val="bottom"/>
            <w:tcBorders>
              <w:bottom w:val="single" w:sz="8" w:color="CCEEFF"/>
            </w:tcBorders>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Securities in the Company</w:t>
            </w:r>
          </w:p>
        </w:tc>
        <w:tc>
          <w:tcPr>
            <w:tcW w:w="80" w:type="dxa"/>
            <w:vAlign w:val="bottom"/>
            <w:tcBorders>
              <w:bottom w:val="single" w:sz="8" w:color="CCEEFF"/>
            </w:tcBorders>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Family of Investment Companies</w:t>
            </w: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8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John Scott Emrich</w:t>
            </w: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Over $100,000</w:t>
            </w: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Emil W. Henry, Jr.</w:t>
            </w:r>
          </w:p>
        </w:tc>
        <w:tc>
          <w:tcPr>
            <w:tcW w:w="3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Over $100,000</w:t>
            </w: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Melissa Marano Thompson</w:t>
            </w:r>
          </w:p>
        </w:tc>
        <w:tc>
          <w:tcPr>
            <w:tcW w:w="3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Sanjai Bhonsle(2)</w:t>
            </w:r>
          </w:p>
        </w:tc>
        <w:tc>
          <w:tcPr>
            <w:tcW w:w="3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Over $100,000</w:t>
            </w:r>
          </w:p>
        </w:tc>
        <w:tc>
          <w:tcPr>
            <w:tcW w:w="4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Karen L. Reidy(2)</w:t>
            </w: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Over $100,000</w:t>
            </w: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Over $100,000</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Committee</w:t>
            </w:r>
          </w:p>
        </w:tc>
        <w:tc>
          <w:tcPr>
            <w:tcW w:w="8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Kaelyn Abrell(3)</w:t>
            </w: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None</w:t>
            </w:r>
          </w:p>
        </w:tc>
        <w:tc>
          <w:tcPr>
            <w:tcW w:w="4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9" w:lineRule="exact"/>
        <w:rPr>
          <w:sz w:val="20"/>
          <w:szCs w:val="20"/>
          <w:color w:val="auto"/>
        </w:rPr>
      </w:pPr>
    </w:p>
    <w:p>
      <w:pPr>
        <w:ind w:left="580" w:hanging="572"/>
        <w:spacing w:after="0"/>
        <w:tabs>
          <w:tab w:leader="none" w:pos="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Thompson was appointed as a Director effective September 15, 2025 to fill a vacancy on the Board.</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a member of the Company’s investment committee.</w:t>
      </w:r>
    </w:p>
    <w:p>
      <w:pPr>
        <w:spacing w:after="0" w:line="225"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Abrell is not a Director but is a member of the Company’s investment committee. The Company is required to show the dollar ranges of the investment committee members’ beneficial ownership of securities in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the independent directors nor their family members owned beneficially or of record securities issued by our Adviser, or any person directly or indirectly controlling, controlled by, or under common control with Adviser as of the date of this SAI.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fiscal year ended December 31, 2024, the Board held four meetings. Each Director of the Company attended at least 75% of the meetings of the Board and of any Committee of which he or she was a member. The compensation paid by the Company to the Independent Directors for the fiscal year ended December 31, 2024 is set forth below. No compensation is paid by the Company to the Interested Directors. No officers of the Company received compensation from the Company. The Company did not reimburse the Independent Directors for out-of-pocket expenses incurred in attending the Board and Committee meetings for the year ended December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Pension or</w:t>
            </w:r>
          </w:p>
        </w:tc>
        <w:tc>
          <w:tcPr>
            <w:tcW w:w="2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2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2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Accrued</w:t>
            </w:r>
          </w:p>
        </w:tc>
        <w:tc>
          <w:tcPr>
            <w:tcW w:w="2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Annual Benefits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From Company</w:t>
            </w:r>
          </w:p>
        </w:tc>
      </w:tr>
      <w:tr>
        <w:trPr>
          <w:trHeight w:val="216"/>
        </w:trPr>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from the</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Upon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and Complex Paid</w:t>
            </w:r>
          </w:p>
        </w:tc>
      </w:tr>
      <w:tr>
        <w:trPr>
          <w:trHeight w:val="238"/>
        </w:trPr>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Company(1)</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Retirement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to Directors</w:t>
            </w:r>
          </w:p>
        </w:tc>
      </w:tr>
      <w:tr>
        <w:trPr>
          <w:trHeight w:val="210"/>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John Scott Emrich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71,000</w:t>
            </w:r>
          </w:p>
        </w:tc>
        <w:tc>
          <w:tcPr>
            <w:tcW w:w="22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None</w:t>
            </w:r>
          </w:p>
        </w:tc>
        <w:tc>
          <w:tcPr>
            <w:tcW w:w="21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None</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71,000</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Emil Henry, Jr.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71,000</w:t>
            </w:r>
          </w:p>
        </w:tc>
        <w:tc>
          <w:tcPr>
            <w:tcW w:w="224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None</w:t>
            </w:r>
          </w:p>
        </w:tc>
        <w:tc>
          <w:tcPr>
            <w:tcW w:w="218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None</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71,000</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Michael Stolper(1)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71,000</w:t>
            </w:r>
          </w:p>
        </w:tc>
        <w:tc>
          <w:tcPr>
            <w:tcW w:w="22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None</w:t>
            </w:r>
          </w:p>
        </w:tc>
        <w:tc>
          <w:tcPr>
            <w:tcW w:w="21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None</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71,000</w:t>
            </w:r>
          </w:p>
        </w:tc>
      </w:tr>
      <w:tr>
        <w:trPr>
          <w:trHeight w:val="257"/>
        </w:trPr>
        <w:tc>
          <w:tcPr>
            <w:tcW w:w="2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Interested Directors</w:t>
            </w:r>
            <w:r>
              <w:rPr>
                <w:rFonts w:ascii="Times New Roman" w:cs="Times New Roman" w:eastAsia="Times New Roman" w:hAnsi="Times New Roman"/>
                <w:sz w:val="29"/>
                <w:szCs w:val="29"/>
                <w:b w:val="1"/>
                <w:bCs w:val="1"/>
                <w:color w:val="auto"/>
                <w:vertAlign w:val="superscript"/>
              </w:rPr>
              <w:t>(2)</w:t>
            </w:r>
          </w:p>
        </w:tc>
        <w:tc>
          <w:tcPr>
            <w:tcW w:w="28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Sanjai Bhonsle</w:t>
            </w:r>
          </w:p>
        </w:tc>
        <w:tc>
          <w:tcPr>
            <w:tcW w:w="280" w:type="dxa"/>
            <w:vAlign w:val="bottom"/>
          </w:tcPr>
          <w:p>
            <w:pPr>
              <w:spacing w:after="0"/>
              <w:rPr>
                <w:sz w:val="18"/>
                <w:szCs w:val="18"/>
                <w:color w:val="auto"/>
              </w:rPr>
            </w:pP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None</w:t>
            </w:r>
          </w:p>
        </w:tc>
        <w:tc>
          <w:tcPr>
            <w:tcW w:w="22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None</w:t>
            </w:r>
          </w:p>
        </w:tc>
        <w:tc>
          <w:tcPr>
            <w:tcW w:w="21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None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Karen Reidy</w:t>
            </w:r>
          </w:p>
        </w:tc>
        <w:tc>
          <w:tcPr>
            <w:tcW w:w="2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None</w:t>
            </w:r>
          </w:p>
        </w:tc>
        <w:tc>
          <w:tcPr>
            <w:tcW w:w="224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None</w:t>
            </w:r>
          </w:p>
        </w:tc>
        <w:tc>
          <w:tcPr>
            <w:tcW w:w="218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None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98" w:lineRule="exact"/>
        <w:rPr>
          <w:sz w:val="20"/>
          <w:szCs w:val="20"/>
          <w:color w:val="auto"/>
        </w:rPr>
      </w:pPr>
    </w:p>
    <w:p>
      <w:pPr>
        <w:jc w:val="both"/>
        <w:ind w:left="220" w:hanging="215"/>
        <w:spacing w:after="0" w:line="261" w:lineRule="auto"/>
        <w:rPr>
          <w:sz w:val="20"/>
          <w:szCs w:val="20"/>
          <w:color w:val="auto"/>
        </w:rPr>
      </w:pPr>
      <w:r>
        <w:rPr>
          <w:rFonts w:ascii="Times New Roman" w:cs="Times New Roman" w:eastAsia="Times New Roman" w:hAnsi="Times New Roman"/>
          <w:sz w:val="18"/>
          <w:szCs w:val="18"/>
          <w:color w:val="auto"/>
        </w:rPr>
        <w:t>(1)Former Class II director. Mr. Stolper passed away in March 2025. The directorship formerly held by him is currently held by Ms. Melissa Marano Thompson.</w:t>
      </w:r>
    </w:p>
    <w:p>
      <w:pPr>
        <w:spacing w:after="0"/>
        <w:rPr>
          <w:sz w:val="20"/>
          <w:szCs w:val="20"/>
          <w:color w:val="auto"/>
        </w:rPr>
      </w:pPr>
      <w:r>
        <w:rPr>
          <w:rFonts w:ascii="Times New Roman" w:cs="Times New Roman" w:eastAsia="Times New Roman" w:hAnsi="Times New Roman"/>
          <w:sz w:val="18"/>
          <w:szCs w:val="18"/>
          <w:color w:val="auto"/>
        </w:rPr>
        <w:t>(2)Interested directors are not compensated by us for their service as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officers are chosen each year at a regular meeting of the board of directors to hold office until their respective successors are duly elected and qualified, or until he resigns or is removed in the manner provided by law. Unless otherwise indicated, the address of each officer is 100 Fillmore Street, Suite 325, Denver, Colorado 80206. Our executive officers currently 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Held with</w:t>
            </w:r>
          </w:p>
        </w:tc>
        <w:tc>
          <w:tcPr>
            <w:tcW w:w="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40" w:type="dxa"/>
            <w:vAlign w:val="bottom"/>
          </w:tcPr>
          <w:p>
            <w:pPr>
              <w:spacing w:after="0"/>
              <w:rPr>
                <w:sz w:val="18"/>
                <w:szCs w:val="18"/>
                <w:color w:val="auto"/>
              </w:rPr>
            </w:pPr>
          </w:p>
        </w:tc>
        <w:tc>
          <w:tcPr>
            <w:tcW w:w="8120" w:type="dxa"/>
            <w:vAlign w:val="bottom"/>
          </w:tcPr>
          <w:p>
            <w:pPr>
              <w:spacing w:after="0"/>
              <w:rPr>
                <w:sz w:val="18"/>
                <w:szCs w:val="18"/>
                <w:color w:val="auto"/>
              </w:rPr>
            </w:pPr>
          </w:p>
        </w:tc>
      </w:tr>
      <w:tr>
        <w:trPr>
          <w:trHeight w:val="238"/>
        </w:trPr>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Served</w:t>
            </w:r>
          </w:p>
        </w:tc>
        <w:tc>
          <w:tcPr>
            <w:tcW w:w="40" w:type="dxa"/>
            <w:vAlign w:val="bottom"/>
          </w:tcPr>
          <w:p>
            <w:pPr>
              <w:spacing w:after="0"/>
              <w:rPr>
                <w:sz w:val="20"/>
                <w:szCs w:val="20"/>
                <w:color w:val="auto"/>
              </w:rPr>
            </w:pPr>
          </w:p>
        </w:tc>
        <w:tc>
          <w:tcPr>
            <w:tcW w:w="812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Principal Occupation(s) Last 5 Years</w:t>
            </w:r>
          </w:p>
        </w:tc>
      </w:tr>
      <w:tr>
        <w:trPr>
          <w:trHeight w:val="191"/>
        </w:trPr>
        <w:tc>
          <w:tcPr>
            <w:tcW w:w="8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Dana</w:t>
            </w: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52</w:t>
            </w:r>
          </w:p>
        </w:tc>
        <w:tc>
          <w:tcPr>
            <w:tcW w:w="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President</w:t>
            </w:r>
          </w:p>
        </w:tc>
        <w:tc>
          <w:tcPr>
            <w:tcW w:w="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Since June</w:t>
            </w:r>
          </w:p>
        </w:tc>
        <w:tc>
          <w:tcPr>
            <w:tcW w:w="40" w:type="dxa"/>
            <w:vAlign w:val="bottom"/>
            <w:tcBorders>
              <w:top w:val="single" w:sz="8" w:color="CCEEFF"/>
            </w:tcBorders>
            <w:shd w:val="clear" w:color="auto" w:fill="CCEEFF"/>
          </w:tcPr>
          <w:p>
            <w:pPr>
              <w:spacing w:after="0"/>
              <w:rPr>
                <w:sz w:val="16"/>
                <w:szCs w:val="16"/>
                <w:color w:val="auto"/>
              </w:rPr>
            </w:pPr>
          </w:p>
        </w:tc>
        <w:tc>
          <w:tcPr>
            <w:tcW w:w="81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Managing Director of ArrowMark Partners.</w:t>
            </w:r>
          </w:p>
        </w:tc>
      </w:tr>
      <w:tr>
        <w:trPr>
          <w:trHeight w:val="234"/>
        </w:trPr>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Staggs</w:t>
            </w: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shd w:val="clear" w:color="auto" w:fill="CCEEFF"/>
          </w:tcPr>
          <w:p>
            <w:pPr>
              <w:spacing w:after="0"/>
              <w:rPr>
                <w:sz w:val="20"/>
                <w:szCs w:val="20"/>
                <w:color w:val="auto"/>
              </w:rPr>
            </w:pPr>
          </w:p>
        </w:tc>
        <w:tc>
          <w:tcPr>
            <w:tcW w:w="8120" w:type="dxa"/>
            <w:vAlign w:val="bottom"/>
            <w:shd w:val="clear" w:color="auto" w:fill="CCEEFF"/>
          </w:tcPr>
          <w:p>
            <w:pPr>
              <w:spacing w:after="0"/>
              <w:rPr>
                <w:sz w:val="20"/>
                <w:szCs w:val="20"/>
                <w:color w:val="auto"/>
              </w:rPr>
            </w:pPr>
          </w:p>
        </w:tc>
      </w:tr>
      <w:tr>
        <w:trPr>
          <w:trHeight w:val="198"/>
        </w:trPr>
        <w:tc>
          <w:tcPr>
            <w:tcW w:w="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Patrick J.</w:t>
            </w:r>
          </w:p>
        </w:tc>
        <w:tc>
          <w:tcPr>
            <w:tcW w:w="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66</w:t>
            </w:r>
          </w:p>
        </w:tc>
        <w:tc>
          <w:tcPr>
            <w:tcW w:w="100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Chief</w:t>
            </w:r>
          </w:p>
        </w:tc>
        <w:tc>
          <w:tcPr>
            <w:tcW w:w="8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Since</w:t>
            </w:r>
          </w:p>
        </w:tc>
        <w:tc>
          <w:tcPr>
            <w:tcW w:w="816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Chief Financial Officer of ArrowMark Partners, LLC from April 2014 to Present.</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Farrell,</w:t>
            </w:r>
          </w:p>
        </w:tc>
        <w:tc>
          <w:tcPr>
            <w:tcW w:w="3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Financial</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April 2014</w:t>
            </w:r>
          </w:p>
        </w:tc>
        <w:tc>
          <w:tcPr>
            <w:tcW w:w="40" w:type="dxa"/>
            <w:vAlign w:val="bottom"/>
          </w:tcPr>
          <w:p>
            <w:pPr>
              <w:spacing w:after="0"/>
              <w:rPr>
                <w:sz w:val="18"/>
                <w:szCs w:val="18"/>
                <w:color w:val="auto"/>
              </w:rPr>
            </w:pPr>
          </w:p>
        </w:tc>
        <w:tc>
          <w:tcPr>
            <w:tcW w:w="8120" w:type="dxa"/>
            <w:vAlign w:val="bottom"/>
          </w:tcPr>
          <w:p>
            <w:pPr>
              <w:spacing w:after="0"/>
              <w:rPr>
                <w:sz w:val="18"/>
                <w:szCs w:val="18"/>
                <w:color w:val="auto"/>
              </w:rPr>
            </w:pPr>
          </w:p>
        </w:tc>
      </w:tr>
      <w:tr>
        <w:trPr>
          <w:trHeight w:val="2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CPA</w:t>
            </w:r>
          </w:p>
        </w:tc>
        <w:tc>
          <w:tcPr>
            <w:tcW w:w="30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Officer</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120" w:type="dxa"/>
            <w:vAlign w:val="bottom"/>
          </w:tcPr>
          <w:p>
            <w:pPr>
              <w:spacing w:after="0"/>
              <w:rPr>
                <w:sz w:val="20"/>
                <w:szCs w:val="20"/>
                <w:color w:val="auto"/>
              </w:rPr>
            </w:pPr>
          </w:p>
        </w:tc>
      </w:tr>
      <w:tr>
        <w:trPr>
          <w:trHeight w:val="198"/>
        </w:trPr>
        <w:tc>
          <w:tcPr>
            <w:tcW w:w="12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Rick Grove 56</w:t>
            </w:r>
          </w:p>
        </w:tc>
        <w:tc>
          <w:tcPr>
            <w:tcW w:w="100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Chief</w:t>
            </w:r>
          </w:p>
        </w:tc>
        <w:tc>
          <w:tcPr>
            <w:tcW w:w="8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Since</w:t>
            </w:r>
          </w:p>
        </w:tc>
        <w:tc>
          <w:tcPr>
            <w:tcW w:w="816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Chief Compliance Officer of ArrowMark Colorado Holdings, LLC.; formerly Chief Operating Officer,</w:t>
            </w:r>
          </w:p>
        </w:tc>
      </w:tr>
      <w:tr>
        <w:trPr>
          <w:trHeight w:val="216"/>
        </w:trPr>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Compliance</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February</w:t>
            </w:r>
          </w:p>
        </w:tc>
        <w:tc>
          <w:tcPr>
            <w:tcW w:w="8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ArrowMark Colorado Holdings, LLC.; Vice President, Secretary and Chief Compliance Officer of Meridian</w:t>
            </w:r>
          </w:p>
        </w:tc>
      </w:tr>
      <w:tr>
        <w:trPr>
          <w:trHeight w:val="234"/>
        </w:trPr>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Officer</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8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 Inc.</w:t>
            </w:r>
          </w:p>
        </w:tc>
      </w:tr>
      <w:tr>
        <w:trPr>
          <w:trHeight w:val="198"/>
        </w:trPr>
        <w:tc>
          <w:tcPr>
            <w:tcW w:w="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Blake Rice</w:t>
            </w:r>
          </w:p>
        </w:tc>
        <w:tc>
          <w:tcPr>
            <w:tcW w:w="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47</w:t>
            </w:r>
          </w:p>
        </w:tc>
        <w:tc>
          <w:tcPr>
            <w:tcW w:w="100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Secretary</w:t>
            </w:r>
          </w:p>
        </w:tc>
        <w:tc>
          <w:tcPr>
            <w:tcW w:w="8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Since</w:t>
            </w:r>
          </w:p>
        </w:tc>
        <w:tc>
          <w:tcPr>
            <w:tcW w:w="816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ArrowMark Partners General Counsel; former Managing Director and Associate General Counsel at Neuberger</w:t>
            </w:r>
          </w:p>
        </w:tc>
      </w:tr>
      <w:tr>
        <w:trPr>
          <w:trHeight w:val="216"/>
        </w:trPr>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w:t>
            </w:r>
          </w:p>
        </w:tc>
        <w:tc>
          <w:tcPr>
            <w:tcW w:w="8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Berman.</w:t>
            </w:r>
          </w:p>
        </w:tc>
      </w:tr>
      <w:tr>
        <w:trPr>
          <w:trHeight w:val="234"/>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0"/>
                <w:szCs w:val="20"/>
                <w:color w:val="auto"/>
              </w:rPr>
            </w:pPr>
          </w:p>
        </w:tc>
        <w:tc>
          <w:tcPr>
            <w:tcW w:w="8120" w:type="dxa"/>
            <w:vAlign w:val="bottom"/>
          </w:tcPr>
          <w:p>
            <w:pPr>
              <w:spacing w:after="0"/>
              <w:rPr>
                <w:sz w:val="20"/>
                <w:szCs w:val="20"/>
                <w:color w:val="auto"/>
              </w:rPr>
            </w:pPr>
          </w:p>
        </w:tc>
      </w:tr>
      <w:tr>
        <w:trPr>
          <w:trHeight w:val="198"/>
        </w:trPr>
        <w:tc>
          <w:tcPr>
            <w:tcW w:w="12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Katie Jones 41</w:t>
            </w:r>
          </w:p>
        </w:tc>
        <w:tc>
          <w:tcPr>
            <w:tcW w:w="100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Controller</w:t>
            </w:r>
          </w:p>
        </w:tc>
        <w:tc>
          <w:tcPr>
            <w:tcW w:w="8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Since</w:t>
            </w:r>
          </w:p>
        </w:tc>
        <w:tc>
          <w:tcPr>
            <w:tcW w:w="816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Controller of ArrowMark Partners; Chief Financial Offier and Treasurer of Meridian Fund, Inc.</w:t>
            </w:r>
          </w:p>
        </w:tc>
      </w:tr>
      <w:tr>
        <w:trPr>
          <w:trHeight w:val="216"/>
        </w:trPr>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March</w:t>
            </w:r>
          </w:p>
        </w:tc>
        <w:tc>
          <w:tcPr>
            <w:tcW w:w="40" w:type="dxa"/>
            <w:vAlign w:val="bottom"/>
            <w:shd w:val="clear" w:color="auto" w:fill="CCEEFF"/>
          </w:tcPr>
          <w:p>
            <w:pPr>
              <w:spacing w:after="0"/>
              <w:rPr>
                <w:sz w:val="18"/>
                <w:szCs w:val="18"/>
                <w:color w:val="auto"/>
              </w:rPr>
            </w:pPr>
          </w:p>
        </w:tc>
        <w:tc>
          <w:tcPr>
            <w:tcW w:w="8120" w:type="dxa"/>
            <w:vAlign w:val="bottom"/>
            <w:shd w:val="clear" w:color="auto" w:fill="CCEEFF"/>
          </w:tcPr>
          <w:p>
            <w:pPr>
              <w:spacing w:after="0"/>
              <w:rPr>
                <w:sz w:val="18"/>
                <w:szCs w:val="18"/>
                <w:color w:val="auto"/>
              </w:rPr>
            </w:pPr>
          </w:p>
        </w:tc>
      </w:tr>
      <w:tr>
        <w:trPr>
          <w:trHeight w:val="234"/>
        </w:trPr>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shd w:val="clear" w:color="auto" w:fill="CCEEFF"/>
          </w:tcPr>
          <w:p>
            <w:pPr>
              <w:spacing w:after="0"/>
              <w:rPr>
                <w:sz w:val="20"/>
                <w:szCs w:val="20"/>
                <w:color w:val="auto"/>
              </w:rPr>
            </w:pPr>
          </w:p>
        </w:tc>
        <w:tc>
          <w:tcPr>
            <w:tcW w:w="812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certain biographical information for our executive officers who are not directors: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Dana Staggs</w:t>
      </w:r>
      <w:r>
        <w:rPr>
          <w:rFonts w:ascii="Times New Roman" w:cs="Times New Roman" w:eastAsia="Times New Roman" w:hAnsi="Times New Roman"/>
          <w:sz w:val="18"/>
          <w:szCs w:val="18"/>
          <w:color w:val="auto"/>
        </w:rPr>
        <w:t>. President. Dana Staggs joined ArrowMark in June of 2017 and is a team member of ArrowMark’s Private Capital Solutions group where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sources, structures, and manages private debt and non-control private equity investments. Prior to joining ArrowMark Partners, he worked in similar capacities at firms to include Goldman Sachs &amp; Co, Barclays Private Credit Partners LLC and GE Capital. Mr. Staggs previously served over 10 years as a surface warfare officer in the U.S. Navy, having attained the rank of Lieutenant Commander. He earned a Bachelor of Science degree in Physics from the United States Naval Academy and an MBA from The Mason School of Business at the College of William and Mary.</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Patrick J. Farrell</w:t>
      </w:r>
      <w:r>
        <w:rPr>
          <w:rFonts w:ascii="Times New Roman" w:cs="Times New Roman" w:eastAsia="Times New Roman" w:hAnsi="Times New Roman"/>
          <w:sz w:val="18"/>
          <w:szCs w:val="18"/>
          <w:color w:val="auto"/>
        </w:rPr>
        <w:t>. Chief Financial Officer. Mr. Farrell was re-elected as ArrowMark Financial Corp.’s Chief Financial Officer in February 2020. He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in this role since April 2014. Mr. Farrell is responsible for all financial and accounting activities at ArrowMark Financial. Mr. Farrell has served as Chief Financial Officer at StoneCastle Partners, LLC since 2014. Mr. Farrell has served as a Director of StoneCastle Trust Co. since January 2021. He has over forty years of hands-on management experience in finance and accounting, specifically focused on domestic and off-shore mutual funds, bank deposit account programs, investment advisory and broker dealer business. Previously, Mr. Farrell was CFO/COO of the Emerging Managers Group, LP, a specialty asset management firm focused on offshore mutual funds. Prior to that, Pat was CFO at Reserve Management. Earlier in his career, Pat held financial positions at Lexington Management, Drexel Burnham Lambert, Alliance Capital and New York Life Investment Management, all focused on investment advisory activities. He began his career as an auditor at Peat Marwick Mitchell &amp; Co. in New York. Pat holds a BS in Business Administration-Accounting from Manhattan College. Mr. Farrell is a Certified Public Accountant in New York State and a member of the American Institute of Certified Public Accountants.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Rick Grove</w:t>
      </w:r>
      <w:r>
        <w:rPr>
          <w:rFonts w:ascii="Times New Roman" w:cs="Times New Roman" w:eastAsia="Times New Roman" w:hAnsi="Times New Roman"/>
          <w:sz w:val="18"/>
          <w:szCs w:val="18"/>
          <w:color w:val="auto"/>
        </w:rPr>
        <w:t>. Chief Compliance Officer. Mr. Grove is a Principal and Chief Compliance Officer at ArrowMark Partners. He was previously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Chief Compliance Officer for Black Creek Global Advisors (2007-2008). Prior to that position, Rick served as Vice President and Chief Compliance Officer for Madison Capital Management (2005- 2007), Assistant Vice President and Director of Compliance at Janus Capital Group (1993-2005), and Fund Accountant for Oppenheimer Funds (1992-1993). Rick graduated from the University of Wyoming with a bachelor’s degree in Accounting.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7" w:name="page98"/>
    <w:bookmarkEnd w:id="97"/>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Blake Rice</w:t>
      </w:r>
      <w:r>
        <w:rPr>
          <w:rFonts w:ascii="Times New Roman" w:cs="Times New Roman" w:eastAsia="Times New Roman" w:hAnsi="Times New Roman"/>
          <w:sz w:val="18"/>
          <w:szCs w:val="18"/>
          <w:color w:val="auto"/>
        </w:rPr>
        <w:t>. Secretary. Mr. Rice serves as ArrowMark Partners General Counsel. In his role, Rice leads and manages legal and compliance efforts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ArrowMark and ensures the firm is well-positioned for the continued growth of its business and investment strategies while thoughtfully managing risk. Prior to ArrowMark, Blake worked at Neuberger Berman where he spent the last 13 years as Managing Director and Associate General Counsel for the alternatives business. In his role, Blake managed a team that oversaw legal matters for the alternatives business which consists of private credit, private equity, real estate, infrastructure, and several other alternative strategies. Blake received his B.A. from Trinity University and his J.D. from the University of Chicago.</w:t>
      </w:r>
    </w:p>
    <w:p>
      <w:pPr>
        <w:spacing w:after="0" w:line="18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Katie Jones</w:t>
      </w:r>
      <w:r>
        <w:rPr>
          <w:rFonts w:ascii="Times New Roman" w:cs="Times New Roman" w:eastAsia="Times New Roman" w:hAnsi="Times New Roman"/>
          <w:sz w:val="18"/>
          <w:szCs w:val="18"/>
          <w:color w:val="auto"/>
        </w:rPr>
        <w:t>. Controller. Ms. Jones serves as Chief Financial Officer and Treasurer for ArrowMark Partners and Meridian Fund, Inc. Prior to joining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ArrowMark, she was a Supervisor in the Alternative Investment Accounting group at ALPS Fund Services, a third-party fund administrator and distributor (2008-2014). Katie graduated from Gonzaga University with a Bachelor’s degree in Finance and Master’s degree in Business Administration.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Codes of Ethics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Rule 17j-l under the Investment Company Act, we and our Adviser have each adopted codes of ethics that permit their respective personnel to invest in securities for their own accounts, including securities that may be purchased or held by us. All personnel must place the interests of clients first and avoid activities, interests and relationships that might interfere with the duty to make decisions in the best interests of the clients. All personal securities transactions by employees must adhere to the requirements of the codes and must be conducted in such a manner as to avoid any actual or potential conflict of interest, the appearance of such a conflict, or the abuse of an employee’s position of trust and responsibility.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Copies of our codes of ethics and our Adviser’s code of ethics are on file with the SEC. You can review and copy these codes of ethics on the SEC’s website (http://www.sec.gov).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the management agreement with our Adviser, an entity in which certain of our officers and directors have ownership and financial interests. Our Adviser’s services to us under the management agreement are not exclusive, and our Adviser is free to furnish the same or similar services to other entities, including businesses that may directly or indirectly compete with us so long as our Adviser’s services to us are not impaired by the provision of such services to others. It is thus possible that our Adviser might allocate investment opportunities to other entities, and thus might divert attractive investment opportunities away from us. However, our Adviser intends to allocate investment opportunities consistent with our investment objectives and strategies in a fair and equitable manner in accordance with its allocation policy. See “Management-Management Agreement.”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Fees to be Earned by ArrowMark Partners and its Affiliates from Community Banks, Including Some or All of the Community Banks in which we Invest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Brokers affiliated with ArrowMark Partners may provide investment leads to us, and we may pay a portion of the fee income that we receive from community banks in connection with our investments in such banks to one or more affiliated brokers. Based upon management’s prior experience, we may receive up-front fee revenue from the community bank issuers in connection with newly originated securities. Such fees typically range from 0% to 3% of the amount we invest and may be paid in cash or in kind. Furthermore, entities affiliated with ArrowMark Partners may receive fees from us or from issuers in which we invest in respect of structuring investments that we may make. Other affiliates of ArrowMark that exist today, or that may exist in the future, may provide products or service to community banks.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law, we have indemnified our directors and officers if they are made, or threatened to be made, a party to any action or proceeding (including an action by or in the right of an affiliate), whether civil or criminal, by reason of the fact that any of them is or was a director or officer of our company, or was serving at our request as a director or officer of another corporation, partnership, joint venture, trust, employee benefit plan or other enterprise in any capacity, against any judgments, fines, amounts paid in settlement and reasonable expenses which they incur. We may also advance the expenses of such persons in any such action or proceeding. We intend to maintain liability insurance covering our directors and officers.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Conflicts of Interest Within ArrowMark Partners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Adviser and ArrowMark Partners may manage funds and accounts other than ours that have similar investment objectives. The investment policies, adviser compensation arrangements and other circumstances of ours may vary from those of these other funds and accounts. Accordingly, conflicts may arise regarding the allocation of investments or opportunities among us and those other accounts. In certain cases, investment opportunities may be made available to us by our Adviser other than on a pro rata basis. For example, we may desire to retain an asset at the same time that one or more of those other funds or accounts desires to sell, or we may not have additional capital to invest at the same time as such other funds and accounts. Our Adviser intends to allocate investment opportunities to us and those other funds and accounts in a manner that they believe, in their good faith judgment and based upon their fiduciary duties, to be appropriate considering a variety of factors such as the investment objectives, size of transaction, investable assets, alternative investments potentially available, prior allocations, liquidity, maturity, expected holding period, diversification, lender covenants and other limitations of ours and other funds or accounts. To the extent that investment opportunities are suitable for us and for one of these other funds or accounts, our Adviser intends to allocate investment opportunities pro rata among us and them based on the amount of funds each then has available for such investment, taking into account these factors.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may be situations in which one or more funds or accounts managed by our Adviser or its affiliates might invest in different securities issued by the same company. It is possible that if the target company’s financial performance and condition deteriorates such that one or both investments are or could be impaired, our Adviser might face a conflict of interest given the difference in seniority of the respective investments. In such situations, our Adviser would review the conflict on a case-by-case basis and implement procedures consistent with its fiduciary duties to enable it to act fairly to each of its clients in the circumstances. Any steps by our Adviser will take into consideration the interests of each of the affected clients, the circumstances giving rise to the conflict, the procedural efficacy of various methods of addressing the conflict and applicable legal requirements.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two of the members of our Adviser’s investment committee are also members of our board of directors. Due to our board composition, it is more likely that our board of directors will approve investments made by the Adviser’s investment committee and that our board of directors will value our investments consistent with the valuation recommendations of our Adviser’s investment committee. The board of directors utilizes the services of one or more regionally or nationally recognized independent valuation firms to help it determine the value of each investment for which a market price is not available. The board of directors will also review valuations of such investments provided by the Adviser. The board of directors regularly reviews and evaluates our valuation methodology and any such valuation service it uses and the historical accuracy of such valuation methodologies. The board of directors also reviews valuations of such investments provided by the Adviser and assigns the valuation it determines to best represent the fair value of such investments.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Leverage creates risk for holders of our common stock, including the likelihood of greater volatility of our NAV and the value of our shares, and the risk of fluctuations in interest rates on leverage capital, which may affect the return to the holders of our common stock or cause fluctuations in the distributions paid on our common stock. The fee paid to our Adviser is calculated on the basis of our Managed Assets, including proceeds from leverage capital. During periods in which we use leverage, the fee payable to our Adviser will be higher than if we did not use leverage. Consequently, we and our Adviser may have differing interests in determining whether to leverage our assets. Certain members of our board of directors also serve as investment professionals for our Adviser, which may create inherent conflicts of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Conflicts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including a majority of our directors who are independent, is responsible for reviewing and approving the terms of all transactions between us and our Adviser or its affiliates or any member of our board of directors, including (when applicable) the economic, structural and other terms of our investments and investment transactions and the review of any investment decisions that may present potential conflicts of interest among our Adviser and its affiliates, on one hand, and us, on the other. Our board of directors, including a majority of our directors who are independent, is also responsible for reviewing our Adviser’s performance and the fees and expenses that we pay to our Adviser. In addition, expenses that are reimbursable to our Adviser will be submitted to the independent members of our board of directors for their approval prior to reimbursement thereof. In addition, our Adviser’s compliance department and legal department will oversee its conflict-resolution system. The program places particular emphasis on the principle of fair and equitable allocation of appropriate opportunities and of common fees and expenses to our Adviser’s clients over time. Our Adviser has agreed with us that it will allocate opportunities, fees and expenses among its clients pursuant to its written policies and procedures.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PORTFOLIO MANAGERS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Day-to-day management of our portfolio is the responsibility of our Adviser’s investment committee. Our Adviser’s investment committee is currently comprised of Sanjai Bhonsle, Karen Reidy, and Kaelyn Abrell. The investment committee’s policy is that the consent of two of the three members is required to approve the committee’s decision to invest in a security and the consent of two of the three members is required to sell a security.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indicated, the information below is provided as of the date of this SAI. The table below identifies the number of accounts (other than for us) for which the members of our investment committee have day-to-day management responsibilities and the total assets in such accounts, within each of the following categories: registered investment companies, other pooled investment vehicles and other accounts. Where the named individual has been assigned primary responsibility, or is a member of a committee that has been assigned primary responsibly, for oversight of another pooled investment vehicle or other account, that vehicle/account has been allocated to that individual for disclosures purposes. For each category, the number of accounts and total assets in the accounts where fees are based on performance is also indicated as of December 31,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Total Assets</w:t>
            </w: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No.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 Accounts</w:t>
            </w: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where</w:t>
            </w: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where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Advisory</w:t>
            </w: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Total No.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Advisory Fee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Fee is Based</w:t>
            </w: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is Based 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on</w:t>
            </w:r>
          </w:p>
        </w:tc>
      </w:tr>
      <w:tr>
        <w:trPr>
          <w:trHeight w:val="238"/>
        </w:trPr>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Managed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Performance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Performance</w:t>
            </w:r>
          </w:p>
        </w:tc>
      </w:tr>
      <w:tr>
        <w:trPr>
          <w:trHeight w:val="209"/>
        </w:trPr>
        <w:tc>
          <w:tcPr>
            <w:tcW w:w="1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Sanjai Bhonsle</w:t>
            </w:r>
          </w:p>
        </w:tc>
        <w:tc>
          <w:tcPr>
            <w:tcW w:w="8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18</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 billion</w:t>
            </w:r>
          </w:p>
        </w:tc>
        <w:tc>
          <w:tcPr>
            <w:tcW w:w="1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 billion</w:t>
            </w: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Karen L. Reidy</w:t>
            </w:r>
          </w:p>
        </w:tc>
        <w:tc>
          <w:tcPr>
            <w:tcW w:w="80" w:type="dxa"/>
            <w:vAlign w:val="bottom"/>
          </w:tcPr>
          <w:p>
            <w:pPr>
              <w:spacing w:after="0"/>
              <w:rPr>
                <w:sz w:val="17"/>
                <w:szCs w:val="17"/>
                <w:color w:val="auto"/>
              </w:rPr>
            </w:pPr>
          </w:p>
        </w:tc>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Registered Investment Companies:</w:t>
            </w:r>
          </w:p>
        </w:tc>
        <w:tc>
          <w:tcPr>
            <w:tcW w:w="26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280" w:type="dxa"/>
            <w:vAlign w:val="bottom"/>
            <w:gridSpan w:val="2"/>
          </w:tcPr>
          <w:p>
            <w:pPr>
              <w:jc w:val="right"/>
              <w:ind w:right="56"/>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7"/>
                <w:szCs w:val="17"/>
                <w:color w:val="auto"/>
              </w:rPr>
            </w:pPr>
          </w:p>
        </w:tc>
        <w:tc>
          <w:tcPr>
            <w:tcW w:w="3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17</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 billion</w:t>
            </w:r>
          </w:p>
        </w:tc>
        <w:tc>
          <w:tcPr>
            <w:tcW w:w="126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 billion</w:t>
            </w: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Kaelyn Abrell</w:t>
            </w:r>
          </w:p>
        </w:tc>
        <w:tc>
          <w:tcPr>
            <w:tcW w:w="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15</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 billion</w:t>
            </w:r>
          </w:p>
        </w:tc>
        <w:tc>
          <w:tcPr>
            <w:tcW w:w="1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14</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 billion</w:t>
            </w:r>
          </w:p>
        </w:tc>
      </w:tr>
      <w:tr>
        <w:trPr>
          <w:trHeight w:val="216"/>
        </w:trPr>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about each member of our Adviser’s investment committee is set forth in the Prospectus under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Committee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compensation of the investment committee members, our standard compensation includes competitive base salaries, employee benefits, and a retirement plan. In addition, employees are eligible for bonuses. These are structured to closely align the interests of employees with those of ArrowMark Partners, and are determined by the professional’s job function and performance as measured by a formal review process. All bonuses are completely discretionary. Because the Adviser utilizes a team approach in managing the assets of its clients, the overall success of the firm is a key component in determining compensation of investment committee members. Because investment committee members may be responsible for multiple accounts (including ours) with similar investment strategies, they are compensated on the performance of the aggregate group of similar accounts, rather than a specific account. A smaller portion of a bonus payment is derived from factors that include client service, business development, length of service to our Adviser, management or supervisory responsibilities, contributions to developing business strategy and overall contributions to our Adviser’s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Committee Member Securities Ownership</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securities ownership of the members of our investment committee is shown in the table above providing securities ownership for the Company’s board of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PORTFOLIO TRANSACTIONS AND BROKERAGE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Adviser is responsible for decisions to buy and sell securities for us, the selection of brokers and dealers to effect the transactions and the negotiation of prices and any brokerage commissions. When we purchase securities listed on a stock exchange, those transactions will be effected through brokers who charge a commission for their services. We also may invest in securities that are traded principally in the over-the-counter market. In the over-the-counter market, securities generally are traded on a “net” basis with dealers acting as principal for their own accounts without a stated commission, although the price of such securities usually includes a mark-up to the dealer. Securities purchased in underwritten offerings generally include, in the price, a fixed amount of compensation for the manager, underwriter and dealer. We also purchase securities including fixed income securities directly from an issuer, in which case no commissions or discounts will be paid.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Payments of commissions to brokers who are our affiliates (or “affiliated persons” of such persons, as defined under the Investment Company Act) will be made in accordance with Rule 17e-l under the Investment Company Act.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Commissions paid on such transactions would be commensurate with the rate of commissions paid on similar transactions to brokers that are not so affiliated.</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Adviser may, consistent with our interests, select brokers on the basis of the research, statistical and pricing services they provide to us and our Adviser’s other clients. Such research, statistical and pricing services must provide lawful and appropriate assistance to our Adviser’s investment decision-making process in order for such research, statistical and pricing services to be considered by our Adviser in selecting a broker. These research services may include information on securities markets, the economy, individual companies, pricing information, research products and services and such other services as may be permitted from time to time by Section 28(e) of the Exchange Act. Information and research received from such brokers will be in addition to, and not in lieu of, the services required to be performed by our Adviser under its contract. A commission paid to such brokers may be higher than that which another qualified broker would have charged for effecting the same transaction, provided that our Adviser determines in good faith that such commission is reasonable in terms either of the transaction or the overall responsibility of our Adviser to us and its other clients and that the total commissions paid by us will be reasonable in relation to the benefits to us over the long-term. The advisory fees that we pay to our Adviser will not be reduced as a consequence of our Adviser’s receipt of brokerage and research services. To the extent that portfolio transactions are used to obtain such services, the brokerage commissions paid by us will exceed those that might otherwise be paid by an amount which cannot be presently determined. Such services generally may be useful and of value to our Adviser in serving one or more of its other clients and, conversely, such services obtained by the placement of brokerage business of other clients generally would be useful to our Adviser in carrying out its obligations to us. While such services are not expected to reduce the expenses of our Adviser, our Adviser would, through use of the services, avoid the additional expenses that would be incurred if it should attempt to develop comparable information through their own staff.</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or more of the other investment companies or accounts that our Adviser manages may own from time to time some of the same investments as us. Investment decisions for us are made independently from those of other investment companies or accounts; however, from time to time, the same investment decision may be made for more than one company or account. When two or more companies or accounts seek to purchase or sell the same securities, the securities actually purchased or sold will be allocated among the companies and accounts on a good faith equitable basis by our Adviser in its discretion in accordance with the accounts’ various investment objectives. In some cases, this system may adversely affect the price or size of the position obtainable for us. In other cases, however, our ability to participate in volume transactions may produce better execution for us. It is the opinion of our board of directors that this advantage, when combined with the other benefits available due to our Adviser’s organization, outweigh any disadvantages that may be said to exist from exposure to simultaneous transactions.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2024, 2023 and 2022, we paid brokerage commissions of $0, $0 and $0, respectively. No brokerage commissions were paid to broker-dealers that were affiliated persons of the Adviser (“affiliated brokers”) in connection with portfolio transactions.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fiscal years ended December 31, 2024, 2023 and 2022, our portfolio turnover rates were 17%, 16%, and 29%, respectively. It is not our policy to engage in transactions with the objective of seeking profits from short-term trading. Because it is difficult to predict accurately portfolio turnover rates, actual turnover may be significantly higher or lower. Higher portfolio turnover results in increased costs, including brokerage commissions, dealer mark-ups and other transaction costs on the sale of securities and on the reinvestment in other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Persons or organizations beneficially owning 25% or more of our outstanding shares could be presumed to “control” us. As a result, those persons or organizations could have the ability to take action without the consent or approval of other stockholders. As of June 30, 2025, Cede &amp; Co. held approximately 99.9% of our outstanding voting securities. Cede &amp; Co. is the nominee name for The Depository Trust Company, a large clearing house that holds shares in its name for banks, brokers and institutions in order to expedite the sale and transfer of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knowledge of the Company and the Board, no stockholder(s), or “group” as that term is defined in Section 13(d) of the Securities Exchange Act of 1934, as amended (the “1934 Act”), was the beneficial owner of more than 5% of a class of the Company’s outstanding Common Stock through the date of this prospectus, except that, based on Schedule 13G filings as of June 30, 2024, the following information with respect to beneficial ownership of more than 5% of the outstanding voting shares has been reported:</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Name and Address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Percentage</w:t>
      </w:r>
    </w:p>
    <w:p>
      <w:pPr>
        <w:spacing w:after="0" w:line="3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of Fund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of Shares</w:t>
      </w:r>
    </w:p>
    <w:p>
      <w:pPr>
        <w:spacing w:after="0" w:line="211" w:lineRule="exact"/>
        <w:rPr>
          <w:sz w:val="20"/>
          <w:szCs w:val="20"/>
          <w:color w:val="auto"/>
        </w:rPr>
      </w:pPr>
    </w:p>
    <w:p>
      <w:pPr>
        <w:sectPr>
          <w:pgSz w:w="11900" w:h="16838" w:orient="portrait"/>
          <w:cols w:equalWidth="0" w:num="4">
            <w:col w:w="3400" w:space="720"/>
            <w:col w:w="2780" w:space="720"/>
            <w:col w:w="1540" w:space="720"/>
            <w:col w:w="1360"/>
          </w:cols>
          <w:pgMar w:left="320" w:top="877"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as of the same date, our directors and officers owned individually and together approximately 0.83% of our outstanding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VOTING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along with our Adviser, have adopted proxy voting policies and procedures (the “Proxy Policy”) that we believe are reasonably designed to ensure that proxies are voted in our best interests and the best interests of our stockholders. Subject to its oversight, our board of directors has delegated responsibility for implementing the Proxy Policy to our Adviser.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requests for proxies are received to vote equity securities on routine matters, such as ratification of auditors, the proxies usually will be voted in accordance with the recommendation of our management unless our Adviser determines it has a conflict or our Adviser determines there are other reasons not to vote in accordance with the recommendation of our management. On non-routine matters, such as elections of directors, amendments to governing instruments, proposals relating to compensation, corporate governance proposals and stockholder proposals, our Adviser will vote, or abstain from voting if deemed appropriate, on a case-by-case basis in a manner it believes to be in the best economic interest of our stockholders. In the event requests for proxies are received with respect to fixed income securities, our Adviser will vote on a case-by-case basis in a manner it believes to be in the best economic interest of our stockholders.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02" w:name="page103"/>
    <w:bookmarkEnd w:id="102"/>
    <w:p>
      <w:pPr>
        <w:jc w:val="both"/>
        <w:spacing w:after="0" w:line="254" w:lineRule="auto"/>
        <w:rPr>
          <w:sz w:val="20"/>
          <w:szCs w:val="20"/>
          <w:color w:val="auto"/>
        </w:rPr>
      </w:pPr>
      <w:r>
        <w:rPr>
          <w:rFonts w:ascii="Times New Roman" w:cs="Times New Roman" w:eastAsia="Times New Roman" w:hAnsi="Times New Roman"/>
          <w:sz w:val="18"/>
          <w:szCs w:val="18"/>
          <w:color w:val="auto"/>
        </w:rPr>
        <w:t>Our chief executive officer will be responsible for monitoring our actions and ensuring that (i) proxies are received and forwarded to the appropriate decision makers, and (ii) proxies are voted in a timely manner upon receipt of voting instructions. We are not responsible for voting proxies we do not receive, but we will make reasonable efforts to obtain missing proxies. Our chief executive officer will implement and execute procedures designed to identify and monitor potential conflicts of interest that could affect the proxy voting process, including (i) significant client relationships, (ii) other potential material business relationships and (iii) material personal and family relationships. All decisions regarding proxy voting will be determined by our Adviser’s investment committee and will be executed by our chief executive officer. Every effort will be made to consult with the investment committee member and/or analyst covering the security. We may determine not to vote a particular proxy if the costs and burdens exceed the benefits of voting (e.g., when securities are subject to loan or to share blocking restrictions).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request for proxy presents a conflict of interest between our stockholders, on one hand, and our Adviser, the underwriters or any of our or their respective affiliated persons, on the other hand, our management may (i) disclose the potential conflict to our board of directors and obtain consent or (ii) establish an ethical wall or other informational barrier between the persons involved in the conflict and the persons making the voting decisions.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how the Company voted proxies relating to portfolio securities during the most recent 12-month period ended June 30 is available without charge, upon request, by calling (212)-468-5441; and on the SEC’s website at http://www.sec.gov.</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jc w:val="both"/>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financial statements and notes thereto in our </w:t>
      </w:r>
      <w:hyperlink r:id="rId16">
        <w:r>
          <w:rPr>
            <w:rFonts w:ascii="Times New Roman" w:cs="Times New Roman" w:eastAsia="Times New Roman" w:hAnsi="Times New Roman"/>
            <w:sz w:val="18"/>
            <w:szCs w:val="18"/>
            <w:u w:val="single" w:color="auto"/>
            <w:color w:val="0000EE"/>
          </w:rPr>
          <w:t>Annual Report on Form N-CSR for the year ended December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(the “Annual Report”), and the unaudited financial statements and notes thereto in our </w:t>
      </w:r>
      <w:hyperlink r:id="rId17">
        <w:r>
          <w:rPr>
            <w:rFonts w:ascii="Times New Roman" w:cs="Times New Roman" w:eastAsia="Times New Roman" w:hAnsi="Times New Roman"/>
            <w:sz w:val="18"/>
            <w:szCs w:val="18"/>
            <w:u w:val="single" w:color="auto"/>
            <w:color w:val="0000EE"/>
          </w:rPr>
          <w:t>Semi-Annual Report on Form N-CSR for the period ended June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“Semi-Annual Report”), are incorporated by reference into this SAI. The 2024 financial statements included in the Annual Report were audited by Tait, Weller &amp; Baker LLP, the Company’s independent registered public accounting firm, whose report thereon is also incorporated herein by reference. No other parts of the Annual Report or Semi-Annual Report are incorporated by reference herein and such other parts are not part of our registration statement, the SAI, or the prospectus.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Copies of our annual and semi-annual reports may be obtained without charge, upon request, by writing to ArrowMark Financial Corp., 100 Fillmore Street, Suite 325, Denver, Colorado 80206 or calling us at (212)-468-5441 or on our website at http://ir.arrowmarkfinancialcorp.com/financial-information.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noted in the Prospectus, we are allowed to “incorporate by reference” the information that we file with the SEC, which means that we can disclose important information to you by referring you to those documents. The information incorporated by reference is considered to be part of the Prospectus, the SAI or the Prospectus Supplement, as applicable, and later information that we file with the SEC will automatically update and supersede this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filed a Registration Statement on Form N-2 with the SEC relating to the securities offered hereby. Our prospectus and this SAI do not contain all of the information set forth in the Registration Statement, including any exhibits and schedules thereto. Please refer to the Registration Statement for further information about us and our securities. Statements contained in our prospectus and this SAI as to the contents of any contract or other document referred to are not necessarily complete and in each instance reference is made to the copy of such contract or other document filed as an exhibit to a Registration Statement, each such statement being qualified in all respects by such reference.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SAI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2"/>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5"/>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lowerRoman"/>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lowerLetter"/>
      <w:start w:val="2"/>
    </w:lvl>
  </w:abstractNum>
  <w:abstractNum w:abstractNumId="49">
    <w:nsid w:val="75C6C33A"/>
    <w:multiLevelType w:val="hybridMultilevel"/>
    <w:lvl w:ilvl="0">
      <w:lvlJc w:val="left"/>
      <w:lvlText w:val="(%1)"/>
      <w:numFmt w:val="lowerRoman"/>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jpe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6" Type="http://schemas.openxmlformats.org/officeDocument/2006/relationships/hyperlink" Target="https://www.sec.gov/ix?doc=/Archives/edgar/data/0001578987/000110465925021621/tm257431d1_ncsr.htm" TargetMode="External"/><Relationship Id="rId17" Type="http://schemas.openxmlformats.org/officeDocument/2006/relationships/hyperlink" Target="https://www.sec.gov/ix?doc=/Archives/edgar/data/0001578987/000110465925084820/tm2524171d1_ncsrs.htm" TargetMode="External"/><Relationship Id="rId18" Type="http://schemas.openxmlformats.org/officeDocument/2006/relationships/hyperlink" Target="https://www.sec.gov/ix?doc=/Archives/edgar/data/0001578987/000093041325001074/c112270_8k-ixbrl.htm" TargetMode="External"/><Relationship Id="rId19" Type="http://schemas.openxmlformats.org/officeDocument/2006/relationships/hyperlink" Target="https://www.sec.gov/Archives/edgar/data/1578987/000117494725000697/ea0239080-01.htm" TargetMode="External"/><Relationship Id="rId20" Type="http://schemas.openxmlformats.org/officeDocument/2006/relationships/hyperlink" Target="https://www.sec.gov/Archives/edgar/data/1578987/000119312513429443/d607298d8a12b.htm" TargetMode="External"/><Relationship Id="rId44" Type="http://schemas.openxmlformats.org/officeDocument/2006/relationships/hyperlink" Target="https://www.sec.gov/ix?doc=/Archives/edgar/data/1578987/000110465924036645/tm247664d2_ncsra.htm" TargetMode="External"/><Relationship Id="rId45" Type="http://schemas.openxmlformats.org/officeDocument/2006/relationships/hyperlink" Target="https://www.sec.gov/ix?doc=/Archives/edgar/data/1578987/000110465924092376/tm2421844d2_ncsrs.htm" TargetMode="External"/><Relationship Id="rId99" Type="http://schemas.openxmlformats.org/officeDocument/2006/relationships/hyperlink" Target="https://www.sec.gov/ix?doc=/Archives/edgar/data/0001578987/000110465924092376/tm2421844d2_ncsr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2025-12-15T15:41:56Z</dcterms:created>
  <dcterms:modified xsi:type="dcterms:W3CDTF">2025-12-15T15:41:56Z</dcterms:modified>
</cp:coreProperties>
</file>