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SECURITIES AND EXCHANGE COMMISSION</w:t>
      </w:r>
    </w:p>
    <w:p>
      <w:pPr>
        <w:ind w:left="4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FORM NPORT-P</w:t>
      </w:r>
    </w:p>
    <w:p>
      <w:pPr>
        <w:spacing w:after="0" w:line="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Portfolio Investments Report</w:t>
      </w: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Filer Information</w:t>
      </w:r>
    </w:p>
    <w:p>
      <w:pPr>
        <w:sectPr>
          <w:pgSz w:w="11900" w:h="16838" w:orient="portrait"/>
          <w:cols w:equalWidth="0" w:num="1">
            <w:col w:w="10139"/>
          </w:cols>
          <w:pgMar w:left="320" w:top="247" w:right="1440" w:bottom="0" w:gutter="0" w:footer="0" w:header="0"/>
        </w:sectPr>
      </w:pPr>
    </w:p>
    <w:p>
      <w:pPr>
        <w:spacing w:after="0" w:line="37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Filer CIK</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Filer CCC</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0001578987</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44" w:lineRule="exact"/>
        <w:rPr>
          <w:sz w:val="24"/>
          <w:szCs w:val="24"/>
          <w:color w:val="auto"/>
        </w:rPr>
      </w:pPr>
    </w:p>
    <w:p>
      <w:pPr>
        <w:sectPr>
          <w:pgSz w:w="11900" w:h="16838" w:orient="portrait"/>
          <w:cols w:equalWidth="0" w:num="2">
            <w:col w:w="5620" w:space="720"/>
            <w:col w:w="379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Filer Investment Company Type</w:t>
      </w:r>
    </w:p>
    <w:p>
      <w:pPr>
        <w:sectPr>
          <w:pgSz w:w="11900" w:h="16838" w:orient="portrait"/>
          <w:cols w:equalWidth="0" w:num="1">
            <w:col w:w="10139"/>
          </w:cols>
          <w:pgMar w:left="320" w:top="247" w:right="1440" w:bottom="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 LIVE or TEST Filing?</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TEST</w:t>
      </w:r>
    </w:p>
    <w:p>
      <w:pPr>
        <w:spacing w:after="0" w:line="55" w:lineRule="exact"/>
        <w:rPr>
          <w:sz w:val="24"/>
          <w:szCs w:val="24"/>
          <w:color w:val="auto"/>
        </w:rPr>
      </w:pPr>
    </w:p>
    <w:p>
      <w:pPr>
        <w:sectPr>
          <w:pgSz w:w="11900" w:h="16838" w:orient="portrait"/>
          <w:cols w:equalWidth="0" w:num="3">
            <w:col w:w="5620" w:space="720"/>
            <w:col w:w="1020" w:space="60"/>
            <w:col w:w="271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Would you like a Return Copy?</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Is this an electronic copy of an official filing submitted in paper format?</w:t>
      </w:r>
    </w:p>
    <w:p>
      <w:pPr>
        <w:sectPr>
          <w:pgSz w:w="11900" w:h="16838" w:orient="portrait"/>
          <w:cols w:equalWidth="0" w:num="1">
            <w:col w:w="10139"/>
          </w:cols>
          <w:pgMar w:left="320" w:top="247" w:right="1440" w:bottom="0" w:gutter="0" w:footer="0" w:header="0"/>
          <w:type w:val="continuous"/>
        </w:sect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Submission Contact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32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Notification Information</w:t>
      </w:r>
    </w:p>
    <w:p>
      <w:pPr>
        <w:spacing w:after="0" w:line="3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Notify via Filing Website only?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Series ID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A: General Information</w:t>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A.1. Information about the Registrant.</w:t>
      </w:r>
    </w:p>
    <w:p>
      <w:pPr>
        <w:spacing w:after="0" w:line="318"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a. Name of Registrant</w:t>
      </w:r>
      <w:r>
        <w:rPr>
          <w:sz w:val="20"/>
          <w:szCs w:val="20"/>
          <w:color w:val="auto"/>
        </w:rPr>
        <w:tab/>
      </w:r>
      <w:r>
        <w:rPr>
          <w:rFonts w:ascii="Times New Roman" w:cs="Times New Roman" w:eastAsia="Times New Roman" w:hAnsi="Times New Roman"/>
          <w:sz w:val="21"/>
          <w:szCs w:val="21"/>
          <w:color w:val="auto"/>
        </w:rPr>
        <w:t>ArrowMark Financial Corp.</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Investment Company Act file number for Registrant: (e.g., 811-______) 811-22853</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c. CIK number of Registrant</w:t>
      </w:r>
      <w:r>
        <w:rPr>
          <w:sz w:val="20"/>
          <w:szCs w:val="20"/>
          <w:color w:val="auto"/>
        </w:rPr>
        <w:tab/>
      </w:r>
      <w:r>
        <w:rPr>
          <w:rFonts w:ascii="Times New Roman" w:cs="Times New Roman" w:eastAsia="Times New Roman" w:hAnsi="Times New Roman"/>
          <w:sz w:val="21"/>
          <w:szCs w:val="21"/>
          <w:color w:val="auto"/>
        </w:rPr>
        <w:t>0001578987</w:t>
      </w:r>
    </w:p>
    <w:p>
      <w:pPr>
        <w:spacing w:after="0" w:line="44"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d. LEI of Registrant</w:t>
      </w:r>
      <w:r>
        <w:rPr>
          <w:sz w:val="20"/>
          <w:szCs w:val="20"/>
          <w:color w:val="auto"/>
        </w:rPr>
        <w:tab/>
      </w:r>
      <w:r>
        <w:rPr>
          <w:rFonts w:ascii="Times New Roman" w:cs="Times New Roman" w:eastAsia="Times New Roman" w:hAnsi="Times New Roman"/>
          <w:sz w:val="21"/>
          <w:szCs w:val="21"/>
          <w:color w:val="auto"/>
        </w:rPr>
        <w:t>549300IG3L8MH4JMIN52</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 Address and telephone number of Registrant.</w:t>
      </w:r>
    </w:p>
    <w:p>
      <w:pPr>
        <w:sectPr>
          <w:pgSz w:w="11900" w:h="16838" w:orient="portrait"/>
          <w:cols w:equalWidth="0" w:num="1">
            <w:col w:w="10139"/>
          </w:cols>
          <w:pgMar w:left="320" w:top="247" w:right="1440" w:bottom="0" w:gutter="0" w:footer="0" w:header="0"/>
          <w:type w:val="continuous"/>
        </w:sectPr>
      </w:pPr>
    </w:p>
    <w:p>
      <w:pPr>
        <w:spacing w:after="0" w:line="85" w:lineRule="exact"/>
        <w:rPr>
          <w:sz w:val="24"/>
          <w:szCs w:val="24"/>
          <w:color w:val="auto"/>
        </w:rPr>
      </w:pPr>
    </w:p>
    <w:p>
      <w:pPr>
        <w:ind w:left="40" w:right="460"/>
        <w:spacing w:after="0" w:line="281" w:lineRule="auto"/>
        <w:rPr>
          <w:sz w:val="20"/>
          <w:szCs w:val="20"/>
          <w:color w:val="auto"/>
        </w:rPr>
      </w:pPr>
      <w:r>
        <w:rPr>
          <w:rFonts w:ascii="Times New Roman" w:cs="Times New Roman" w:eastAsia="Times New Roman" w:hAnsi="Times New Roman"/>
          <w:sz w:val="22"/>
          <w:szCs w:val="22"/>
          <w:color w:val="auto"/>
        </w:rPr>
        <w:t>Street Address 1 Street Address 2 City</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Fillmore Street</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Suite 325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Denver</w:t>
      </w:r>
    </w:p>
    <w:p>
      <w:pPr>
        <w:spacing w:after="0" w:line="43"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State, if applicable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Foreign country, if applicable</w:t>
      </w:r>
    </w:p>
    <w:p>
      <w:pPr>
        <w:sectPr>
          <w:pgSz w:w="11900" w:h="16838" w:orient="portrait"/>
          <w:cols w:equalWidth="0" w:num="1">
            <w:col w:w="10139"/>
          </w:cols>
          <w:pgMar w:left="320" w:top="247" w:right="1440" w:bottom="0" w:gutter="0" w:footer="0" w:header="0"/>
          <w:type w:val="continuous"/>
        </w:sectPr>
      </w:pPr>
    </w:p>
    <w:p>
      <w:pPr>
        <w:spacing w:after="0" w:line="56" w:lineRule="exact"/>
        <w:rPr>
          <w:sz w:val="24"/>
          <w:szCs w:val="24"/>
          <w:color w:val="auto"/>
        </w:rPr>
      </w:pPr>
    </w:p>
    <w:p>
      <w:pPr>
        <w:ind w:left="40" w:right="280"/>
        <w:spacing w:after="0" w:line="335" w:lineRule="auto"/>
        <w:rPr>
          <w:sz w:val="20"/>
          <w:szCs w:val="20"/>
          <w:color w:val="auto"/>
        </w:rPr>
      </w:pPr>
      <w:r>
        <w:rPr>
          <w:rFonts w:ascii="Times New Roman" w:cs="Times New Roman" w:eastAsia="Times New Roman" w:hAnsi="Times New Roman"/>
          <w:sz w:val="21"/>
          <w:szCs w:val="21"/>
          <w:color w:val="auto"/>
        </w:rPr>
        <w:t>Zip / Postal Code Telephone number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80206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(303) 398-2929</w:t>
      </w:r>
    </w:p>
    <w:p>
      <w:pPr>
        <w:spacing w:after="0" w:line="321" w:lineRule="exact"/>
        <w:rPr>
          <w:sz w:val="24"/>
          <w:szCs w:val="24"/>
          <w:color w:val="auto"/>
        </w:rPr>
      </w:pPr>
    </w:p>
    <w:p>
      <w:pPr>
        <w:sectPr>
          <w:pgSz w:w="11900" w:h="16838" w:orient="portrait"/>
          <w:cols w:equalWidth="0" w:num="2">
            <w:col w:w="1940" w:space="720"/>
            <w:col w:w="7479"/>
          </w:cols>
          <w:pgMar w:left="320" w:top="247"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b w:val="1"/>
          <w:bCs w:val="1"/>
          <w:color w:val="auto"/>
        </w:rPr>
        <w:t>Item A.2. Information about the Series.</w:t>
      </w:r>
    </w:p>
    <w:p>
      <w:pPr>
        <w:spacing w:after="0" w:line="332"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Name of Series.</w:t>
            </w:r>
          </w:p>
        </w:tc>
        <w:tc>
          <w:tcPr>
            <w:tcW w:w="2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ArrowMark Financial Corp.</w:t>
            </w: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b. EDGAR series identifier (if any).</w:t>
            </w:r>
          </w:p>
        </w:tc>
        <w:tc>
          <w:tcPr>
            <w:tcW w:w="2460" w:type="dxa"/>
            <w:vAlign w:val="bottom"/>
          </w:tcPr>
          <w:p>
            <w:pPr>
              <w:spacing w:after="0"/>
              <w:rPr>
                <w:sz w:val="24"/>
                <w:szCs w:val="24"/>
                <w:color w:val="auto"/>
              </w:rPr>
            </w:pPr>
          </w:p>
        </w:tc>
      </w:tr>
      <w:tr>
        <w:trPr>
          <w:trHeight w:val="29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 LEI of Series.</w:t>
            </w:r>
          </w:p>
        </w:tc>
        <w:tc>
          <w:tcPr>
            <w:tcW w:w="2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549300IG3L8MH4JMIN52</w:t>
            </w:r>
          </w:p>
        </w:tc>
      </w:tr>
      <w:tr>
        <w:trPr>
          <w:trHeight w:val="56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A.3. Reporting period.</w:t>
            </w:r>
          </w:p>
        </w:tc>
        <w:tc>
          <w:tcPr>
            <w:tcW w:w="2460" w:type="dxa"/>
            <w:vAlign w:val="bottom"/>
          </w:tcPr>
          <w:p>
            <w:pPr>
              <w:spacing w:after="0"/>
              <w:rPr>
                <w:sz w:val="24"/>
                <w:szCs w:val="24"/>
                <w:color w:val="auto"/>
              </w:rPr>
            </w:pPr>
          </w:p>
        </w:tc>
      </w:tr>
      <w:tr>
        <w:trPr>
          <w:trHeight w:val="567"/>
        </w:trPr>
        <w:tc>
          <w:tcPr>
            <w:tcW w:w="3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Date of fiscal year-end.</w:t>
            </w:r>
          </w:p>
        </w:tc>
        <w:tc>
          <w:tcPr>
            <w:tcW w:w="246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2025-12-31</w:t>
            </w:r>
          </w:p>
        </w:tc>
      </w:tr>
    </w:tbl>
    <w:p>
      <w:pPr>
        <w:spacing w:after="0" w:line="1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b. Date as of which information is reported. 2025-09-30</w:t>
      </w:r>
    </w:p>
    <w:p>
      <w:pPr>
        <w:sectPr>
          <w:pgSz w:w="11900" w:h="16838" w:orient="portrait"/>
          <w:cols w:equalWidth="0" w:num="1">
            <w:col w:w="10139"/>
          </w:cols>
          <w:pgMar w:left="320" w:top="247" w:right="1440" w:bottom="0" w:gutter="0" w:footer="0" w:header="0"/>
          <w:type w:val="continuous"/>
        </w:sectPr>
      </w:pPr>
    </w:p>
    <w:bookmarkStart w:id="1" w:name="page2"/>
    <w:bookmarkEnd w:id="1"/>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A.4. Final filing</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Does the Fund anticipate that this will be its final filing on Form N PORT? </w:t>
      </w:r>
      <w:r>
        <w:rPr>
          <w:sz w:val="1"/>
          <w:szCs w:val="1"/>
          <w:color w:val="auto"/>
        </w:rPr>
        <w:drawing>
          <wp:inline distT="0" distB="0" distL="0" distR="0">
            <wp:extent cx="137160" cy="1371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NPORT-P: Part B: Information About the Fund</w:t>
      </w:r>
    </w:p>
    <w:p>
      <w:pPr>
        <w:sectPr>
          <w:pgSz w:w="11900" w:h="16876" w:orient="portrait"/>
          <w:cols w:equalWidth="0" w:num="1">
            <w:col w:w="11200"/>
          </w:cols>
          <w:pgMar w:left="320" w:top="108" w:right="379" w:bottom="0" w:gutter="0" w:footer="0" w:header="0"/>
        </w:sectPr>
      </w:pPr>
    </w:p>
    <w:p>
      <w:pPr>
        <w:spacing w:after="0" w:line="3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following information for the Fund and its consolidated subsidiaries.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B.1. Assets and liabilities. Report amounts in U.S. dollars.</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Total assets, including assets attributable to miscellaneous securities reported in Part D. 201843120.95</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b. Total liabilities.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rPr>
              <w:t>42083375.37</w:t>
            </w:r>
          </w:p>
        </w:tc>
      </w:tr>
      <w:tr>
        <w:trPr>
          <w:trHeight w:val="297"/>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 Net assets.</w:t>
            </w:r>
          </w:p>
        </w:tc>
        <w:tc>
          <w:tcPr>
            <w:tcW w:w="4360" w:type="dxa"/>
            <w:vAlign w:val="bottom"/>
          </w:tcPr>
          <w:p>
            <w:pPr>
              <w:ind w:left="3120"/>
              <w:spacing w:after="0"/>
              <w:rPr>
                <w:sz w:val="20"/>
                <w:szCs w:val="20"/>
                <w:color w:val="auto"/>
              </w:rPr>
            </w:pPr>
            <w:r>
              <w:rPr>
                <w:rFonts w:ascii="Times New Roman" w:cs="Times New Roman" w:eastAsia="Times New Roman" w:hAnsi="Times New Roman"/>
                <w:sz w:val="22"/>
                <w:szCs w:val="22"/>
                <w:color w:val="auto"/>
                <w:w w:val="96"/>
              </w:rPr>
              <w:t>159759745.58</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B.2. Certain assets and liabilities. Report amounts in U.S. dollars.</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Assets attributable to miscellaneous securities reported in Part D.</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Assets invested in a Controlled Foreign Corporation for the purpose of investing in certain types of instruments such as, but not limited to, commodities.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379" w:lineRule="exact"/>
        <w:rPr>
          <w:sz w:val="20"/>
          <w:szCs w:val="20"/>
          <w:color w:val="auto"/>
        </w:rPr>
      </w:pPr>
    </w:p>
    <w:p>
      <w:pPr>
        <w:sectPr>
          <w:pgSz w:w="11900" w:h="16876" w:orient="portrait"/>
          <w:cols w:equalWidth="0" w:num="2">
            <w:col w:w="9880" w:space="240"/>
            <w:col w:w="1080"/>
          </w:cols>
          <w:pgMar w:left="320" w:top="108" w:right="379" w:bottom="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22"/>
          <w:szCs w:val="22"/>
          <w:color w:val="auto"/>
        </w:rPr>
        <w:t>c. Borrowings attributable to amounts payable for notes payable, bonds, and similar debt, as reported pursuant to rule 6-04(13)(a) of Regulation S-X [17 CFR 210.6-04(13)(a)].</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Amounts payable within one year.</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40500000.00000000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Amounts payable after one year.</w:t>
            </w:r>
          </w:p>
        </w:tc>
        <w:tc>
          <w:tcPr>
            <w:tcW w:w="1900" w:type="dxa"/>
            <w:vAlign w:val="bottom"/>
          </w:tcPr>
          <w:p>
            <w:pPr>
              <w:spacing w:after="0"/>
              <w:rPr>
                <w:sz w:val="24"/>
                <w:szCs w:val="24"/>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Banks or other financial institutions for borrowings. 0.00000000</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Controlled companies.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3260" w:type="dxa"/>
            <w:vAlign w:val="bottom"/>
          </w:tcPr>
          <w:p>
            <w:pPr>
              <w:spacing w:after="0"/>
              <w:rPr>
                <w:sz w:val="20"/>
                <w:szCs w:val="20"/>
                <w:color w:val="auto"/>
              </w:rPr>
            </w:pPr>
            <w:r>
              <w:rPr>
                <w:rFonts w:ascii="Times New Roman" w:cs="Times New Roman" w:eastAsia="Times New Roman" w:hAnsi="Times New Roman"/>
                <w:sz w:val="22"/>
                <w:szCs w:val="22"/>
                <w:color w:val="auto"/>
              </w:rPr>
              <w:t>Others.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d. Payables for investments purchased either (i) on a delayed delivery, when-issued, or other firm commitment basis, or (ii) on a standby commitment basis.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 On a delayed delivery, when-issued, or other firm commitment basis:</w:t>
            </w: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(ii) On a standby commitment basis:</w:t>
            </w: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81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 Liquidation preference of outstanding preferred stock issued by the Fund. 0.00000000</w:t>
            </w:r>
          </w:p>
        </w:tc>
      </w:tr>
      <w:tr>
        <w:trPr>
          <w:trHeight w:val="297"/>
        </w:trPr>
        <w:tc>
          <w:tcPr>
            <w:tcW w:w="6440" w:type="dxa"/>
            <w:vAlign w:val="bottom"/>
          </w:tcPr>
          <w:p>
            <w:pPr>
              <w:spacing w:after="0"/>
              <w:rPr>
                <w:sz w:val="20"/>
                <w:szCs w:val="20"/>
                <w:color w:val="auto"/>
              </w:rPr>
            </w:pPr>
            <w:r>
              <w:rPr>
                <w:rFonts w:ascii="Times New Roman" w:cs="Times New Roman" w:eastAsia="Times New Roman" w:hAnsi="Times New Roman"/>
                <w:sz w:val="22"/>
                <w:szCs w:val="22"/>
                <w:color w:val="auto"/>
              </w:rPr>
              <w:t>f. Cash and cash equivalents not reported in Parts C and D.</w:t>
            </w:r>
          </w:p>
        </w:tc>
        <w:tc>
          <w:tcPr>
            <w:tcW w:w="1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73335.94000000</w:t>
            </w: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B.3. Portfolio level risk metrics.</w:t>
      </w:r>
    </w:p>
    <w:p>
      <w:pPr>
        <w:spacing w:after="0" w:line="2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If the average value of the Fund's debt securities positions for the previous three months, in the aggregate, exceeds 25% or more of the Fund's net asset value, provide:</w:t>
      </w: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1</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Switzerland Franc</w:t>
      </w:r>
    </w:p>
    <w:p>
      <w:pPr>
        <w:spacing w:after="0" w:line="24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04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bl>
    <w:p>
      <w:pPr>
        <w:sectPr>
          <w:pgSz w:w="11900" w:h="16876" w:orient="portrait"/>
          <w:cols w:equalWidth="0" w:num="1">
            <w:col w:w="11200"/>
          </w:cols>
          <w:pgMar w:left="320" w:top="108" w:right="37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04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0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7"/>
              </w:rPr>
              <w:t>0.00000000</w:t>
            </w: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2</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Euro Member Countries</w:t>
      </w: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16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80.09341000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36.98450000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73.15028000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18.61587000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0.84464000</w:t>
            </w:r>
          </w:p>
        </w:tc>
      </w:tr>
    </w:tbl>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3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8009.34052000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3698.45053000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7315.02774000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1861.58743000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84.46379000</w:t>
            </w:r>
          </w:p>
        </w:tc>
      </w:tr>
    </w:tbl>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3</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United Kingdom Pound</w:t>
      </w:r>
    </w:p>
    <w:p>
      <w:pPr>
        <w:spacing w:after="0" w:line="24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12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0.93675000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-0.04098000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16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93.67517000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-4.09815000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1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38" w:orient="portrait"/>
          <w:cols w:equalWidth="0" w:num="1">
            <w:col w:w="10880"/>
          </w:cols>
          <w:pgMar w:left="320" w:top="111" w:right="699" w:bottom="0" w:gutter="0" w:footer="0" w:header="0"/>
        </w:sectPr>
      </w:pPr>
    </w:p>
    <w:bookmarkStart w:id="3" w:name="page4"/>
    <w:bookmarkEnd w:id="3"/>
    <w:p>
      <w:pPr>
        <w:spacing w:after="0" w:line="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Metric: 4</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ISO Currency code United States Dollar</w:t>
      </w:r>
    </w:p>
    <w:p>
      <w:pPr>
        <w:spacing w:after="0" w:line="247"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a. Interest Rate Risk (DV01). For each currency for which the Fund had a value of 1% or more of the Fund’s net asset value, provide the change in value of the portfolio resulting from a 1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3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84.43218000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1957.41694000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6385.66671000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686.88542000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b. Interest Rate Risk (DV100). For each currency for which the Fund had a value of 1% or more of the Fund’s net asset value, provide the change in value of the portfolio resulting from a 100 basis point change in interest rates,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9"/>
              </w:rPr>
              <w:t>Maturity period.</w:t>
            </w:r>
          </w:p>
        </w:tc>
        <w:tc>
          <w:tcPr>
            <w:tcW w:w="1580" w:type="dxa"/>
            <w:vAlign w:val="bottom"/>
          </w:tcPr>
          <w:p>
            <w:pPr>
              <w:spacing w:after="0"/>
              <w:rPr>
                <w:sz w:val="24"/>
                <w:szCs w:val="24"/>
                <w:color w:val="auto"/>
              </w:rPr>
            </w:pP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8443.21640000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195741.69362000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638566.67261000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68688.54211000</w:t>
            </w:r>
          </w:p>
        </w:tc>
      </w:tr>
      <w:tr>
        <w:trPr>
          <w:trHeight w:val="297"/>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c. Credit Spread Risk (SDV01, CR01 or CS01). Provide the change in value of the portfolio resulting from a 1 basis point change in credit spreads where the shift is applied to the option adjusted spread, aggregated by investment grade and non-investment grade exposures, for each of the following maturities: 3 month, 1 year, 5 years, 10 years, and 30 years.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Investment grade.</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Maturity period.</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r>
        <w:trPr>
          <w:trHeight w:val="324"/>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w w:val="99"/>
              </w:rPr>
              <w:t>Non-Investment grade.</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Maturity period.</w:t>
            </w:r>
          </w:p>
        </w:tc>
        <w:tc>
          <w:tcPr>
            <w:tcW w:w="1480" w:type="dxa"/>
            <w:vAlign w:val="bottom"/>
          </w:tcPr>
          <w:p>
            <w:pPr>
              <w:spacing w:after="0"/>
              <w:rPr>
                <w:sz w:val="24"/>
                <w:szCs w:val="24"/>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 month.</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8.57449000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 year.</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5972.50259000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5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16000.78804000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10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1366.98409000</w:t>
            </w: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30 years.</w:t>
            </w:r>
          </w:p>
        </w:tc>
        <w:tc>
          <w:tcPr>
            <w:tcW w:w="14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Item B.3., calculate value as the sum of the absolute values of:</w:t>
      </w:r>
    </w:p>
    <w:p>
      <w:pPr>
        <w:spacing w:after="0" w:line="4"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each debt security,</w:t>
      </w:r>
    </w:p>
    <w:p>
      <w:pPr>
        <w:ind w:right="20" w:firstLine="8"/>
        <w:spacing w:after="0" w:line="230" w:lineRule="auto"/>
        <w:tabs>
          <w:tab w:leader="none" w:pos="31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swap, including, but not limited to, total return swaps, interest rate swaps, and credit default swaps, for which the underlying reference asset or assets are debt securities or an interest rate;</w:t>
      </w:r>
    </w:p>
    <w:p>
      <w:pPr>
        <w:spacing w:after="0" w:line="1" w:lineRule="exact"/>
        <w:rPr>
          <w:rFonts w:ascii="Times New Roman" w:cs="Times New Roman" w:eastAsia="Times New Roman" w:hAnsi="Times New Roman"/>
          <w:sz w:val="22"/>
          <w:szCs w:val="22"/>
          <w:color w:val="auto"/>
        </w:rPr>
      </w:pPr>
    </w:p>
    <w:p>
      <w:pPr>
        <w:ind w:right="60" w:firstLine="8"/>
        <w:spacing w:after="0" w:line="230" w:lineRule="auto"/>
        <w:tabs>
          <w:tab w:leader="none" w:pos="37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notional value of each futures contract for which the underlying reference asset or assets are debt securities or an interest rate; and</w:t>
      </w:r>
    </w:p>
    <w:p>
      <w:pPr>
        <w:spacing w:after="0" w:line="1" w:lineRule="exact"/>
        <w:rPr>
          <w:rFonts w:ascii="Times New Roman" w:cs="Times New Roman" w:eastAsia="Times New Roman" w:hAnsi="Times New Roman"/>
          <w:sz w:val="22"/>
          <w:szCs w:val="22"/>
          <w:color w:val="auto"/>
        </w:rPr>
      </w:pPr>
    </w:p>
    <w:p>
      <w:pPr>
        <w:ind w:right="20" w:firstLine="8"/>
        <w:spacing w:after="0" w:line="237" w:lineRule="auto"/>
        <w:tabs>
          <w:tab w:leader="none" w:pos="36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delta-adjusted notional value of any option for which the underlying reference asset is an asset described in clause (i),(ii), or (iii).</w:t>
      </w:r>
    </w:p>
    <w:p>
      <w:pPr>
        <w:spacing w:after="0" w:line="205"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Report zero for maturities to which the Fund has no exposure. For exposures that fall between any of the listed maturities in (a) and (b), use linear interpolation to approximate exposure to each maturity listed above. For exposures outside of the range of maturities listed above, include those exposures in the nearest maturity.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B.4. Securities lending.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For each borrower in any securities lending transaction, provide the following information:</w:t>
      </w:r>
    </w:p>
    <w:p>
      <w:pPr>
        <w:sectPr>
          <w:pgSz w:w="11900" w:h="16860" w:orient="portrait"/>
          <w:cols w:equalWidth="0" w:num="1">
            <w:col w:w="11200"/>
          </w:cols>
          <w:pgMar w:left="320" w:top="112" w:right="379" w:bottom="0" w:gutter="0" w:footer="0" w:header="0"/>
        </w:sectPr>
      </w:pPr>
    </w:p>
    <w:bookmarkStart w:id="4" w:name="page5"/>
    <w:bookmarkEnd w:id="4"/>
    <w:p>
      <w:pPr>
        <w:spacing w:after="0" w:line="1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b. Did any securities lending counterparty provide any non-cash collateral? </w:t>
      </w:r>
      <w:r>
        <w:rPr>
          <w:sz w:val="1"/>
          <w:szCs w:val="1"/>
          <w:color w:val="auto"/>
        </w:rPr>
        <w:drawing>
          <wp:inline distT="0" distB="0" distL="0" distR="0">
            <wp:extent cx="137160" cy="1371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B.5. Return information.</w:t>
      </w:r>
    </w:p>
    <w:p>
      <w:pPr>
        <w:spacing w:after="0" w:line="291"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a. Monthly total returns of the Fund for each of the preceding three months. If the Fund is a Multiple Class Fund, report returns for each class. Such returns shall be calculated in accordance with the methodologies outlined in Item 26(b) (1) of Form N-1A, Instruction 13 to sub-Item 1 of Item 4 of Form N-2, or Item 26(b) (i) of Form N-3, as applicable.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 Record: 1</w:t>
            </w:r>
          </w:p>
        </w:tc>
        <w:tc>
          <w:tcPr>
            <w:tcW w:w="13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1.</w:t>
            </w:r>
          </w:p>
        </w:tc>
        <w:tc>
          <w:tcPr>
            <w:tcW w:w="13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6"/>
              </w:rPr>
              <w:t>-1.86000000</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2.</w:t>
            </w:r>
          </w:p>
        </w:tc>
        <w:tc>
          <w:tcPr>
            <w:tcW w:w="1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0.05000000</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Monthly total returns of the Fund for each of the preceding three months – Month 3.</w:t>
            </w:r>
          </w:p>
        </w:tc>
        <w:tc>
          <w:tcPr>
            <w:tcW w:w="1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8.89000000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 Class identification number(s) (if any) of the Class(es) for which returns are reported. C000000000</w:t>
      </w:r>
    </w:p>
    <w:p>
      <w:pPr>
        <w:spacing w:after="0" w:line="24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c. For each of the preceding three months, monthly net realized gain (loss) and net change in unrealized appreciation (or depreciation) attributable to derivatives for each of the following categories: commodity contracts, credit contracts, equity contracts, foreign exchange contracts, interest rate contracts, and other contracts. Within each such asset category, further report the same information for each of the following types of derivatives instrument: forward, future, option, swaption, swap, warrant, and other. Report in U.S. dollars. Losses and depreciation shall be reported as negative numbers.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Commodity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Swaption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right="3520"/>
        <w:spacing w:after="0" w:line="335"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ectPr>
          <w:pgSz w:w="11900" w:h="16949" w:orient="portrait"/>
          <w:cols w:equalWidth="0" w:num="1">
            <w:col w:w="11120"/>
          </w:cols>
          <w:pgMar w:left="320" w:top="166" w:right="45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Credit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ectPr>
          <w:pgSz w:w="11900" w:h="16838" w:orient="portrait"/>
          <w:cols w:equalWidth="0" w:num="1">
            <w:col w:w="10099"/>
          </w:cols>
          <w:pgMar w:left="360" w:top="111" w:right="1440" w:bottom="0" w:gutter="0" w:footer="0" w:header="0"/>
        </w:sectPr>
      </w:pPr>
    </w:p>
    <w:bookmarkStart w:id="6" w:name="page7"/>
    <w:bookmarkEnd w:id="6"/>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Equity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168330.50000000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2 -388470.00000000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right="219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8220.99000000 Instrument type. Forward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168330.50000000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2 -388470.00000000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8220.99000000</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49" w:orient="portrait"/>
          <w:cols w:equalWidth="0" w:num="1">
            <w:col w:w="10099"/>
          </w:cols>
          <w:pgMar w:left="360" w:top="111" w:right="1440" w:bottom="0" w:gutter="0" w:footer="0" w:header="0"/>
        </w:sectPr>
      </w:pPr>
    </w:p>
    <w:bookmarkStart w:id="7" w:name="page8"/>
    <w:bookmarkEnd w:id="7"/>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Foreign Exchange Contracts</w:t>
            </w:r>
          </w:p>
        </w:tc>
        <w:tc>
          <w:tcPr>
            <w:tcW w:w="2360" w:type="dxa"/>
            <w:vAlign w:val="bottom"/>
          </w:tcPr>
          <w:p>
            <w:pPr>
              <w:spacing w:after="0"/>
              <w:rPr>
                <w:sz w:val="24"/>
                <w:szCs w:val="24"/>
                <w:color w:val="auto"/>
              </w:rPr>
            </w:pPr>
          </w:p>
        </w:tc>
      </w:tr>
      <w:tr>
        <w:trPr>
          <w:trHeight w:val="324"/>
        </w:trPr>
        <w:tc>
          <w:tcPr>
            <w:tcW w:w="52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ectPr>
          <w:pgSz w:w="11900" w:h="16849" w:orient="portrait"/>
          <w:cols w:equalWidth="0" w:num="1">
            <w:col w:w="10099"/>
          </w:cols>
          <w:pgMar w:left="360" w:top="111" w:right="1440" w:bottom="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Swap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Other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Interest Rate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Forward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jc w:val="both"/>
        <w:ind w:right="2539"/>
        <w:spacing w:after="0" w:line="307" w:lineRule="auto"/>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 Instrument type. Option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ectPr>
          <w:pgSz w:w="11900" w:h="16838" w:orient="portrait"/>
          <w:cols w:equalWidth="0" w:num="1">
            <w:col w:w="10099"/>
          </w:cols>
          <w:pgMar w:left="360" w:top="111"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Warrant</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Asset category. Other Contracts</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Forward</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Future</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1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2 0.00000000</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Monthly net change in unrealized appreciation (or depreciation) – Month 3 0.00000000</w:t>
      </w:r>
    </w:p>
    <w:p>
      <w:pPr>
        <w:sectPr>
          <w:pgSz w:w="11900" w:h="16838" w:orient="portrait"/>
          <w:cols w:equalWidth="0" w:num="1">
            <w:col w:w="10099"/>
          </w:cols>
          <w:pgMar w:left="360" w:top="111" w:right="1440" w:bottom="0" w:gutter="0" w:footer="0" w:header="0"/>
        </w:sectPr>
      </w:pPr>
    </w:p>
    <w:bookmarkStart w:id="10" w:name="page11"/>
    <w:bookmarkEnd w:id="10"/>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Option</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Swap</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Instrument type. Other</w:t>
            </w:r>
          </w:p>
        </w:tc>
        <w:tc>
          <w:tcPr>
            <w:tcW w:w="2460" w:type="dxa"/>
            <w:vAlign w:val="bottom"/>
          </w:tcPr>
          <w:p>
            <w:pPr>
              <w:spacing w:after="0"/>
              <w:rPr>
                <w:sz w:val="24"/>
                <w:szCs w:val="24"/>
                <w:color w:val="auto"/>
              </w:rPr>
            </w:pPr>
          </w:p>
        </w:tc>
      </w:tr>
      <w:tr>
        <w:trPr>
          <w:trHeight w:val="324"/>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5100" w:type="dxa"/>
            <w:vAlign w:val="bottom"/>
          </w:tcPr>
          <w:p>
            <w:pPr>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0.00000000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For each of the preceding three months, monthly net realized gain (loss) and net change in unrealized appreciation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depreciation) attributable to investment other than derivatives. Report in U.S. dollars. Losses and depreciation shall be reported</w:t>
      </w:r>
    </w:p>
    <w:p>
      <w:pPr>
        <w:spacing w:after="0" w:line="231" w:lineRule="auto"/>
        <w:rPr>
          <w:sz w:val="20"/>
          <w:szCs w:val="20"/>
          <w:color w:val="auto"/>
        </w:rPr>
      </w:pPr>
      <w:r>
        <w:rPr>
          <w:rFonts w:ascii="Times New Roman" w:cs="Times New Roman" w:eastAsia="Times New Roman" w:hAnsi="Times New Roman"/>
          <w:sz w:val="22"/>
          <w:szCs w:val="22"/>
          <w:color w:val="auto"/>
        </w:rPr>
        <w:t>as negative numbers.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Month 1</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1</w:t>
            </w: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-185980.52000000</w:t>
            </w:r>
          </w:p>
        </w:tc>
      </w:tr>
      <w:tr>
        <w:trPr>
          <w:trHeight w:val="297"/>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1 0.00000000</w:t>
            </w:r>
          </w:p>
        </w:tc>
      </w:tr>
      <w:tr>
        <w:trPr>
          <w:trHeight w:val="284"/>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2</w:t>
            </w:r>
          </w:p>
        </w:tc>
        <w:tc>
          <w:tcPr>
            <w:tcW w:w="3120" w:type="dxa"/>
            <w:vAlign w:val="bottom"/>
          </w:tcPr>
          <w:p>
            <w:pPr>
              <w:spacing w:after="0"/>
              <w:rPr>
                <w:sz w:val="24"/>
                <w:szCs w:val="24"/>
                <w:color w:val="auto"/>
              </w:rPr>
            </w:pPr>
          </w:p>
        </w:tc>
      </w:tr>
      <w:tr>
        <w:trPr>
          <w:trHeight w:val="283"/>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2</w:t>
            </w: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1022163.59000000</w:t>
            </w:r>
          </w:p>
        </w:tc>
      </w:tr>
      <w:tr>
        <w:trPr>
          <w:trHeight w:val="297"/>
        </w:trPr>
        <w:tc>
          <w:tcPr>
            <w:tcW w:w="8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2 0.00000000</w:t>
            </w: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22"/>
                <w:szCs w:val="22"/>
                <w:color w:val="auto"/>
              </w:rPr>
              <w:t>Month 3</w:t>
            </w:r>
          </w:p>
        </w:tc>
        <w:tc>
          <w:tcPr>
            <w:tcW w:w="3120" w:type="dxa"/>
            <w:vAlign w:val="bottom"/>
          </w:tcPr>
          <w:p>
            <w:pPr>
              <w:spacing w:after="0"/>
              <w:rPr>
                <w:sz w:val="24"/>
                <w:szCs w:val="24"/>
                <w:color w:val="auto"/>
              </w:rPr>
            </w:pPr>
          </w:p>
        </w:tc>
      </w:tr>
      <w:tr>
        <w:trPr>
          <w:trHeight w:val="284"/>
        </w:trPr>
        <w:tc>
          <w:tcPr>
            <w:tcW w:w="5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Monthly net realized gain(loss) – Month 3</w:t>
            </w:r>
          </w:p>
        </w:tc>
        <w:tc>
          <w:tcPr>
            <w:tcW w:w="312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-840557.45000000</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Monthly net change in unrealized appreciation (or depreciation) – Month 3 1248896.76000000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B.6. Flow information.</w:t>
      </w:r>
    </w:p>
    <w:p>
      <w:pPr>
        <w:spacing w:after="0" w:line="318"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21"/>
          <w:szCs w:val="21"/>
          <w:color w:val="auto"/>
        </w:rPr>
        <w:t>Provide the aggregate dollar amounts for sales and redemptions/repurchases of Fund shares during each of the preceding three months. If shares of the Fund are held in omnibus accounts, for purposes of calculating the Fund's sales, redemptions, and repurchases, use net sales or redemptions/repurchases from such omnibus accounts. The amounts to be reported under this Item</w:t>
      </w:r>
    </w:p>
    <w:p>
      <w:pPr>
        <w:sectPr>
          <w:pgSz w:w="11900" w:h="16841" w:orient="portrait"/>
          <w:cols w:equalWidth="0" w:num="1">
            <w:col w:w="11060"/>
          </w:cols>
          <w:pgMar w:left="320" w:top="112" w:right="519" w:bottom="0" w:gutter="0" w:footer="0" w:header="0"/>
        </w:sectPr>
      </w:pPr>
    </w:p>
    <w:bookmarkStart w:id="11" w:name="page12"/>
    <w:bookmarkEnd w:id="11"/>
    <w:p>
      <w:pPr>
        <w:ind w:left="40" w:right="20"/>
        <w:spacing w:after="0" w:line="235" w:lineRule="auto"/>
        <w:rPr>
          <w:sz w:val="20"/>
          <w:szCs w:val="20"/>
          <w:color w:val="auto"/>
        </w:rPr>
      </w:pPr>
      <w:r>
        <w:rPr>
          <w:rFonts w:ascii="Times New Roman" w:cs="Times New Roman" w:eastAsia="Times New Roman" w:hAnsi="Times New Roman"/>
          <w:sz w:val="22"/>
          <w:szCs w:val="22"/>
          <w:color w:val="auto"/>
        </w:rPr>
        <w:t>should be after any front-end sales load has been deducted and before any deferred or contingent deferred sales load or charge has been deducted. Shares sold shall include shares sold by the Fund to a registered unit investment trust. For mergers and other acquisitions, include in the value of shares sold any transaction in which the Fund acquired the assets of another investment company or of a personal holding company in exchange for its own shares. For liquidations, include in the value of shares redeemed any transaction in which the Fund liquidated all or part of its assets. Exchanges are defined as the redemption or repurchase of shares of one Fund or series and the investment of all or part of the proceeds in shares of another Fund or series in the same family of investment companies.</w:t>
      </w:r>
    </w:p>
    <w:p>
      <w:pPr>
        <w:sectPr>
          <w:pgSz w:w="11900" w:h="16838" w:orient="portrait"/>
          <w:cols w:equalWidth="0" w:num="1">
            <w:col w:w="11140"/>
          </w:cols>
          <w:pgMar w:left="320" w:top="112" w:right="439" w:bottom="1440" w:gutter="0" w:footer="0" w:header="0"/>
        </w:sectPr>
      </w:pPr>
    </w:p>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1</w:t>
      </w:r>
    </w:p>
    <w:p>
      <w:pPr>
        <w:spacing w:after="0" w:line="71" w:lineRule="exact"/>
        <w:rPr>
          <w:sz w:val="20"/>
          <w:szCs w:val="20"/>
          <w:color w:val="auto"/>
        </w:rPr>
      </w:pPr>
    </w:p>
    <w:p>
      <w:pPr>
        <w:ind w:left="40" w:right="3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406" w:lineRule="exact"/>
        <w:rPr>
          <w:sz w:val="20"/>
          <w:szCs w:val="20"/>
          <w:color w:val="auto"/>
        </w:rPr>
      </w:pPr>
    </w:p>
    <w:p>
      <w:pPr>
        <w:sectPr>
          <w:pgSz w:w="11900" w:h="16838" w:orient="portrait"/>
          <w:cols w:equalWidth="0" w:num="2">
            <w:col w:w="9400" w:space="720"/>
            <w:col w:w="1020"/>
          </w:cols>
          <w:pgMar w:left="320" w:top="112" w:right="439" w:bottom="1440" w:gutter="0" w:footer="0" w:header="0"/>
          <w:type w:val="continuous"/>
        </w:sectPr>
      </w:pPr>
    </w:p>
    <w:p>
      <w:pPr>
        <w:ind w:left="40" w:right="360"/>
        <w:spacing w:after="0" w:line="256" w:lineRule="auto"/>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 distributions).</w:t>
      </w:r>
    </w:p>
    <w:p>
      <w:pPr>
        <w:ind w:left="40"/>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Month 3</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0.00000000</w:t>
      </w:r>
    </w:p>
    <w:p>
      <w:pPr>
        <w:spacing w:after="0" w:line="396" w:lineRule="exact"/>
        <w:rPr>
          <w:sz w:val="20"/>
          <w:szCs w:val="20"/>
          <w:color w:val="auto"/>
        </w:rPr>
      </w:pPr>
    </w:p>
    <w:p>
      <w:pPr>
        <w:sectPr>
          <w:pgSz w:w="11900" w:h="16838" w:orient="portrait"/>
          <w:cols w:equalWidth="0" w:num="2">
            <w:col w:w="9400" w:space="720"/>
            <w:col w:w="1020"/>
          </w:cols>
          <w:pgMar w:left="320" w:top="112" w:right="439" w:bottom="144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a. Total net asset value of shares sold (including exchanges but excluding reinvestment of dividends and</w:t>
            </w:r>
          </w:p>
        </w:tc>
        <w:tc>
          <w:tcPr>
            <w:tcW w:w="178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0.00000000</w:t>
            </w:r>
          </w:p>
        </w:tc>
        <w:tc>
          <w:tcPr>
            <w:tcW w:w="0" w:type="dxa"/>
            <w:vAlign w:val="bottom"/>
          </w:tcPr>
          <w:p>
            <w:pPr>
              <w:spacing w:after="0"/>
              <w:rPr>
                <w:sz w:val="1"/>
                <w:szCs w:val="1"/>
                <w:color w:val="auto"/>
              </w:rPr>
            </w:pPr>
          </w:p>
        </w:tc>
      </w:tr>
      <w:tr>
        <w:trPr>
          <w:trHeight w:val="161"/>
        </w:trPr>
        <w:tc>
          <w:tcPr>
            <w:tcW w:w="9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distributions).</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32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b. Total net asset value of shares sold in connection with reinvestments of dividends and distributions.</w:t>
            </w:r>
          </w:p>
        </w:tc>
        <w:tc>
          <w:tcPr>
            <w:tcW w:w="178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6"/>
              </w:rPr>
              <w:t>40043.33000000</w:t>
            </w:r>
          </w:p>
        </w:tc>
        <w:tc>
          <w:tcPr>
            <w:tcW w:w="0" w:type="dxa"/>
            <w:vAlign w:val="bottom"/>
          </w:tcPr>
          <w:p>
            <w:pPr>
              <w:spacing w:after="0"/>
              <w:rPr>
                <w:sz w:val="1"/>
                <w:szCs w:val="1"/>
                <w:color w:val="auto"/>
              </w:rPr>
            </w:pPr>
          </w:p>
        </w:tc>
      </w:tr>
      <w:tr>
        <w:trPr>
          <w:trHeight w:val="297"/>
        </w:trPr>
        <w:tc>
          <w:tcPr>
            <w:tcW w:w="9320" w:type="dxa"/>
            <w:vAlign w:val="bottom"/>
          </w:tcPr>
          <w:p>
            <w:pPr>
              <w:spacing w:after="0"/>
              <w:rPr>
                <w:sz w:val="20"/>
                <w:szCs w:val="20"/>
                <w:color w:val="auto"/>
              </w:rPr>
            </w:pPr>
            <w:r>
              <w:rPr>
                <w:rFonts w:ascii="Times New Roman" w:cs="Times New Roman" w:eastAsia="Times New Roman" w:hAnsi="Times New Roman"/>
                <w:sz w:val="22"/>
                <w:szCs w:val="22"/>
                <w:color w:val="auto"/>
              </w:rPr>
              <w:t>c. Total net asset value of shares redeemed or repurchased, including exchanges.</w:t>
            </w:r>
          </w:p>
        </w:tc>
        <w:tc>
          <w:tcPr>
            <w:tcW w:w="178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112" w:right="4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B.7. Highly Liquid Investment Minimum information.</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If applicable, provide the Fund's current Highly Liquid Investment Minimum.</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If applicable, provide the number of days that the Fund's holdings in Highly Liquid Investments fell below the Fund's Highly Liquid Investment Minimum during the reporting period.</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Did the Fund's Highly Liquid Investment Minimum change during the reporting period?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B.8. Derivatives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140"/>
        <w:spacing w:after="0" w:line="282" w:lineRule="auto"/>
        <w:rPr>
          <w:sz w:val="20"/>
          <w:szCs w:val="20"/>
          <w:color w:val="auto"/>
        </w:rPr>
      </w:pPr>
      <w:r>
        <w:rPr>
          <w:sz w:val="1"/>
          <w:szCs w:val="1"/>
          <w:color w:val="auto"/>
        </w:rPr>
        <w:drawing>
          <wp:inline distT="0" distB="0" distL="0" distR="0">
            <wp:extent cx="137160" cy="1371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Yes </w:t>
      </w:r>
      <w:r>
        <w:rPr>
          <w:sz w:val="1"/>
          <w:szCs w:val="1"/>
          <w:color w:val="auto"/>
        </w:rPr>
        <w:drawing>
          <wp:inline distT="0" distB="0" distL="0" distR="0">
            <wp:extent cx="137160" cy="1371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No </w:t>
      </w:r>
      <w:r>
        <w:rPr>
          <w:sz w:val="1"/>
          <w:szCs w:val="1"/>
          <w:color w:val="auto"/>
        </w:rPr>
        <w:drawing>
          <wp:inline distT="0" distB="0" distL="0" distR="0">
            <wp:extent cx="137160" cy="1371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N/A</w:t>
      </w:r>
    </w:p>
    <w:p>
      <w:pPr>
        <w:spacing w:after="0" w:line="695" w:lineRule="exact"/>
        <w:rPr>
          <w:sz w:val="20"/>
          <w:szCs w:val="20"/>
          <w:color w:val="auto"/>
        </w:rPr>
      </w:pPr>
    </w:p>
    <w:p>
      <w:pPr>
        <w:sectPr>
          <w:pgSz w:w="11900" w:h="16838" w:orient="portrait"/>
          <w:cols w:equalWidth="0" w:num="2">
            <w:col w:w="9800" w:space="240"/>
            <w:col w:w="1100"/>
          </w:cols>
          <w:pgMar w:left="320" w:top="112" w:right="439" w:bottom="1440" w:gutter="0" w:footer="0" w:header="0"/>
          <w:type w:val="continuous"/>
        </w:sectPr>
      </w:pPr>
    </w:p>
    <w:p>
      <w:pPr>
        <w:spacing w:after="0" w:line="7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For portfolio investments of open-end management investment companies, provide the percentage of the Fund's Highly Liquid Investments that it has segregated to cover or pledged to satisfy margin requirements in connection with derivatives transactions that are classified among the following categories as specified in rule 22e-4 [17 CFR 270.22e-4]:</w:t>
      </w:r>
    </w:p>
    <w:p>
      <w:pPr>
        <w:spacing w:after="0" w:line="214" w:lineRule="exact"/>
        <w:rPr>
          <w:sz w:val="20"/>
          <w:szCs w:val="20"/>
          <w:color w:val="auto"/>
        </w:rPr>
      </w:pPr>
    </w:p>
    <w:p>
      <w:pPr>
        <w:ind w:left="360" w:hanging="312"/>
        <w:spacing w:after="0"/>
        <w:tabs>
          <w:tab w:leader="none" w:pos="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60" w:hanging="312"/>
        <w:spacing w:after="0"/>
        <w:tabs>
          <w:tab w:leader="none" w:pos="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40" w:right="9060" w:firstLine="8"/>
        <w:spacing w:after="0" w:line="335" w:lineRule="auto"/>
        <w:tabs>
          <w:tab w:leader="none" w:pos="34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Illiquid Investments Classification</w:t>
      </w:r>
    </w:p>
    <w:p>
      <w:pPr>
        <w:sectPr>
          <w:pgSz w:w="11900" w:h="16838" w:orient="portrait"/>
          <w:cols w:equalWidth="0" w:num="1">
            <w:col w:w="11140"/>
          </w:cols>
          <w:pgMar w:left="320" w:top="112"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21"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372" w:right="379" w:bottom="0" w:gutter="0" w:footer="0" w:header="0"/>
        </w:sect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Algonquin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372"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XS2695400106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200" w:lineRule="exact"/>
        <w:rPr>
          <w:sz w:val="20"/>
          <w:szCs w:val="20"/>
          <w:color w:val="auto"/>
        </w:rPr>
      </w:pPr>
    </w:p>
    <w:p>
      <w:pPr>
        <w:sectPr>
          <w:pgSz w:w="11900" w:h="16838" w:orient="portrait"/>
          <w:cols w:equalWidth="0" w:num="2">
            <w:col w:w="5280" w:space="380"/>
            <w:col w:w="5540"/>
          </w:cols>
          <w:pgMar w:left="320" w:top="372" w:right="379" w:bottom="0" w:gutter="0" w:footer="0" w:header="0"/>
          <w:type w:val="continuous"/>
        </w:sectPr>
      </w:pP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372"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1965342.70000000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1896072.43000000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1.186827397049</w:t>
      </w:r>
    </w:p>
    <w:p>
      <w:pPr>
        <w:spacing w:after="0" w:line="211" w:lineRule="exact"/>
        <w:rPr>
          <w:sz w:val="20"/>
          <w:szCs w:val="20"/>
          <w:color w:val="auto"/>
        </w:rPr>
      </w:pPr>
    </w:p>
    <w:p>
      <w:pPr>
        <w:sectPr>
          <w:pgSz w:w="11900" w:h="16838" w:orient="portrait"/>
          <w:cols w:equalWidth="0" w:num="2">
            <w:col w:w="9200" w:space="280"/>
            <w:col w:w="1720"/>
          </w:cols>
          <w:pgMar w:left="320" w:top="372"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26"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2"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372" w:right="379" w:bottom="0" w:gutter="0" w:footer="0" w:header="0"/>
          <w:type w:val="continuous"/>
        </w:sectPr>
      </w:pPr>
    </w:p>
    <w:bookmarkStart w:id="13" w:name="page14"/>
    <w:bookmarkEnd w:id="13"/>
    <w:p>
      <w:pPr>
        <w:spacing w:after="0" w:line="46"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91"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84" w:orient="portrait"/>
          <w:cols w:equalWidth="0" w:num="1">
            <w:col w:w="11180"/>
          </w:cols>
          <w:pgMar w:left="320" w:top="112"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84"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2028-11-01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84"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14.59940000 </w:t>
      </w:r>
      <w:r>
        <w:rPr>
          <w:sz w:val="1"/>
          <w:szCs w:val="1"/>
          <w:color w:val="auto"/>
        </w:rPr>
        <w:drawing>
          <wp:inline distT="0" distB="0" distL="0" distR="0">
            <wp:extent cx="137160" cy="137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84" w:orient="portrait"/>
          <w:cols w:equalWidth="0" w:num="2">
            <w:col w:w="9920" w:space="100"/>
            <w:col w:w="1160"/>
          </w:cols>
          <w:pgMar w:left="320" w:top="112" w:right="399" w:bottom="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80"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80"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8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80"/>
        <w:spacing w:after="0" w:line="415" w:lineRule="auto"/>
        <w:rPr>
          <w:sz w:val="20"/>
          <w:szCs w:val="20"/>
          <w:color w:val="auto"/>
        </w:rPr>
      </w:pPr>
      <w:r>
        <w:rPr>
          <w:rFonts w:ascii="Times New Roman" w:cs="Times New Roman" w:eastAsia="Times New Roman" w:hAnsi="Times New Roman"/>
          <w:sz w:val="21"/>
          <w:szCs w:val="21"/>
          <w:color w:val="auto"/>
        </w:rPr>
        <w:t>US BANCORP N/A</w:t>
      </w:r>
    </w:p>
    <w:p>
      <w:pPr>
        <w:spacing w:after="0" w:line="2"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21"/>
          <w:szCs w:val="21"/>
          <w:color w:val="auto"/>
        </w:rPr>
        <w:t>Call Options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240"/>
            <w:col w:w="17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BBG00PC0D595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5060325.26000000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6603372.75000000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0.74354970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4.133314513006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6" w:name="page17"/>
    <w:bookmarkEnd w:id="16"/>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2026-01-16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10.55000000 </w:t>
      </w:r>
      <w:r>
        <w:rPr>
          <w:sz w:val="1"/>
          <w:szCs w:val="1"/>
          <w:color w:val="auto"/>
        </w:rPr>
        <w:drawing>
          <wp:inline distT="0" distB="0" distL="0" distR="0">
            <wp:extent cx="137160" cy="137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17" w:name="page18"/>
    <w:bookmarkEnd w:id="17"/>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AMFI3DAC2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4700000.00000000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5539003.53000000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3.467083344362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9" w:name="page20"/>
    <w:bookmarkEnd w:id="19"/>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2033-12-12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7.96900000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20" w:name="page21"/>
    <w:bookmarkEnd w:id="20"/>
    <w:p>
      <w:pPr>
        <w:jc w:val="both"/>
        <w:ind w:right="300" w:firstLine="8"/>
        <w:spacing w:after="0" w:line="238" w:lineRule="auto"/>
        <w:tabs>
          <w:tab w:leader="none" w:pos="28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3380522.42000000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0.74354970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2.116003883035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22" w:name="page23"/>
    <w:bookmarkEnd w:id="22"/>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11.16710000 </w:t>
      </w:r>
      <w:r>
        <w:rPr>
          <w:sz w:val="1"/>
          <w:szCs w:val="1"/>
          <w:color w:val="auto"/>
        </w:rPr>
        <w:drawing>
          <wp:inline distT="0" distB="0" distL="0" distR="0">
            <wp:extent cx="137160" cy="137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23" w:name="page24"/>
    <w:bookmarkEnd w:id="23"/>
    <w:p>
      <w:pPr>
        <w:jc w:val="both"/>
        <w:ind w:right="300" w:firstLine="8"/>
        <w:spacing w:after="0" w:line="238" w:lineRule="auto"/>
        <w:tabs>
          <w:tab w:leader="none" w:pos="28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US9029733048</w:t>
      </w:r>
    </w:p>
    <w:p>
      <w:pPr>
        <w:spacing w:after="0" w:line="71"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ISIN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ISIN is not available). USB</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 Bancorp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N1GZ7BBF3NP8GI976H15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902973304</w:t>
      </w:r>
    </w:p>
    <w:p>
      <w:pPr>
        <w:spacing w:after="0" w:line="2679" w:lineRule="exact"/>
        <w:rPr>
          <w:sz w:val="20"/>
          <w:szCs w:val="20"/>
          <w:color w:val="auto"/>
        </w:rPr>
      </w:pPr>
    </w:p>
    <w:p>
      <w:pPr>
        <w:sectPr>
          <w:pgSz w:w="11900" w:h="16838" w:orient="portrait"/>
          <w:cols w:equalWidth="0" w:num="2">
            <w:col w:w="8300" w:space="340"/>
            <w:col w:w="256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80"/>
        <w:spacing w:after="0" w:line="335" w:lineRule="auto"/>
        <w:rPr>
          <w:sz w:val="20"/>
          <w:szCs w:val="20"/>
          <w:color w:val="auto"/>
        </w:rPr>
      </w:pPr>
      <w:r>
        <w:rPr>
          <w:rFonts w:ascii="Times New Roman" w:cs="Times New Roman" w:eastAsia="Times New Roman" w:hAnsi="Times New Roman"/>
          <w:sz w:val="21"/>
          <w:szCs w:val="21"/>
          <w:color w:val="auto"/>
        </w:rPr>
        <w:t>110100.00000000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5321133.00000000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3.330709485472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Asset type (short-term investment vehicle (e.g., money market fund, liquidity pool, or other cash management</w:t>
            </w: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16"/>
        </w:trPr>
        <w:tc>
          <w:tcPr>
            <w:tcW w:w="10280" w:type="dxa"/>
            <w:vAlign w:val="bottom"/>
            <w:gridSpan w:val="2"/>
          </w:tcPr>
          <w:p>
            <w:pPr>
              <w:ind w:left="40"/>
              <w:spacing w:after="0" w:line="217" w:lineRule="exact"/>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0" w:type="dxa"/>
            <w:vAlign w:val="bottom"/>
          </w:tcPr>
          <w:p>
            <w:pPr>
              <w:spacing w:after="0"/>
              <w:rPr>
                <w:sz w:val="1"/>
                <w:szCs w:val="1"/>
                <w:color w:val="auto"/>
              </w:rPr>
            </w:pPr>
          </w:p>
        </w:tc>
      </w:tr>
      <w:tr>
        <w:trPr>
          <w:trHeight w:val="282"/>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96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9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UNITED</w:t>
            </w:r>
          </w:p>
        </w:tc>
        <w:tc>
          <w:tcPr>
            <w:tcW w:w="0" w:type="dxa"/>
            <w:vAlign w:val="bottom"/>
          </w:tcPr>
          <w:p>
            <w:pPr>
              <w:spacing w:after="0"/>
              <w:rPr>
                <w:sz w:val="1"/>
                <w:szCs w:val="1"/>
                <w:color w:val="auto"/>
              </w:rPr>
            </w:pPr>
          </w:p>
        </w:tc>
      </w:tr>
      <w:tr>
        <w:trPr>
          <w:trHeight w:val="282"/>
        </w:trPr>
        <w:tc>
          <w:tcPr>
            <w:tcW w:w="962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STATES OF</w:t>
            </w: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25" w:name="page26"/>
    <w:bookmarkEnd w:id="25"/>
    <w:p>
      <w:pPr>
        <w:spacing w:after="0" w:line="22"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45"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60"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60"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60"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40"/>
        <w:spacing w:after="0" w:line="297" w:lineRule="auto"/>
        <w:rPr>
          <w:sz w:val="20"/>
          <w:szCs w:val="20"/>
          <w:color w:val="auto"/>
        </w:rPr>
      </w:pPr>
      <w:r>
        <w:rPr>
          <w:sz w:val="1"/>
          <w:szCs w:val="1"/>
          <w:color w:val="auto"/>
        </w:rPr>
        <w:drawing>
          <wp:inline distT="0" distB="0" distL="0" distR="0">
            <wp:extent cx="137160" cy="137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 </w:t>
      </w:r>
      <w:r>
        <w:rPr>
          <w:sz w:val="1"/>
          <w:szCs w:val="1"/>
          <w:color w:val="auto"/>
        </w:rPr>
        <w:drawing>
          <wp:inline distT="0" distB="0" distL="0" distR="0">
            <wp:extent cx="137160" cy="1371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No</w:t>
      </w:r>
    </w:p>
    <w:p>
      <w:pPr>
        <w:sectPr>
          <w:pgSz w:w="11900" w:h="16860" w:orient="portrait"/>
          <w:cols w:equalWidth="0" w:num="2">
            <w:col w:w="10340" w:space="220"/>
            <w:col w:w="620"/>
          </w:cols>
          <w:pgMar w:left="320" w:top="111" w:right="399" w:bottom="0" w:gutter="0" w:footer="0" w:header="0"/>
          <w:type w:val="continuous"/>
        </w:sectPr>
      </w:pPr>
    </w:p>
    <w:bookmarkStart w:id="26" w:name="page27"/>
    <w:bookmarkEnd w:id="26"/>
    <w:p>
      <w:pPr>
        <w:jc w:val="both"/>
        <w:ind w:right="300" w:firstLine="8"/>
        <w:spacing w:after="0" w:line="238" w:lineRule="auto"/>
        <w:tabs>
          <w:tab w:leader="none" w:pos="2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34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34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342" w:right="339" w:bottom="1440" w:gutter="0" w:footer="0" w:header="0"/>
          <w:type w:val="continuous"/>
        </w:sectPr>
      </w:pPr>
    </w:p>
    <w:bookmarkStart w:id="27" w:name="page28"/>
    <w:bookmarkEnd w:id="27"/>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70"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XS2787791818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Profit Participating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1366" w:lineRule="exact"/>
        <w:rPr>
          <w:sz w:val="20"/>
          <w:szCs w:val="20"/>
          <w:color w:val="auto"/>
        </w:rPr>
      </w:pPr>
    </w:p>
    <w:p>
      <w:pPr>
        <w:sectPr>
          <w:pgSz w:w="11900" w:h="16870" w:orient="portrait"/>
          <w:cols w:equalWidth="0" w:num="2">
            <w:col w:w="9000" w:space="220"/>
            <w:col w:w="198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BPVFGC2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3"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10300000.00000000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6.447181023358</w:t>
      </w:r>
    </w:p>
    <w:p>
      <w:pPr>
        <w:spacing w:after="0" w:line="200" w:lineRule="exact"/>
        <w:rPr>
          <w:sz w:val="20"/>
          <w:szCs w:val="20"/>
          <w:color w:val="auto"/>
        </w:rPr>
      </w:pPr>
    </w:p>
    <w:p>
      <w:pPr>
        <w:sectPr>
          <w:pgSz w:w="11900" w:h="16870"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70"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collateralized</w:t>
      </w:r>
    </w:p>
    <w:p>
      <w:pPr>
        <w:spacing w:after="0" w:line="231" w:lineRule="auto"/>
        <w:rPr>
          <w:sz w:val="20"/>
          <w:szCs w:val="20"/>
          <w:color w:val="auto"/>
        </w:rPr>
      </w:pPr>
      <w:r>
        <w:rPr>
          <w:rFonts w:ascii="Times New Roman" w:cs="Times New Roman" w:eastAsia="Times New Roman" w:hAnsi="Times New Roman"/>
          <w:sz w:val="22"/>
          <w:szCs w:val="22"/>
          <w:color w:val="auto"/>
        </w:rPr>
        <w:t>bond/debt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w:t>
      </w:r>
    </w:p>
    <w:p>
      <w:pPr>
        <w:spacing w:after="0" w:line="127" w:lineRule="exact"/>
        <w:rPr>
          <w:sz w:val="20"/>
          <w:szCs w:val="20"/>
          <w:color w:val="auto"/>
        </w:rPr>
      </w:pPr>
    </w:p>
    <w:p>
      <w:pPr>
        <w:sectPr>
          <w:pgSz w:w="11900" w:h="16870" w:orient="portrait"/>
          <w:cols w:equalWidth="0" w:num="2">
            <w:col w:w="9820" w:space="200"/>
            <w:col w:w="1180"/>
          </w:cols>
          <w:pgMar w:left="320" w:top="88" w:right="379" w:bottom="0" w:gutter="0" w:footer="0" w:header="0"/>
          <w:type w:val="continuous"/>
        </w:sectPr>
      </w:pPr>
    </w:p>
    <w:p>
      <w:pPr>
        <w:ind w:left="40" w:right="320"/>
        <w:spacing w:after="0" w:line="181" w:lineRule="auto"/>
        <w:rPr>
          <w:sz w:val="20"/>
          <w:szCs w:val="20"/>
          <w:color w:val="auto"/>
        </w:rPr>
      </w:pPr>
      <w:r>
        <w:rPr>
          <w:rFonts w:ascii="Times New Roman" w:cs="Times New Roman" w:eastAsia="Times New Roman" w:hAnsi="Times New Roman"/>
          <w:sz w:val="21"/>
          <w:szCs w:val="21"/>
          <w:color w:val="auto"/>
        </w:rPr>
        <w:t xml:space="preserve">Issuer type (corporate, U.S. Treasury, U.S. government agency, U.S. government sponsored entity, municipal, non- </w:t>
      </w:r>
      <w:r>
        <w:rPr>
          <w:rFonts w:ascii="Times New Roman" w:cs="Times New Roman" w:eastAsia="Times New Roman" w:hAnsi="Times New Roman"/>
          <w:sz w:val="41"/>
          <w:szCs w:val="41"/>
          <w:color w:val="auto"/>
          <w:vertAlign w:val="subscript"/>
        </w:rPr>
        <w:t>Corporate</w:t>
      </w:r>
      <w:r>
        <w:rPr>
          <w:rFonts w:ascii="Times New Roman" w:cs="Times New Roman" w:eastAsia="Times New Roman" w:hAnsi="Times New Roman"/>
          <w:sz w:val="21"/>
          <w:szCs w:val="21"/>
          <w:color w:val="auto"/>
        </w:rPr>
        <w:t xml:space="preserve"> U.S. sovereign, private fund, registered fund, other). If “other,” provide a brief description.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28" w:name="page29"/>
    <w:bookmarkEnd w:id="28"/>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8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200"/>
          </w:cols>
          <w:pgMar w:left="320" w:top="153" w:right="37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60"/>
        <w:spacing w:after="0" w:line="302" w:lineRule="auto"/>
        <w:rPr>
          <w:sz w:val="20"/>
          <w:szCs w:val="20"/>
          <w:color w:val="auto"/>
        </w:rPr>
      </w:pPr>
      <w:r>
        <w:rPr>
          <w:sz w:val="1"/>
          <w:szCs w:val="1"/>
          <w:color w:val="auto"/>
        </w:rPr>
        <w:drawing>
          <wp:inline distT="0" distB="0" distL="0" distR="0">
            <wp:extent cx="137160" cy="1371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20"/>
          </w:cols>
          <w:pgMar w:left="320" w:top="153" w:right="37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2031-11-21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00"/>
          </w:cols>
          <w:pgMar w:left="320" w:top="153" w:right="37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ind w:right="20"/>
        <w:spacing w:after="0" w:line="391" w:lineRule="auto"/>
        <w:rPr>
          <w:sz w:val="20"/>
          <w:szCs w:val="20"/>
          <w:color w:val="auto"/>
        </w:rPr>
      </w:pPr>
      <w:r>
        <w:rPr>
          <w:rFonts w:ascii="Times New Roman" w:cs="Times New Roman" w:eastAsia="Times New Roman" w:hAnsi="Times New Roman"/>
          <w:sz w:val="18"/>
          <w:szCs w:val="18"/>
          <w:color w:val="auto"/>
        </w:rPr>
        <w:t xml:space="preserve">13.59996000 </w:t>
      </w:r>
      <w:r>
        <w:rPr>
          <w:sz w:val="1"/>
          <w:szCs w:val="1"/>
          <w:color w:val="auto"/>
        </w:rPr>
        <w:drawing>
          <wp:inline distT="0" distB="0" distL="0" distR="0">
            <wp:extent cx="137160" cy="13716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80"/>
          </w:cols>
          <w:pgMar w:left="320" w:top="153" w:right="379" w:bottom="0" w:gutter="0" w:footer="0" w:header="0"/>
          <w:type w:val="continuous"/>
        </w:sectPr>
      </w:pPr>
    </w:p>
    <w:bookmarkStart w:id="29" w:name="page30"/>
    <w:bookmarkEnd w:id="29"/>
    <w:p>
      <w:pPr>
        <w:jc w:val="both"/>
        <w:ind w:right="300" w:firstLine="8"/>
        <w:spacing w:after="0" w:line="238" w:lineRule="auto"/>
        <w:tabs>
          <w:tab w:leader="none" w:pos="28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1 -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AMFI5DAC1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10000000.00000000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10118603.89000000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6.333637959465</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0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GERMANY</w:t>
      </w:r>
    </w:p>
    <w:p>
      <w:pPr>
        <w:sectPr>
          <w:pgSz w:w="11900" w:h="16838" w:orient="portrait"/>
          <w:cols w:equalWidth="0" w:num="1">
            <w:col w:w="11200"/>
          </w:cols>
          <w:pgMar w:left="320" w:top="88" w:right="379" w:bottom="0" w:gutter="0" w:footer="0" w:header="0"/>
          <w:type w:val="continuous"/>
        </w:sectPr>
      </w:pPr>
    </w:p>
    <w:bookmarkStart w:id="31" w:name="page32"/>
    <w:bookmarkEnd w:id="31"/>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2031-06-30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11.84143000 </w:t>
      </w:r>
      <w:r>
        <w:rPr>
          <w:sz w:val="1"/>
          <w:szCs w:val="1"/>
          <w:color w:val="auto"/>
        </w:rPr>
        <w:drawing>
          <wp:inline distT="0" distB="0" distL="0" distR="0">
            <wp:extent cx="137160" cy="13716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32" w:name="page33"/>
    <w:bookmarkEnd w:id="32"/>
    <w:p>
      <w:pPr>
        <w:jc w:val="both"/>
        <w:ind w:right="300" w:firstLine="8"/>
        <w:spacing w:after="0" w:line="238" w:lineRule="auto"/>
        <w:tabs>
          <w:tab w:leader="none" w:pos="28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AMFI3DAC1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1963800.00000000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1.229220785793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34" w:name="page35"/>
    <w:bookmarkEnd w:id="34"/>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2039-09-30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14.02658000 </w:t>
      </w:r>
      <w:r>
        <w:rPr>
          <w:sz w:val="1"/>
          <w:szCs w:val="1"/>
          <w:color w:val="auto"/>
        </w:rPr>
        <w:drawing>
          <wp:inline distT="0" distB="0" distL="0" distR="0">
            <wp:extent cx="137160" cy="137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35" w:name="page36"/>
    <w:bookmarkEnd w:id="35"/>
    <w:p>
      <w:pPr>
        <w:jc w:val="both"/>
        <w:ind w:right="300" w:firstLine="8"/>
        <w:spacing w:after="0" w:line="238" w:lineRule="auto"/>
        <w:tabs>
          <w:tab w:leader="none" w:pos="2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XS2911017809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2532000.00000000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1.584879839916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37" w:name="page38"/>
    <w:bookmarkEnd w:id="37"/>
    <w:p>
      <w:pPr>
        <w:ind w:left="40" w:right="1880"/>
        <w:spacing w:after="0" w:line="258"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2030-10-10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None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12.87096000 </w:t>
      </w:r>
      <w:r>
        <w:rPr>
          <w:sz w:val="1"/>
          <w:szCs w:val="1"/>
          <w:color w:val="auto"/>
        </w:rPr>
        <w:drawing>
          <wp:inline distT="0" distB="0" distL="0" distR="0">
            <wp:extent cx="137160" cy="137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38" w:name="page39"/>
    <w:bookmarkEnd w:id="38"/>
    <w:p>
      <w:pPr>
        <w:jc w:val="both"/>
        <w:ind w:right="300" w:firstLine="8"/>
        <w:spacing w:after="0" w:line="238" w:lineRule="auto"/>
        <w:tabs>
          <w:tab w:leader="none" w:pos="28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39" w:name="page40"/>
    <w:bookmarkEnd w:id="39"/>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49"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XS2418797986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Mespil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49"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49"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2583115.01000000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1909955.24000000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1.195517201824</w:t>
      </w:r>
    </w:p>
    <w:p>
      <w:pPr>
        <w:spacing w:after="0" w:line="211" w:lineRule="exact"/>
        <w:rPr>
          <w:sz w:val="20"/>
          <w:szCs w:val="20"/>
          <w:color w:val="auto"/>
        </w:rPr>
      </w:pPr>
    </w:p>
    <w:p>
      <w:pPr>
        <w:sectPr>
          <w:pgSz w:w="11900" w:h="16849"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49"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49"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IRELAND</w:t>
            </w:r>
          </w:p>
        </w:tc>
        <w:tc>
          <w:tcPr>
            <w:tcW w:w="0" w:type="dxa"/>
            <w:vAlign w:val="bottom"/>
          </w:tcPr>
          <w:p>
            <w:pPr>
              <w:spacing w:after="0"/>
              <w:rPr>
                <w:sz w:val="1"/>
                <w:szCs w:val="1"/>
                <w:color w:val="auto"/>
              </w:rPr>
            </w:pPr>
          </w:p>
        </w:tc>
      </w:tr>
      <w:tr>
        <w:trPr>
          <w:trHeight w:val="122"/>
        </w:trPr>
        <w:tc>
          <w:tcPr>
            <w:tcW w:w="101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00"/>
          </w:cols>
          <w:pgMar w:left="320" w:top="88" w:right="379"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2031-12-08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14.34086000 </w:t>
      </w:r>
      <w:r>
        <w:rPr>
          <w:sz w:val="1"/>
          <w:szCs w:val="1"/>
          <w:color w:val="auto"/>
        </w:rPr>
        <w:drawing>
          <wp:inline distT="0" distB="0" distL="0" distR="0">
            <wp:extent cx="137160" cy="1371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41" w:name="page42"/>
    <w:bookmarkEnd w:id="41"/>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XS2392906397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4119955.46000000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4082669.86000000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2.555505985051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right="1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collateralized</w:t>
      </w:r>
    </w:p>
    <w:p>
      <w:pPr>
        <w:spacing w:after="0" w:line="231" w:lineRule="auto"/>
        <w:rPr>
          <w:sz w:val="20"/>
          <w:szCs w:val="20"/>
          <w:color w:val="auto"/>
        </w:rPr>
      </w:pPr>
      <w:r>
        <w:rPr>
          <w:rFonts w:ascii="Times New Roman" w:cs="Times New Roman" w:eastAsia="Times New Roman" w:hAnsi="Times New Roman"/>
          <w:sz w:val="22"/>
          <w:szCs w:val="22"/>
          <w:color w:val="auto"/>
        </w:rPr>
        <w:t>bond/debt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obligation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369" w:lineRule="exact"/>
        <w:rPr>
          <w:sz w:val="20"/>
          <w:szCs w:val="20"/>
          <w:color w:val="auto"/>
        </w:rPr>
      </w:pPr>
    </w:p>
    <w:p>
      <w:pPr>
        <w:sectPr>
          <w:pgSz w:w="11900" w:h="16838" w:orient="portrait"/>
          <w:cols w:equalWidth="0" w:num="2">
            <w:col w:w="9960" w:space="60"/>
            <w:col w:w="118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43" w:name="page44"/>
    <w:bookmarkEnd w:id="43"/>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2029-09-25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12.26344000 </w:t>
      </w:r>
      <w:r>
        <w:rPr>
          <w:sz w:val="1"/>
          <w:szCs w:val="1"/>
          <w:color w:val="auto"/>
        </w:rPr>
        <w:drawing>
          <wp:inline distT="0" distB="0" distL="0" distR="0">
            <wp:extent cx="137160" cy="13716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44" w:name="page45"/>
    <w:bookmarkEnd w:id="44"/>
    <w:p>
      <w:pPr>
        <w:jc w:val="both"/>
        <w:ind w:right="300" w:firstLine="8"/>
        <w:spacing w:after="0" w:line="238" w:lineRule="auto"/>
        <w:tabs>
          <w:tab w:leader="none" w:pos="28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1331912.42000000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1571550.43000000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0.983696127140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46" w:name="page47"/>
    <w:bookmarkEnd w:id="4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2033-06-30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8.94200000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47" w:name="page48"/>
    <w:bookmarkEnd w:id="47"/>
    <w:p>
      <w:pPr>
        <w:jc w:val="both"/>
        <w:ind w:right="300" w:firstLine="8"/>
        <w:spacing w:after="0" w:line="238" w:lineRule="auto"/>
        <w:tabs>
          <w:tab w:leader="none" w:pos="28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XS2733453299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1 -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273345329</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836043.75300000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837716.53000000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0.524360205356</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49" w:name="page50"/>
    <w:bookmarkEnd w:id="49"/>
    <w:p>
      <w:pPr>
        <w:ind w:left="40" w:right="3060"/>
        <w:spacing w:after="0" w:line="259"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None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11.58997000 </w:t>
      </w:r>
      <w:r>
        <w:rPr>
          <w:sz w:val="1"/>
          <w:szCs w:val="1"/>
          <w:color w:val="auto"/>
        </w:rPr>
        <w:drawing>
          <wp:inline distT="0" distB="0" distL="0" distR="0">
            <wp:extent cx="137160" cy="13716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50" w:name="page51"/>
    <w:bookmarkEnd w:id="50"/>
    <w:p>
      <w:pPr>
        <w:jc w:val="both"/>
        <w:ind w:right="300" w:firstLine="8"/>
        <w:spacing w:after="0" w:line="238" w:lineRule="auto"/>
        <w:tabs>
          <w:tab w:leader="none" w:pos="28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BCC2QDAB4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4590912.96000000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4865036.60000000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3.045220548103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52" w:name="page53"/>
    <w:bookmarkEnd w:id="52"/>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2029-01-15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17.00366000 </w:t>
      </w:r>
      <w:r>
        <w:rPr>
          <w:sz w:val="1"/>
          <w:szCs w:val="1"/>
          <w:color w:val="auto"/>
        </w:rPr>
        <w:drawing>
          <wp:inline distT="0" distB="0" distL="0" distR="0">
            <wp:extent cx="137160" cy="13716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53" w:name="page54"/>
    <w:bookmarkEnd w:id="53"/>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Muskoka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Guarantee Linked Note</w:t>
      </w:r>
    </w:p>
    <w:p>
      <w:pPr>
        <w:spacing w:after="0" w:line="1" w:lineRule="exact"/>
        <w:rPr>
          <w:sz w:val="20"/>
          <w:szCs w:val="20"/>
          <w:color w:val="auto"/>
        </w:rPr>
      </w:pPr>
    </w:p>
    <w:p>
      <w:pPr>
        <w:sectPr>
          <w:pgSz w:w="11900" w:h="16838"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254144088</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XS2541440884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15437.89289600 Principal amount</w:t>
      </w:r>
    </w:p>
    <w:p>
      <w:pPr>
        <w:spacing w:after="0" w:line="200" w:lineRule="exact"/>
        <w:rPr>
          <w:sz w:val="20"/>
          <w:szCs w:val="20"/>
          <w:color w:val="auto"/>
        </w:rPr>
      </w:pPr>
    </w:p>
    <w:p>
      <w:pPr>
        <w:spacing w:after="0" w:line="260"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13894.10000000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0.008696871636</w:t>
      </w:r>
    </w:p>
    <w:p>
      <w:pPr>
        <w:spacing w:after="0" w:line="211" w:lineRule="exact"/>
        <w:rPr>
          <w:sz w:val="20"/>
          <w:szCs w:val="20"/>
          <w:color w:val="auto"/>
        </w:rPr>
      </w:pPr>
    </w:p>
    <w:p>
      <w:pPr>
        <w:sectPr>
          <w:pgSz w:w="11900" w:h="16838" w:orient="portrait"/>
          <w:cols w:equalWidth="0" w:num="2">
            <w:col w:w="9520" w:space="160"/>
            <w:col w:w="15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8"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ectPr>
          <w:pgSz w:w="11900" w:h="16838" w:orient="portrait"/>
          <w:cols w:equalWidth="0" w:num="1">
            <w:col w:w="11200"/>
          </w:cols>
          <w:pgMar w:left="320" w:top="88" w:right="379" w:bottom="0" w:gutter="0" w:footer="0" w:header="0"/>
          <w:type w:val="continuous"/>
        </w:sectPr>
      </w:pPr>
    </w:p>
    <w:bookmarkStart w:id="55" w:name="page56"/>
    <w:bookmarkEnd w:id="55"/>
    <w:p>
      <w:pPr>
        <w:ind w:left="40" w:right="152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2027-11-10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0" w:gutter="0" w:footer="0" w:header="0"/>
          <w:type w:val="continuous"/>
        </w:sectPr>
      </w:pPr>
    </w:p>
    <w:bookmarkStart w:id="56" w:name="page57"/>
    <w:bookmarkEnd w:id="56"/>
    <w:p>
      <w:pPr>
        <w:jc w:val="both"/>
        <w:ind w:right="300" w:firstLine="8"/>
        <w:spacing w:after="0" w:line="238" w:lineRule="auto"/>
        <w:tabs>
          <w:tab w:leader="none" w:pos="28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XS2951574883</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4 - Series 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1594850.88000000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1879727.31000000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1.176596334186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left="40" w:right="50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38" w:orient="portrait"/>
          <w:cols w:equalWidth="0" w:num="1">
            <w:col w:w="11200"/>
          </w:cols>
          <w:pgMar w:left="320" w:top="88" w:right="379"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2039-11-28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8.51600000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5 -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AMFI4DAC3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3004200.00000000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1.880448663143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CANADA</w:t>
      </w:r>
    </w:p>
    <w:p>
      <w:pPr>
        <w:sectPr>
          <w:pgSz w:w="11900" w:h="16838" w:orient="portrait"/>
          <w:cols w:equalWidth="0" w:num="1">
            <w:col w:w="11200"/>
          </w:cols>
          <w:pgMar w:left="320" w:top="88" w:right="379" w:bottom="0" w:gutter="0" w:footer="0" w:header="0"/>
          <w:type w:val="continuous"/>
        </w:sectPr>
      </w:pPr>
    </w:p>
    <w:bookmarkStart w:id="61" w:name="page62"/>
    <w:bookmarkEnd w:id="61"/>
    <w:p>
      <w:pPr>
        <w:ind w:left="9760"/>
        <w:spacing w:after="0"/>
        <w:rPr>
          <w:sz w:val="20"/>
          <w:szCs w:val="20"/>
          <w:color w:val="auto"/>
        </w:rPr>
      </w:pPr>
      <w:r>
        <w:rPr>
          <w:rFonts w:ascii="Times New Roman" w:cs="Times New Roman" w:eastAsia="Times New Roman" w:hAnsi="Times New Roman"/>
          <w:sz w:val="22"/>
          <w:szCs w:val="22"/>
          <w:color w:val="auto"/>
        </w:rPr>
        <w:t>(FEDERAL</w:t>
      </w:r>
    </w:p>
    <w:p>
      <w:pPr>
        <w:spacing w:after="0" w:line="15"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LEVEL)</w:t>
      </w:r>
    </w:p>
    <w:p>
      <w:pPr>
        <w:spacing w:after="0" w:line="20" w:lineRule="exact"/>
        <w:rPr>
          <w:sz w:val="20"/>
          <w:szCs w:val="20"/>
          <w:color w:val="auto"/>
        </w:rPr>
      </w:pPr>
    </w:p>
    <w:p>
      <w:pPr>
        <w:ind w:left="40" w:right="152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2034-10-21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10.84570000 </w:t>
      </w:r>
      <w:r>
        <w:rPr>
          <w:sz w:val="1"/>
          <w:szCs w:val="1"/>
          <w:color w:val="auto"/>
        </w:rPr>
        <w:drawing>
          <wp:inline distT="0" distB="0" distL="0" distR="0">
            <wp:extent cx="137160" cy="13716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62" w:name="page63"/>
    <w:bookmarkEnd w:id="62"/>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XS2395300440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1VUV7VQFKUOQSJ21A208</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2079483.72420000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2498557.33000000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1.563946738228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Issuer type (corporate, U.S. Treasury, U.S. government agency, U.S. government sponsored entity, municipal, non-</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6"/>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12.51700000 </w:t>
      </w:r>
      <w:r>
        <w:rPr>
          <w:sz w:val="1"/>
          <w:szCs w:val="1"/>
          <w:color w:val="auto"/>
        </w:rPr>
        <w:drawing>
          <wp:inline distT="0" distB="0" distL="0" distR="0">
            <wp:extent cx="137160" cy="13716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65" w:name="page66"/>
    <w:bookmarkEnd w:id="6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F.N.B.C of La Grange, Inc.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Subordinated Term Loan</w:t>
      </w:r>
    </w:p>
    <w:p>
      <w:pPr>
        <w:spacing w:after="0" w:line="1" w:lineRule="exact"/>
        <w:rPr>
          <w:sz w:val="20"/>
          <w:szCs w:val="20"/>
          <w:color w:val="auto"/>
        </w:rPr>
      </w:pPr>
    </w:p>
    <w:p>
      <w:pPr>
        <w:sectPr>
          <w:pgSz w:w="11900" w:h="16838" w:orient="portrait"/>
          <w:cols w:equalWidth="0" w:num="2">
            <w:col w:w="9000" w:space="60"/>
            <w:col w:w="214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30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ectPr>
          <w:pgSz w:w="11900" w:h="16838" w:orient="portrait"/>
          <w:cols w:equalWidth="0" w:num="1">
            <w:col w:w="11200"/>
          </w:cols>
          <w:pgMar w:left="320" w:top="88" w:right="379" w:bottom="0" w:gutter="0" w:footer="0" w:header="0"/>
          <w:type w:val="continuous"/>
        </w:sectPr>
      </w:pPr>
    </w:p>
    <w:p>
      <w:pPr>
        <w:spacing w:after="0" w:line="3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FNBCLAGRANGEINC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700000.00000000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612500.00000000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0.383388191923</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67" w:name="page68"/>
    <w:bookmarkEnd w:id="67"/>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2030-01-01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6.37500000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0" w:gutter="0" w:footer="0" w:header="0"/>
          <w:type w:val="continuous"/>
        </w:sectPr>
      </w:pPr>
    </w:p>
    <w:bookmarkStart w:id="68" w:name="page69"/>
    <w:bookmarkEnd w:id="68"/>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53"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53"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21"/>
          <w:szCs w:val="21"/>
          <w:color w:val="auto"/>
        </w:rPr>
        <w:t>Future Ready Chakra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598" w:lineRule="exact"/>
        <w:rPr>
          <w:sz w:val="20"/>
          <w:szCs w:val="20"/>
          <w:color w:val="auto"/>
        </w:rPr>
      </w:pPr>
    </w:p>
    <w:p>
      <w:pPr>
        <w:sectPr>
          <w:pgSz w:w="11900" w:h="16838" w:orient="portrait"/>
          <w:cols w:equalWidth="0" w:num="2">
            <w:col w:w="9240" w:space="200"/>
            <w:col w:w="1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BCC33JJ09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4583333.34000000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4616104.17000000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2.889403806472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70" w:name="page71"/>
    <w:bookmarkEnd w:id="70"/>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2029-12-15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12.37309000 </w:t>
      </w:r>
      <w:r>
        <w:rPr>
          <w:sz w:val="1"/>
          <w:szCs w:val="1"/>
          <w:color w:val="auto"/>
        </w:rPr>
        <w:drawing>
          <wp:inline distT="0" distB="0" distL="0" distR="0">
            <wp:extent cx="137160" cy="13716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71" w:name="page72"/>
    <w:bookmarkEnd w:id="71"/>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XS1527138355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20"/>
        <w:spacing w:after="0" w:line="335" w:lineRule="auto"/>
        <w:rPr>
          <w:sz w:val="20"/>
          <w:szCs w:val="20"/>
          <w:color w:val="auto"/>
        </w:rPr>
      </w:pPr>
      <w:r>
        <w:rPr>
          <w:rFonts w:ascii="Times New Roman" w:cs="Times New Roman" w:eastAsia="Times New Roman" w:hAnsi="Times New Roman"/>
          <w:sz w:val="21"/>
          <w:szCs w:val="21"/>
          <w:color w:val="auto"/>
        </w:rPr>
        <w:t>40924.71000000 Principal amount</w:t>
      </w:r>
    </w:p>
    <w:p>
      <w:pPr>
        <w:spacing w:after="0" w:line="21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United Kingdom Pound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48159.69000000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0.74354970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0.030145071792</w:t>
      </w:r>
    </w:p>
    <w:p>
      <w:pPr>
        <w:spacing w:after="0" w:line="211" w:lineRule="exact"/>
        <w:rPr>
          <w:sz w:val="20"/>
          <w:szCs w:val="20"/>
          <w:color w:val="auto"/>
        </w:rPr>
      </w:pPr>
    </w:p>
    <w:p>
      <w:pPr>
        <w:sectPr>
          <w:pgSz w:w="11900" w:h="16838" w:orient="portrait"/>
          <w:cols w:equalWidth="0" w:num="2">
            <w:col w:w="9520" w:space="80"/>
            <w:col w:w="160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73" w:name="page74"/>
    <w:bookmarkEnd w:id="73"/>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2026-12-16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12.07000000 </w:t>
      </w:r>
      <w:r>
        <w:rPr>
          <w:sz w:val="1"/>
          <w:szCs w:val="1"/>
          <w:color w:val="auto"/>
        </w:rPr>
        <w:drawing>
          <wp:inline distT="0" distB="0" distL="0" distR="0">
            <wp:extent cx="137160" cy="137160"/>
            <wp:effectExtent l="0" t="0" r="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0" w:gutter="0" w:footer="0" w:header="0"/>
          <w:type w:val="continuous"/>
        </w:sectPr>
      </w:pPr>
    </w:p>
    <w:bookmarkStart w:id="74" w:name="page75"/>
    <w:bookmarkEnd w:id="74"/>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Community Funding 2018, LLC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1020"/>
        <w:spacing w:after="0" w:line="335" w:lineRule="auto"/>
        <w:rPr>
          <w:sz w:val="20"/>
          <w:szCs w:val="20"/>
          <w:color w:val="auto"/>
        </w:rPr>
      </w:pPr>
      <w:r>
        <w:rPr>
          <w:rFonts w:ascii="Times New Roman" w:cs="Times New Roman" w:eastAsia="Times New Roman" w:hAnsi="Times New Roman"/>
          <w:sz w:val="21"/>
          <w:szCs w:val="21"/>
          <w:color w:val="auto"/>
        </w:rPr>
        <w:t>Preferred Shares 000000000</w:t>
      </w:r>
    </w:p>
    <w:p>
      <w:pPr>
        <w:spacing w:after="0" w:line="575" w:lineRule="exact"/>
        <w:rPr>
          <w:sz w:val="20"/>
          <w:szCs w:val="20"/>
          <w:color w:val="auto"/>
        </w:rPr>
      </w:pPr>
    </w:p>
    <w:p>
      <w:pPr>
        <w:sectPr>
          <w:pgSz w:w="11900" w:h="16838" w:orient="portrait"/>
          <w:cols w:equalWidth="0" w:num="2">
            <w:col w:w="8600" w:space="140"/>
            <w:col w:w="24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COMFUND18LLC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14860000.00000000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11568510.00000000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7.241192052479</w:t>
      </w:r>
    </w:p>
    <w:p>
      <w:pPr>
        <w:spacing w:after="0" w:line="200" w:lineRule="exact"/>
        <w:rPr>
          <w:sz w:val="20"/>
          <w:szCs w:val="20"/>
          <w:color w:val="auto"/>
        </w:rPr>
      </w:pPr>
    </w:p>
    <w:p>
      <w:pPr>
        <w:sectPr>
          <w:pgSz w:w="11900" w:h="16838" w:orient="portrait"/>
          <w:cols w:equalWidth="0" w:num="2">
            <w:col w:w="9200" w:space="160"/>
            <w:col w:w="18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76" w:name="page77"/>
    <w:bookmarkEnd w:id="76"/>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2028-07-15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8.50000000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46" w:gutter="0" w:footer="0" w:header="0"/>
          <w:type w:val="continuous"/>
        </w:sectPr>
      </w:pPr>
    </w:p>
    <w:bookmarkStart w:id="77" w:name="page78"/>
    <w:bookmarkEnd w:id="77"/>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XS2509999418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Manitoulin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2788758.26700000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2628537.46000000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1.645306488475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79" w:name="page80"/>
    <w:bookmarkEnd w:id="79"/>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2027-11-01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None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13.84940000 </w:t>
      </w:r>
      <w:r>
        <w:rPr>
          <w:sz w:val="1"/>
          <w:szCs w:val="1"/>
          <w:color w:val="auto"/>
        </w:rPr>
        <w:drawing>
          <wp:inline distT="0" distB="0" distL="0" distR="0">
            <wp:extent cx="137160" cy="137160"/>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80" w:name="page81"/>
    <w:bookmarkEnd w:id="80"/>
    <w:p>
      <w:pPr>
        <w:jc w:val="both"/>
        <w:ind w:right="300" w:firstLine="8"/>
        <w:spacing w:after="0" w:line="238" w:lineRule="auto"/>
        <w:tabs>
          <w:tab w:leader="none" w:pos="28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XS2395312023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Cedar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1VUV7VQFKUOQSJ21A208</w:t>
      </w:r>
    </w:p>
    <w:p>
      <w:pPr>
        <w:spacing w:after="0" w:line="177" w:lineRule="exact"/>
        <w:rPr>
          <w:sz w:val="20"/>
          <w:szCs w:val="20"/>
          <w:color w:val="auto"/>
        </w:rPr>
      </w:pPr>
    </w:p>
    <w:p>
      <w:pPr>
        <w:ind w:right="10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957" w:lineRule="exact"/>
        <w:rPr>
          <w:sz w:val="20"/>
          <w:szCs w:val="20"/>
          <w:color w:val="auto"/>
        </w:rPr>
      </w:pPr>
    </w:p>
    <w:p>
      <w:pPr>
        <w:sectPr>
          <w:pgSz w:w="11900" w:h="16838" w:orient="portrait"/>
          <w:cols w:equalWidth="0" w:num="2">
            <w:col w:w="8300" w:space="200"/>
            <w:col w:w="27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2612639.04000000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3193646.30000000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1.999030662201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4"/>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2030-03-30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13.01700000 </w:t>
      </w:r>
      <w:r>
        <w:rPr>
          <w:sz w:val="1"/>
          <w:szCs w:val="1"/>
          <w:color w:val="auto"/>
        </w:rPr>
        <w:drawing>
          <wp:inline distT="0" distB="0" distL="0" distR="0">
            <wp:extent cx="137160" cy="13716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83" w:name="page84"/>
    <w:bookmarkEnd w:id="83"/>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84" w:name="page85"/>
    <w:bookmarkEnd w:id="84"/>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70"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US BANCORP 5493000F4ZO33MV32P92</w:t>
      </w:r>
    </w:p>
    <w:p>
      <w:pPr>
        <w:spacing w:after="0" w:line="2" w:lineRule="exact"/>
        <w:rPr>
          <w:sz w:val="20"/>
          <w:szCs w:val="20"/>
          <w:color w:val="auto"/>
        </w:rPr>
      </w:pPr>
    </w:p>
    <w:p>
      <w:pPr>
        <w:ind w:right="640"/>
        <w:spacing w:after="0" w:line="309" w:lineRule="auto"/>
        <w:rPr>
          <w:sz w:val="20"/>
          <w:szCs w:val="20"/>
          <w:color w:val="auto"/>
        </w:rPr>
      </w:pPr>
      <w:r>
        <w:rPr>
          <w:rFonts w:ascii="Times New Roman" w:cs="Times New Roman" w:eastAsia="Times New Roman" w:hAnsi="Times New Roman"/>
          <w:sz w:val="22"/>
          <w:szCs w:val="22"/>
          <w:color w:val="auto"/>
        </w:rPr>
        <w:t>Call Options Written 000000000</w:t>
      </w:r>
    </w:p>
    <w:p>
      <w:pPr>
        <w:spacing w:after="0" w:line="598" w:lineRule="exact"/>
        <w:rPr>
          <w:sz w:val="20"/>
          <w:szCs w:val="20"/>
          <w:color w:val="auto"/>
        </w:rPr>
      </w:pPr>
    </w:p>
    <w:p>
      <w:pPr>
        <w:sectPr>
          <w:pgSz w:w="11900" w:h="16870" w:orient="portrait"/>
          <w:cols w:equalWidth="0" w:num="2">
            <w:col w:w="8600" w:space="160"/>
            <w:col w:w="2440"/>
          </w:cols>
          <w:pgMar w:left="320" w:top="88" w:right="379" w:bottom="0" w:gutter="0" w:footer="0" w:header="0"/>
          <w:type w:val="continuous"/>
        </w:sectPr>
      </w:pPr>
    </w:p>
    <w:p>
      <w:pPr>
        <w:spacing w:after="0" w:line="47"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1"/>
          <w:szCs w:val="21"/>
          <w:color w:val="auto"/>
        </w:rPr>
        <w:t>Identifier.</w:t>
      </w:r>
      <w:r>
        <w:rPr>
          <w:sz w:val="20"/>
          <w:szCs w:val="20"/>
          <w:color w:val="auto"/>
        </w:rPr>
        <w:tab/>
      </w:r>
      <w:r>
        <w:rPr>
          <w:rFonts w:ascii="Times New Roman" w:cs="Times New Roman" w:eastAsia="Times New Roman" w:hAnsi="Times New Roman"/>
          <w:sz w:val="21"/>
          <w:szCs w:val="21"/>
          <w:color w:val="auto"/>
        </w:rPr>
        <w:t>Ticker (if ISIN is not available)</w:t>
      </w:r>
    </w:p>
    <w:p>
      <w:pPr>
        <w:sectPr>
          <w:pgSz w:w="11900" w:h="16870" w:orient="portrait"/>
          <w:cols w:equalWidth="0" w:num="1">
            <w:col w:w="11200"/>
          </w:cols>
          <w:pgMar w:left="320" w:top="88" w:right="379" w:bottom="0" w:gutter="0" w:footer="0" w:header="0"/>
          <w:type w:val="continuous"/>
        </w:sectPr>
      </w:pPr>
    </w:p>
    <w:p>
      <w:pPr>
        <w:spacing w:after="0" w:line="56" w:lineRule="exact"/>
        <w:rPr>
          <w:sz w:val="20"/>
          <w:szCs w:val="20"/>
          <w:color w:val="auto"/>
        </w:rPr>
      </w:pPr>
    </w:p>
    <w:p>
      <w:pPr>
        <w:ind w:left="40" w:right="1240"/>
        <w:spacing w:after="0" w:line="409" w:lineRule="auto"/>
        <w:rPr>
          <w:sz w:val="20"/>
          <w:szCs w:val="20"/>
          <w:color w:val="auto"/>
        </w:rPr>
      </w:pPr>
      <w:r>
        <w:rPr>
          <w:rFonts w:ascii="Times New Roman" w:cs="Times New Roman" w:eastAsia="Times New Roman" w:hAnsi="Times New Roman"/>
          <w:sz w:val="22"/>
          <w:szCs w:val="22"/>
          <w:color w:val="auto"/>
        </w:rPr>
        <w:t>Ticker (if ISIN is not available). USB 1 C37.5 Identifier.</w:t>
      </w:r>
    </w:p>
    <w:p>
      <w:pPr>
        <w:spacing w:after="0" w:line="2"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BBG01PSHDNV6</w:t>
      </w:r>
    </w:p>
    <w:p>
      <w:pPr>
        <w:spacing w:after="0" w:line="166"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Description of other unique identifier.</w:t>
      </w:r>
      <w:r>
        <w:rPr>
          <w:sz w:val="20"/>
          <w:szCs w:val="20"/>
          <w:color w:val="auto"/>
        </w:rPr>
        <w:tab/>
      </w:r>
      <w:r>
        <w:rPr>
          <w:rFonts w:ascii="Times New Roman" w:cs="Times New Roman" w:eastAsia="Times New Roman" w:hAnsi="Times New Roman"/>
          <w:sz w:val="21"/>
          <w:szCs w:val="21"/>
          <w:color w:val="auto"/>
        </w:rPr>
        <w:t>ID_BB_GLOBAL</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
        <w:spacing w:after="0" w:line="335" w:lineRule="auto"/>
        <w:rPr>
          <w:sz w:val="20"/>
          <w:szCs w:val="20"/>
          <w:color w:val="auto"/>
        </w:rPr>
      </w:pPr>
      <w:r>
        <w:rPr>
          <w:rFonts w:ascii="Times New Roman" w:cs="Times New Roman" w:eastAsia="Times New Roman" w:hAnsi="Times New Roman"/>
          <w:sz w:val="21"/>
          <w:szCs w:val="21"/>
          <w:color w:val="auto"/>
        </w:rPr>
        <w:t>-1101.00000000 Number of contracts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United States Dollar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-1381755.00000000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-0.86489559368</w:t>
      </w:r>
    </w:p>
    <w:p>
      <w:pPr>
        <w:spacing w:after="0" w:line="200" w:lineRule="exact"/>
        <w:rPr>
          <w:sz w:val="20"/>
          <w:szCs w:val="20"/>
          <w:color w:val="auto"/>
        </w:rPr>
      </w:pPr>
    </w:p>
    <w:p>
      <w:pPr>
        <w:sectPr>
          <w:pgSz w:w="11900" w:h="16870" w:orient="portrait"/>
          <w:cols w:equalWidth="0" w:num="2">
            <w:col w:w="9200" w:space="200"/>
            <w:col w:w="180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14" w:lineRule="exact"/>
        <w:rPr>
          <w:sz w:val="20"/>
          <w:szCs w:val="20"/>
          <w:color w:val="auto"/>
        </w:rPr>
      </w:pPr>
    </w:p>
    <w:p>
      <w:pPr>
        <w:ind w:left="40"/>
        <w:spacing w:after="0" w:line="181" w:lineRule="auto"/>
        <w:rPr>
          <w:sz w:val="20"/>
          <w:szCs w:val="20"/>
          <w:color w:val="auto"/>
        </w:rPr>
      </w:pPr>
      <w:r>
        <w:rPr>
          <w:rFonts w:ascii="Times New Roman" w:cs="Times New Roman" w:eastAsia="Times New Roman" w:hAnsi="Times New Roman"/>
          <w:sz w:val="16"/>
          <w:szCs w:val="16"/>
          <w:color w:val="auto"/>
        </w:rPr>
        <w:t xml:space="preserve">vehicle), repurchase agreement, equity-common, equity-preferred, debt, derivative-commodity, derivative-credit, </w:t>
      </w:r>
      <w:r>
        <w:rPr>
          <w:rFonts w:ascii="Times New Roman" w:cs="Times New Roman" w:eastAsia="Times New Roman" w:hAnsi="Times New Roman"/>
          <w:sz w:val="28"/>
          <w:szCs w:val="28"/>
          <w:color w:val="auto"/>
          <w:vertAlign w:val="subscript"/>
        </w:rPr>
        <w:t>Derivative-</w:t>
      </w:r>
      <w:r>
        <w:rPr>
          <w:rFonts w:ascii="Times New Roman" w:cs="Times New Roman" w:eastAsia="Times New Roman" w:hAnsi="Times New Roman"/>
          <w:sz w:val="16"/>
          <w:szCs w:val="16"/>
          <w:color w:val="auto"/>
        </w:rPr>
        <w:t xml:space="preserve">derivative-equity, derivative-foreign exchange, derivative-interest rate, derivatives-other, structured note, loan, ABS- </w:t>
      </w:r>
      <w:r>
        <w:rPr>
          <w:rFonts w:ascii="Times New Roman" w:cs="Times New Roman" w:eastAsia="Times New Roman" w:hAnsi="Times New Roman"/>
          <w:sz w:val="28"/>
          <w:szCs w:val="28"/>
          <w:color w:val="auto"/>
          <w:vertAlign w:val="subscript"/>
        </w:rPr>
        <w:t>equity</w:t>
      </w:r>
    </w:p>
    <w:p>
      <w:pPr>
        <w:ind w:left="40" w:right="1460"/>
        <w:spacing w:after="0" w:line="237" w:lineRule="auto"/>
        <w:rPr>
          <w:sz w:val="20"/>
          <w:szCs w:val="20"/>
          <w:color w:val="auto"/>
        </w:rPr>
      </w:pPr>
      <w:r>
        <w:rPr>
          <w:rFonts w:ascii="Times New Roman" w:cs="Times New Roman" w:eastAsia="Times New Roman" w:hAnsi="Times New Roman"/>
          <w:sz w:val="22"/>
          <w:szCs w:val="22"/>
          <w:color w:val="auto"/>
        </w:rPr>
        <w:t>mortgage backed security, ABS-asset backed commercial paper, ABS-collateralized bond/debt obligation, ABS-other, commodity, real estate, other). If “other,” provide a brief description.</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60" w:type="dxa"/>
            <w:vAlign w:val="bottom"/>
          </w:tcPr>
          <w:p>
            <w:pPr>
              <w:spacing w:after="0"/>
              <w:rPr>
                <w:sz w:val="20"/>
                <w:szCs w:val="20"/>
                <w:color w:val="auto"/>
              </w:rPr>
            </w:pPr>
            <w:r>
              <w:rPr>
                <w:rFonts w:ascii="Times New Roman" w:cs="Times New Roman" w:eastAsia="Times New Roman" w:hAnsi="Times New Roman"/>
                <w:sz w:val="22"/>
                <w:szCs w:val="22"/>
                <w:color w:val="auto"/>
                <w:w w:val="98"/>
              </w:rPr>
              <w:t>Issuer type (corporate, U.S. Treasury, U.S. government agency, U.S. government sponsored entity, municipal, non-</w:t>
            </w: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161"/>
        </w:trPr>
        <w:tc>
          <w:tcPr>
            <w:tcW w:w="10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85" w:name="page86"/>
    <w:bookmarkEnd w:id="85"/>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0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53"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53" w:right="399" w:bottom="0" w:gutter="0" w:footer="0" w:header="0"/>
          <w:type w:val="continuous"/>
        </w:sectPr>
      </w:pPr>
    </w:p>
    <w:bookmarkStart w:id="86" w:name="page87"/>
    <w:bookmarkEnd w:id="86"/>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Type of derivative instrument that most closely represents the investment, selected from among the following</w:t>
            </w:r>
          </w:p>
        </w:tc>
        <w:tc>
          <w:tcPr>
            <w:tcW w:w="9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4"/>
              </w:rPr>
              <w:t>Option</w:t>
            </w:r>
          </w:p>
        </w:tc>
        <w:tc>
          <w:tcPr>
            <w:tcW w:w="0" w:type="dxa"/>
            <w:vAlign w:val="bottom"/>
          </w:tcPr>
          <w:p>
            <w:pPr>
              <w:spacing w:after="0"/>
              <w:rPr>
                <w:sz w:val="1"/>
                <w:szCs w:val="1"/>
                <w:color w:val="auto"/>
              </w:rPr>
            </w:pPr>
          </w:p>
        </w:tc>
      </w:tr>
      <w:tr>
        <w:trPr>
          <w:trHeight w:val="161"/>
        </w:trPr>
        <w:tc>
          <w:tcPr>
            <w:tcW w:w="102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(forward, future, option, swaption, swap (including but not limited to total return swaps, credit default swaps, and</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22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interest rate swaps), warrant, other).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10220" w:type="dxa"/>
            <w:vAlign w:val="bottom"/>
          </w:tcPr>
          <w:p>
            <w:pPr>
              <w:spacing w:after="0"/>
              <w:rPr>
                <w:sz w:val="20"/>
                <w:szCs w:val="20"/>
                <w:color w:val="auto"/>
              </w:rPr>
            </w:pPr>
            <w:r>
              <w:rPr>
                <w:rFonts w:ascii="Times New Roman" w:cs="Times New Roman" w:eastAsia="Times New Roman" w:hAnsi="Times New Roman"/>
                <w:sz w:val="22"/>
                <w:szCs w:val="22"/>
                <w:color w:val="auto"/>
              </w:rPr>
              <w:t>b. Counterparty.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20" w:type="dxa"/>
            <w:vAlign w:val="bottom"/>
          </w:tcPr>
          <w:p>
            <w:pPr>
              <w:spacing w:after="0"/>
              <w:rPr>
                <w:sz w:val="20"/>
                <w:szCs w:val="20"/>
                <w:color w:val="auto"/>
              </w:rPr>
            </w:pPr>
            <w:r>
              <w:rPr>
                <w:rFonts w:ascii="Times New Roman" w:cs="Times New Roman" w:eastAsia="Times New Roman" w:hAnsi="Times New Roman"/>
                <w:sz w:val="22"/>
                <w:szCs w:val="22"/>
                <w:color w:val="auto"/>
              </w:rPr>
              <w:t>i. Provide the name and LEI (if any) of counterparty (including a central counterparty).</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spacing w:after="0" w:line="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Counterparty Record: 1</w:t>
      </w:r>
    </w:p>
    <w:p>
      <w:pPr>
        <w:spacing w:after="0" w:line="44" w:lineRule="exact"/>
        <w:rPr>
          <w:sz w:val="20"/>
          <w:szCs w:val="20"/>
          <w:color w:val="auto"/>
        </w:rPr>
      </w:pPr>
    </w:p>
    <w:p>
      <w:pPr>
        <w:ind w:left="40"/>
        <w:spacing w:after="0"/>
        <w:tabs>
          <w:tab w:leader="none" w:pos="2540" w:val="left"/>
        </w:tabs>
        <w:rPr>
          <w:sz w:val="20"/>
          <w:szCs w:val="20"/>
          <w:color w:val="auto"/>
        </w:rPr>
      </w:pPr>
      <w:r>
        <w:rPr>
          <w:rFonts w:ascii="Times New Roman" w:cs="Times New Roman" w:eastAsia="Times New Roman" w:hAnsi="Times New Roman"/>
          <w:sz w:val="22"/>
          <w:szCs w:val="22"/>
          <w:color w:val="auto"/>
        </w:rPr>
        <w:t>Name of counterparty.</w:t>
      </w:r>
      <w:r>
        <w:rPr>
          <w:sz w:val="20"/>
          <w:szCs w:val="20"/>
          <w:color w:val="auto"/>
        </w:rPr>
        <w:tab/>
      </w:r>
      <w:r>
        <w:rPr>
          <w:rFonts w:ascii="Times New Roman" w:cs="Times New Roman" w:eastAsia="Times New Roman" w:hAnsi="Times New Roman"/>
          <w:sz w:val="21"/>
          <w:szCs w:val="21"/>
          <w:color w:val="auto"/>
        </w:rPr>
        <w:t>US BANCORP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LEI (if any) of counterparty. 5493000F4ZO33MV32P92</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Type, selected from among the following (put, call). Respond call for warrants.</w:t>
      </w:r>
    </w:p>
    <w:p>
      <w:pPr>
        <w:spacing w:after="0" w:line="71" w:lineRule="exact"/>
        <w:rPr>
          <w:sz w:val="20"/>
          <w:szCs w:val="20"/>
          <w:color w:val="auto"/>
        </w:rPr>
      </w:pPr>
    </w:p>
    <w:p>
      <w:pPr>
        <w:ind w:left="40" w:firstLine="8"/>
        <w:spacing w:after="0" w:line="258" w:lineRule="auto"/>
        <w:tabs>
          <w:tab w:leader="none" w:pos="26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Payoff profile, selected from among the following (written, purchased). Respond purchased for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Put </w:t>
      </w:r>
      <w:r>
        <w:rPr>
          <w:sz w:val="1"/>
          <w:szCs w:val="1"/>
          <w:color w:val="auto"/>
        </w:rPr>
        <w:drawing>
          <wp:inline distT="0" distB="0" distL="0" distR="0">
            <wp:extent cx="137160" cy="13716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Call</w:t>
      </w:r>
    </w:p>
    <w:p>
      <w:pPr>
        <w:spacing w:after="0" w:line="6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Written </w:t>
      </w:r>
      <w:r>
        <w:rPr>
          <w:sz w:val="1"/>
          <w:szCs w:val="1"/>
          <w:color w:val="auto"/>
        </w:rPr>
        <w:drawing>
          <wp:inline distT="0" distB="0" distL="0" distR="0">
            <wp:extent cx="137160" cy="137160"/>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Purchased</w:t>
      </w:r>
    </w:p>
    <w:p>
      <w:pPr>
        <w:spacing w:after="0" w:line="210" w:lineRule="exact"/>
        <w:rPr>
          <w:sz w:val="20"/>
          <w:szCs w:val="20"/>
          <w:color w:val="auto"/>
        </w:rPr>
      </w:pPr>
    </w:p>
    <w:p>
      <w:pPr>
        <w:sectPr>
          <w:pgSz w:w="11900" w:h="16838" w:orient="portrait"/>
          <w:cols w:equalWidth="0" w:num="2">
            <w:col w:w="8500" w:space="620"/>
            <w:col w:w="2120"/>
          </w:cols>
          <w:pgMar w:left="320" w:top="111" w:right="339" w:bottom="0" w:gutter="0" w:footer="0" w:header="0"/>
          <w:type w:val="continuous"/>
        </w:sectPr>
      </w:pPr>
    </w:p>
    <w:p>
      <w:pPr>
        <w:spacing w:after="0" w:line="12" w:lineRule="exact"/>
        <w:rPr>
          <w:sz w:val="20"/>
          <w:szCs w:val="20"/>
          <w:color w:val="auto"/>
        </w:rPr>
      </w:pPr>
    </w:p>
    <w:p>
      <w:pPr>
        <w:ind w:firstLine="8"/>
        <w:spacing w:after="0" w:line="244" w:lineRule="auto"/>
        <w:tabs>
          <w:tab w:leader="none" w:pos="21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reference instrument is neither a derivative or an index, the description of the reference instrument shall include the name of issuer and title of issue, as well as CUSIP of the reference instrument, ISIN (if CUSIP is not available), ticker if (CUSIP and ISIN are not available), or other identifier (if CUSIP, ISIN, and ticker are not available).</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 US Bancorp</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 of issue.</w:t>
      </w:r>
      <w:r>
        <w:rPr>
          <w:sz w:val="20"/>
          <w:szCs w:val="20"/>
          <w:color w:val="auto"/>
        </w:rPr>
        <w:tab/>
      </w:r>
      <w:r>
        <w:rPr>
          <w:rFonts w:ascii="Times New Roman" w:cs="Times New Roman" w:eastAsia="Times New Roman" w:hAnsi="Times New Roman"/>
          <w:sz w:val="21"/>
          <w:szCs w:val="21"/>
          <w:color w:val="auto"/>
        </w:rPr>
        <w:t>Common Shares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CUSIP</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CUSIP.</w:t>
        <w:tab/>
        <w:t>902973304</w:t>
      </w:r>
    </w:p>
    <w:p>
      <w:pPr>
        <w:spacing w:after="0" w:line="71" w:lineRule="exact"/>
        <w:rPr>
          <w:sz w:val="20"/>
          <w:szCs w:val="20"/>
          <w:color w:val="auto"/>
        </w:rPr>
      </w:pPr>
    </w:p>
    <w:p>
      <w:pPr>
        <w:ind w:left="40"/>
        <w:spacing w:after="0"/>
        <w:tabs>
          <w:tab w:leader="none" w:pos="292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ISIN (if CUSIP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ISIN (if CUSIP is not available). US9029733048</w:t>
      </w:r>
    </w:p>
    <w:p>
      <w:pPr>
        <w:spacing w:after="0" w:line="71"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CUSIP and ISIN are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CUSIP and ISIN are not available). USB</w:t>
      </w:r>
    </w:p>
    <w:p>
      <w:pPr>
        <w:sectPr>
          <w:pgSz w:w="11900" w:h="16838" w:orient="portrait"/>
          <w:cols w:equalWidth="0" w:num="1">
            <w:col w:w="11240"/>
          </w:cols>
          <w:pgMar w:left="320" w:top="111" w:right="339" w:bottom="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83"/>
        </w:trPr>
        <w:tc>
          <w:tcPr>
            <w:tcW w:w="8100" w:type="dxa"/>
            <w:vAlign w:val="bottom"/>
          </w:tcPr>
          <w:p>
            <w:pPr>
              <w:spacing w:after="0"/>
              <w:rPr>
                <w:sz w:val="20"/>
                <w:szCs w:val="20"/>
                <w:color w:val="auto"/>
              </w:rPr>
            </w:pPr>
            <w:r>
              <w:rPr>
                <w:rFonts w:ascii="Times New Roman" w:cs="Times New Roman" w:eastAsia="Times New Roman" w:hAnsi="Times New Roman"/>
                <w:sz w:val="22"/>
                <w:szCs w:val="22"/>
                <w:color w:val="auto"/>
              </w:rPr>
              <w:t>iv. Number of shares or principal amount of underlying reference instrument per contract.</w:t>
            </w:r>
          </w:p>
        </w:tc>
        <w:tc>
          <w:tcPr>
            <w:tcW w:w="2100" w:type="dxa"/>
            <w:vAlign w:val="bottom"/>
          </w:tcPr>
          <w:p>
            <w:pPr>
              <w:spacing w:after="0"/>
              <w:rPr>
                <w:sz w:val="24"/>
                <w:szCs w:val="24"/>
                <w:color w:val="auto"/>
              </w:rPr>
            </w:pPr>
          </w:p>
        </w:tc>
      </w:tr>
      <w:tr>
        <w:trPr>
          <w:trHeight w:val="499"/>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Number of shares.</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100.00000000</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 Exercise price or rate.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37.50000000</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 Exercise Price Currency Code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United States Dollar</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vii. Expiration date.</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2027-01-15</w:t>
            </w:r>
          </w:p>
        </w:tc>
      </w:tr>
      <w:tr>
        <w:trPr>
          <w:trHeight w:val="297"/>
        </w:trPr>
        <w:tc>
          <w:tcPr>
            <w:tcW w:w="8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viii. Delta.</w:t>
            </w:r>
          </w:p>
        </w:tc>
        <w:tc>
          <w:tcPr>
            <w:tcW w:w="2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XXXX</w:t>
            </w: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ix. Unrealized appreciation or depreciation. Depreciation shall be reported as a negative number. -226764.50000000</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060"/>
          </w:cols>
          <w:pgMar w:left="320" w:top="111"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ES0305424014</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60"/>
        <w:spacing w:after="0" w:line="415" w:lineRule="auto"/>
        <w:rPr>
          <w:sz w:val="20"/>
          <w:szCs w:val="20"/>
          <w:color w:val="auto"/>
        </w:rPr>
      </w:pPr>
      <w:r>
        <w:rPr>
          <w:rFonts w:ascii="Times New Roman" w:cs="Times New Roman" w:eastAsia="Times New Roman" w:hAnsi="Times New Roman"/>
          <w:sz w:val="21"/>
          <w:szCs w:val="21"/>
          <w:color w:val="auto"/>
        </w:rPr>
        <w:t>Pymes Magdalena 894500G461D1F4W8Z612</w:t>
      </w:r>
    </w:p>
    <w:p>
      <w:pPr>
        <w:spacing w:after="0" w:line="2" w:lineRule="exact"/>
        <w:rPr>
          <w:sz w:val="20"/>
          <w:szCs w:val="20"/>
          <w:color w:val="auto"/>
        </w:rPr>
      </w:pPr>
    </w:p>
    <w:p>
      <w:pPr>
        <w:ind w:right="76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38" w:orient="portrait"/>
          <w:cols w:equalWidth="0" w:num="2">
            <w:col w:w="8600" w:space="160"/>
            <w:col w:w="244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2007799.32000000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2299268.28000000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1.439203769167</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38"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92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1"/>
              </w:rPr>
              <w:t>SPAIN</w:t>
            </w:r>
          </w:p>
        </w:tc>
        <w:tc>
          <w:tcPr>
            <w:tcW w:w="0" w:type="dxa"/>
            <w:vAlign w:val="bottom"/>
          </w:tcPr>
          <w:p>
            <w:pPr>
              <w:spacing w:after="0"/>
              <w:rPr>
                <w:sz w:val="1"/>
                <w:szCs w:val="1"/>
                <w:color w:val="auto"/>
              </w:rPr>
            </w:pPr>
          </w:p>
        </w:tc>
      </w:tr>
      <w:tr>
        <w:trPr>
          <w:trHeight w:val="122"/>
        </w:trPr>
        <w:tc>
          <w:tcPr>
            <w:tcW w:w="102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2050-03-20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8.00000000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XS2403517738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7009854.00000000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7543303.89000000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4.721654921654</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40" w:type="dxa"/>
            <w:vAlign w:val="bottom"/>
            <w:vMerge w:val="continue"/>
          </w:tcPr>
          <w:p>
            <w:pPr>
              <w:spacing w:after="0"/>
              <w:rPr>
                <w:sz w:val="10"/>
                <w:szCs w:val="10"/>
                <w:color w:val="auto"/>
              </w:rPr>
            </w:pPr>
          </w:p>
        </w:tc>
        <w:tc>
          <w:tcPr>
            <w:tcW w:w="9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mortgage</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240" w:type="dxa"/>
            <w:vAlign w:val="bottom"/>
            <w:vMerge w:val="continue"/>
          </w:tcPr>
          <w:p>
            <w:pPr>
              <w:spacing w:after="0"/>
              <w:rPr>
                <w:sz w:val="12"/>
                <w:szCs w:val="12"/>
                <w:color w:val="auto"/>
              </w:rPr>
            </w:pPr>
          </w:p>
        </w:tc>
        <w:tc>
          <w:tcPr>
            <w:tcW w:w="920" w:type="dxa"/>
            <w:vAlign w:val="bottom"/>
          </w:tcPr>
          <w:p>
            <w:pPr>
              <w:ind w:left="60"/>
              <w:spacing w:after="0" w:line="145" w:lineRule="exact"/>
              <w:rPr>
                <w:sz w:val="20"/>
                <w:szCs w:val="20"/>
                <w:color w:val="auto"/>
              </w:rPr>
            </w:pPr>
            <w:r>
              <w:rPr>
                <w:rFonts w:ascii="Times New Roman" w:cs="Times New Roman" w:eastAsia="Times New Roman" w:hAnsi="Times New Roman"/>
                <w:sz w:val="16"/>
                <w:szCs w:val="16"/>
                <w:color w:val="auto"/>
              </w:rPr>
              <w:t>backed</w:t>
            </w:r>
          </w:p>
        </w:tc>
        <w:tc>
          <w:tcPr>
            <w:tcW w:w="0" w:type="dxa"/>
            <w:vAlign w:val="bottom"/>
          </w:tcPr>
          <w:p>
            <w:pPr>
              <w:spacing w:after="0"/>
              <w:rPr>
                <w:sz w:val="1"/>
                <w:szCs w:val="1"/>
                <w:color w:val="auto"/>
              </w:rPr>
            </w:pPr>
          </w:p>
        </w:tc>
      </w:tr>
      <w:tr>
        <w:trPr>
          <w:trHeight w:val="314"/>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security</w:t>
            </w:r>
          </w:p>
        </w:tc>
        <w:tc>
          <w:tcPr>
            <w:tcW w:w="0" w:type="dxa"/>
            <w:vAlign w:val="bottom"/>
          </w:tcPr>
          <w:p>
            <w:pPr>
              <w:spacing w:after="0"/>
              <w:rPr>
                <w:sz w:val="1"/>
                <w:szCs w:val="1"/>
                <w:color w:val="auto"/>
              </w:rPr>
            </w:pPr>
          </w:p>
        </w:tc>
      </w:tr>
      <w:tr>
        <w:trPr>
          <w:trHeight w:val="202"/>
        </w:trPr>
        <w:tc>
          <w:tcPr>
            <w:tcW w:w="1024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92" w:name="page93"/>
    <w:bookmarkEnd w:id="92"/>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2029-11-30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16.20391000 </w:t>
      </w:r>
      <w:r>
        <w:rPr>
          <w:sz w:val="1"/>
          <w:szCs w:val="1"/>
          <w:color w:val="auto"/>
        </w:rPr>
        <w:drawing>
          <wp:inline distT="0" distB="0" distL="0" distR="0">
            <wp:extent cx="137160" cy="13716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93" w:name="page94"/>
    <w:bookmarkEnd w:id="93"/>
    <w:p>
      <w:pPr>
        <w:jc w:val="both"/>
        <w:ind w:right="300" w:firstLine="8"/>
        <w:spacing w:after="0" w:line="238" w:lineRule="auto"/>
        <w:tabs>
          <w:tab w:leader="none" w:pos="28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4" w:name="page95"/>
    <w:bookmarkEnd w:id="94"/>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XS2525742982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25155KAY1</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6068815.37000000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6839433.55000000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4.281074387775</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0.01000000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XS2469855881</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3658261.55000000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5050828.49000000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0.74354970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3.161515106113</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1"/>
          <w:szCs w:val="21"/>
          <w:color w:val="auto"/>
        </w:rPr>
        <w:t>ABS-mortgage backed security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1"/>
          <w:szCs w:val="21"/>
          <w:color w:val="auto"/>
        </w:rPr>
        <w:t>UNITED KINGDOM OF</w:t>
      </w:r>
    </w:p>
    <w:p>
      <w:pPr>
        <w:spacing w:after="0" w:line="26"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98" w:name="page99"/>
    <w:bookmarkEnd w:id="98"/>
    <w:p>
      <w:pPr>
        <w:ind w:left="40" w:right="3060"/>
        <w:spacing w:after="0" w:line="259"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2028-04-17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14.21750000 </w:t>
      </w:r>
      <w:r>
        <w:rPr>
          <w:sz w:val="1"/>
          <w:szCs w:val="1"/>
          <w:color w:val="auto"/>
        </w:rPr>
        <w:drawing>
          <wp:inline distT="0" distB="0" distL="0" distR="0">
            <wp:extent cx="137160" cy="137160"/>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99" w:name="page100"/>
    <w:bookmarkEnd w:id="99"/>
    <w:p>
      <w:pPr>
        <w:jc w:val="both"/>
        <w:ind w:right="300" w:firstLine="8"/>
        <w:spacing w:after="0" w:line="238" w:lineRule="auto"/>
        <w:tabs>
          <w:tab w:leader="none" w:pos="28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Colisee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FR001400IRL3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1035017.76020000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1210875.57000000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0.757935339471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01" w:name="page102"/>
    <w:bookmarkEnd w:id="101"/>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2033-07-07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9.96900000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102" w:name="page103"/>
    <w:bookmarkEnd w:id="102"/>
    <w:p>
      <w:pPr>
        <w:jc w:val="both"/>
        <w:ind w:right="300" w:firstLine="8"/>
        <w:spacing w:after="0" w:line="238" w:lineRule="auto"/>
        <w:tabs>
          <w:tab w:leader="none" w:pos="2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XS2464790976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06739GDG1</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9288486.84000000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9592517.10000000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6.004339244015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04" w:name="page105"/>
    <w:bookmarkEnd w:id="104"/>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2030-04-30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16.34131000 </w:t>
      </w:r>
      <w:r>
        <w:rPr>
          <w:sz w:val="1"/>
          <w:szCs w:val="1"/>
          <w:color w:val="auto"/>
        </w:rPr>
        <w:drawing>
          <wp:inline distT="0" distB="0" distL="0" distR="0">
            <wp:extent cx="137160" cy="137160"/>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05" w:name="page106"/>
    <w:bookmarkEnd w:id="105"/>
    <w:p>
      <w:pPr>
        <w:jc w:val="both"/>
        <w:ind w:right="300" w:firstLine="8"/>
        <w:spacing w:after="0" w:line="238" w:lineRule="auto"/>
        <w:tabs>
          <w:tab w:leader="none" w:pos="28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Algonquin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22"/>
          <w:szCs w:val="22"/>
          <w:color w:val="auto"/>
        </w:rPr>
        <w:t>Guarantee Linked Note</w:t>
      </w:r>
    </w:p>
    <w:p>
      <w:pPr>
        <w:spacing w:after="0" w:line="1" w:lineRule="exact"/>
        <w:rPr>
          <w:sz w:val="20"/>
          <w:szCs w:val="20"/>
          <w:color w:val="auto"/>
        </w:rPr>
      </w:pPr>
    </w:p>
    <w:p>
      <w:pPr>
        <w:sectPr>
          <w:pgSz w:w="11900" w:h="16838" w:orient="portrait"/>
          <w:cols w:equalWidth="0" w:num="2">
            <w:col w:w="9240" w:space="60"/>
            <w:col w:w="1900"/>
          </w:cols>
          <w:pgMar w:left="320" w:top="88" w:right="37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20" w:type="dxa"/>
            <w:vAlign w:val="bottom"/>
          </w:tcPr>
          <w:p>
            <w:pPr>
              <w:spacing w:after="0"/>
              <w:rPr>
                <w:sz w:val="20"/>
                <w:szCs w:val="20"/>
                <w:color w:val="auto"/>
              </w:rPr>
            </w:pPr>
            <w:r>
              <w:rPr>
                <w:rFonts w:ascii="Times New Roman" w:cs="Times New Roman" w:eastAsia="Times New Roman" w:hAnsi="Times New Roman"/>
                <w:sz w:val="22"/>
                <w:szCs w:val="22"/>
                <w:color w:val="auto"/>
              </w:rPr>
              <w:t>d. CUSIP (if any).</w:t>
            </w:r>
          </w:p>
        </w:tc>
        <w:tc>
          <w:tcPr>
            <w:tcW w:w="4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000000000</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XS2463544994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526152.89982000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473537.61000000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0.296406086702</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w:t>
      </w:r>
    </w:p>
    <w:p>
      <w:pPr>
        <w:sectPr>
          <w:pgSz w:w="11900" w:h="16838" w:orient="portrait"/>
          <w:cols w:equalWidth="0" w:num="1">
            <w:col w:w="11200"/>
          </w:cols>
          <w:pgMar w:left="320" w:top="88" w:right="379" w:bottom="0" w:gutter="0" w:footer="0" w:header="0"/>
          <w:type w:val="continuous"/>
        </w:sectPr>
      </w:pPr>
    </w:p>
    <w:bookmarkStart w:id="107" w:name="page108"/>
    <w:bookmarkEnd w:id="107"/>
    <w:p>
      <w:pPr>
        <w:ind w:left="40" w:right="2100"/>
        <w:spacing w:after="0" w:line="259" w:lineRule="auto"/>
        <w:rPr>
          <w:sz w:val="20"/>
          <w:szCs w:val="20"/>
          <w:color w:val="auto"/>
        </w:rPr>
      </w:pPr>
      <w:r>
        <w:rPr>
          <w:rFonts w:ascii="Times New Roman" w:cs="Times New Roman" w:eastAsia="Times New Roman" w:hAnsi="Times New Roman"/>
          <w:sz w:val="22"/>
          <w:szCs w:val="22"/>
          <w:color w:val="auto"/>
        </w:rPr>
        <w:t>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2027-05-01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108" w:name="page109"/>
    <w:bookmarkEnd w:id="108"/>
    <w:p>
      <w:pPr>
        <w:jc w:val="both"/>
        <w:ind w:right="300" w:firstLine="8"/>
        <w:spacing w:after="0" w:line="238" w:lineRule="auto"/>
        <w:tabs>
          <w:tab w:leader="none" w:pos="28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XS2838502859</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283850285</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2284865.80600000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2285713.48000000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1.430719278940</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10" w:name="page111"/>
    <w:bookmarkEnd w:id="110"/>
    <w:p>
      <w:pPr>
        <w:ind w:left="40" w:right="1880"/>
        <w:spacing w:after="0" w:line="258"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2030-06-30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None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10.83997000 </w:t>
      </w:r>
      <w:r>
        <w:rPr>
          <w:sz w:val="1"/>
          <w:szCs w:val="1"/>
          <w:color w:val="auto"/>
        </w:rPr>
        <w:drawing>
          <wp:inline distT="0" distB="0" distL="0" distR="0">
            <wp:extent cx="137160" cy="13716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11" w:name="page112"/>
    <w:bookmarkEnd w:id="111"/>
    <w:p>
      <w:pPr>
        <w:jc w:val="both"/>
        <w:ind w:right="300" w:firstLine="8"/>
        <w:spacing w:after="0" w:line="238" w:lineRule="auto"/>
        <w:tabs>
          <w:tab w:leader="none" w:pos="28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2" w:name="page113"/>
    <w:bookmarkEnd w:id="112"/>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XS2628994118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25155KAZ8</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4962156.25000000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5158657.64000000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3.229009674040</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91"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2030-11-28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16.10559000 </w:t>
      </w:r>
      <w:r>
        <w:rPr>
          <w:sz w:val="1"/>
          <w:szCs w:val="1"/>
          <w:color w:val="auto"/>
        </w:rPr>
        <w:drawing>
          <wp:inline distT="0" distB="0" distL="0" distR="0">
            <wp:extent cx="137160" cy="137160"/>
            <wp:effectExtent l="0" t="0" r="0" b="0"/>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14" w:name="page115"/>
    <w:bookmarkEnd w:id="114"/>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XS2838515752</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1394"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2880333.00000000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3398593.82000000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2.127315493437</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116" w:name="page117"/>
    <w:bookmarkEnd w:id="116"/>
    <w:p>
      <w:pPr>
        <w:ind w:left="40" w:right="3060"/>
        <w:spacing w:after="0" w:line="258"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2034-12-31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10.22100000 </w:t>
      </w:r>
      <w:r>
        <w:rPr>
          <w:sz w:val="1"/>
          <w:szCs w:val="1"/>
          <w:color w:val="auto"/>
        </w:rPr>
        <w:drawing>
          <wp:inline distT="0" distB="0" distL="0" distR="0">
            <wp:extent cx="137160" cy="137160"/>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17" w:name="page118"/>
    <w:bookmarkEnd w:id="117"/>
    <w:p>
      <w:pPr>
        <w:jc w:val="both"/>
        <w:ind w:right="300" w:firstLine="8"/>
        <w:spacing w:after="0" w:line="238" w:lineRule="auto"/>
        <w:tabs>
          <w:tab w:leader="none" w:pos="28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XS2077547656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CHAKRA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3980600.00000000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2.491616386561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19" w:name="page120"/>
    <w:bookmarkEnd w:id="119"/>
    <w:p>
      <w:pPr>
        <w:ind w:left="40" w:right="1880"/>
        <w:spacing w:after="0" w:line="258"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2027-11-21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None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13.76157000 </w:t>
      </w:r>
      <w:r>
        <w:rPr>
          <w:sz w:val="1"/>
          <w:szCs w:val="1"/>
          <w:color w:val="auto"/>
        </w:rPr>
        <w:drawing>
          <wp:inline distT="0" distB="0" distL="0" distR="0">
            <wp:extent cx="137160" cy="137160"/>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20" w:name="page121"/>
    <w:bookmarkEnd w:id="120"/>
    <w:p>
      <w:pPr>
        <w:jc w:val="both"/>
        <w:ind w:right="300" w:firstLine="8"/>
        <w:spacing w:after="0" w:line="238" w:lineRule="auto"/>
        <w:tabs>
          <w:tab w:leader="none" w:pos="28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397" w:lineRule="auto"/>
        <w:rPr>
          <w:sz w:val="20"/>
          <w:szCs w:val="20"/>
          <w:color w:val="auto"/>
        </w:rPr>
      </w:pPr>
      <w:r>
        <w:rPr>
          <w:rFonts w:ascii="Times New Roman" w:cs="Times New Roman" w:eastAsia="Times New Roman" w:hAnsi="Times New Roman"/>
          <w:sz w:val="22"/>
          <w:szCs w:val="22"/>
          <w:color w:val="auto"/>
        </w:rPr>
        <w:t>Nightingale LF N/A</w:t>
      </w: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XS2368738899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United Kingdom Pound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2689800.00000000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0.74354970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1.683653156954</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 KINGDOM OF</w:t>
      </w:r>
    </w:p>
    <w:p>
      <w:pPr>
        <w:sectPr>
          <w:pgSz w:w="11900" w:h="16838" w:orient="portrait"/>
          <w:cols w:equalWidth="0" w:num="1">
            <w:col w:w="11200"/>
          </w:cols>
          <w:pgMar w:left="320" w:top="88" w:right="379" w:bottom="0" w:gutter="0" w:footer="0" w:header="0"/>
          <w:type w:val="continuous"/>
        </w:sectPr>
      </w:pPr>
    </w:p>
    <w:bookmarkStart w:id="122" w:name="page123"/>
    <w:bookmarkEnd w:id="122"/>
    <w:p>
      <w:pPr>
        <w:ind w:left="8380"/>
        <w:spacing w:after="0"/>
        <w:rPr>
          <w:sz w:val="20"/>
          <w:szCs w:val="20"/>
          <w:color w:val="auto"/>
        </w:rPr>
      </w:pPr>
      <w:r>
        <w:rPr>
          <w:rFonts w:ascii="Times New Roman" w:cs="Times New Roman" w:eastAsia="Times New Roman" w:hAnsi="Times New Roman"/>
          <w:sz w:val="22"/>
          <w:szCs w:val="22"/>
          <w:color w:val="auto"/>
        </w:rPr>
        <w:t>GREAT BRITAIN AND</w:t>
      </w:r>
    </w:p>
    <w:p>
      <w:pPr>
        <w:spacing w:after="0" w:line="1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NORTHERN IRELAND</w:t>
      </w:r>
    </w:p>
    <w:p>
      <w:pPr>
        <w:spacing w:after="0" w:line="20" w:lineRule="exact"/>
        <w:rPr>
          <w:sz w:val="20"/>
          <w:szCs w:val="20"/>
          <w:color w:val="auto"/>
        </w:rPr>
      </w:pPr>
    </w:p>
    <w:p>
      <w:pPr>
        <w:ind w:left="40" w:right="306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2028-04-01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14.96710000 </w:t>
      </w:r>
      <w:r>
        <w:rPr>
          <w:sz w:val="1"/>
          <w:szCs w:val="1"/>
          <w:color w:val="auto"/>
        </w:rPr>
        <w:drawing>
          <wp:inline distT="0" distB="0" distL="0" distR="0">
            <wp:extent cx="137160" cy="137160"/>
            <wp:effectExtent l="0" t="0" r="0" b="0"/>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23" w:name="page124"/>
    <w:bookmarkEnd w:id="123"/>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AMFI1DAC2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1.877819715541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 KINGDOM OF</w:t>
      </w:r>
    </w:p>
    <w:p>
      <w:pPr>
        <w:sectPr>
          <w:pgSz w:w="11900" w:h="16838" w:orient="portrait"/>
          <w:cols w:equalWidth="0" w:num="1">
            <w:col w:w="11200"/>
          </w:cols>
          <w:pgMar w:left="320" w:top="88" w:right="379" w:bottom="0" w:gutter="0" w:footer="0" w:header="0"/>
          <w:type w:val="continuous"/>
        </w:sectPr>
      </w:pPr>
    </w:p>
    <w:bookmarkStart w:id="125" w:name="page126"/>
    <w:bookmarkEnd w:id="125"/>
    <w:p>
      <w:pPr>
        <w:ind w:left="8380"/>
        <w:spacing w:after="0"/>
        <w:rPr>
          <w:sz w:val="20"/>
          <w:szCs w:val="20"/>
          <w:color w:val="auto"/>
        </w:rPr>
      </w:pPr>
      <w:r>
        <w:rPr>
          <w:rFonts w:ascii="Times New Roman" w:cs="Times New Roman" w:eastAsia="Times New Roman" w:hAnsi="Times New Roman"/>
          <w:sz w:val="22"/>
          <w:szCs w:val="22"/>
          <w:color w:val="auto"/>
        </w:rPr>
        <w:t>GREAT BRITAIN AND</w:t>
      </w:r>
    </w:p>
    <w:p>
      <w:pPr>
        <w:spacing w:after="0" w:line="15"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NORTHERN IRELAND</w:t>
      </w:r>
    </w:p>
    <w:p>
      <w:pPr>
        <w:spacing w:after="0" w:line="20" w:lineRule="exact"/>
        <w:rPr>
          <w:sz w:val="20"/>
          <w:szCs w:val="20"/>
          <w:color w:val="auto"/>
        </w:rPr>
      </w:pPr>
    </w:p>
    <w:p>
      <w:pPr>
        <w:ind w:left="40" w:right="306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2032-04-19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11.79828000 </w:t>
      </w:r>
      <w:r>
        <w:rPr>
          <w:sz w:val="1"/>
          <w:szCs w:val="1"/>
          <w:color w:val="auto"/>
        </w:rPr>
        <w:drawing>
          <wp:inline distT="0" distB="0" distL="0" distR="0">
            <wp:extent cx="137160" cy="137160"/>
            <wp:effectExtent l="0" t="0" r="0" b="0"/>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26" w:name="page127"/>
    <w:bookmarkEnd w:id="126"/>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27" w:name="page128"/>
    <w:bookmarkEnd w:id="127"/>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XS2525741828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25155KAX3</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2726486.25000000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2843104.17000000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1.779612354587</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2030-02-28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0.01000000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US29977GAE26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EVERBANK FINANCIAL CORP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549300ZSQX8IP0RAE826</w:t>
      </w:r>
    </w:p>
    <w:p>
      <w:pPr>
        <w:spacing w:after="0" w:line="177"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EverBank Financial Corp 29977GAE2</w:t>
      </w:r>
    </w:p>
    <w:p>
      <w:pPr>
        <w:spacing w:after="0" w:line="1957" w:lineRule="exact"/>
        <w:rPr>
          <w:sz w:val="20"/>
          <w:szCs w:val="20"/>
          <w:color w:val="auto"/>
        </w:rPr>
      </w:pPr>
    </w:p>
    <w:p>
      <w:pPr>
        <w:sectPr>
          <w:pgSz w:w="11900" w:h="16838" w:orient="portrait"/>
          <w:cols w:equalWidth="0" w:num="2">
            <w:col w:w="8300" w:space="300"/>
            <w:col w:w="260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2060000.00000000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1.289436204671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31" w:name="page132"/>
    <w:bookmarkEnd w:id="131"/>
    <w:p>
      <w:pPr>
        <w:ind w:left="40" w:right="1880"/>
        <w:spacing w:after="0" w:line="258"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2035-09-01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7.50000000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132" w:name="page133"/>
    <w:bookmarkEnd w:id="132"/>
    <w:p>
      <w:pPr>
        <w:jc w:val="both"/>
        <w:ind w:right="300" w:firstLine="8"/>
        <w:spacing w:after="0" w:line="238" w:lineRule="auto"/>
        <w:tabs>
          <w:tab w:leader="none" w:pos="28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AMFIF1DAC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6998551.09300000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7412165.46000000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4.639570145214</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34" w:name="page135"/>
    <w:bookmarkEnd w:id="134"/>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2027-06-16</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17.87658000 </w:t>
      </w:r>
      <w:r>
        <w:rPr>
          <w:sz w:val="1"/>
          <w:szCs w:val="1"/>
          <w:color w:val="auto"/>
        </w:rPr>
        <w:drawing>
          <wp:inline distT="0" distB="0" distL="0" distR="0">
            <wp:extent cx="137160" cy="137160"/>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0" w:gutter="0" w:footer="0" w:header="0"/>
          <w:type w:val="continuous"/>
        </w:sectPr>
      </w:pPr>
    </w:p>
    <w:bookmarkStart w:id="135" w:name="page136"/>
    <w:bookmarkEnd w:id="135"/>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XS2417922007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Salisbury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606898.80000000 Principal amount</w:t>
      </w:r>
    </w:p>
    <w:p>
      <w:pPr>
        <w:spacing w:after="0" w:line="2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United Kingdom Pound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828747.15000000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0.74354970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0.518745912489</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22"/>
          <w:szCs w:val="22"/>
          <w:color w:val="auto"/>
        </w:rPr>
        <w:t>UNITED KINGDOM OF</w:t>
      </w:r>
    </w:p>
    <w:p>
      <w:pPr>
        <w:spacing w:after="0" w:line="14" w:lineRule="exact"/>
        <w:rPr>
          <w:sz w:val="20"/>
          <w:szCs w:val="20"/>
          <w:color w:val="auto"/>
        </w:rPr>
      </w:pPr>
    </w:p>
    <w:p>
      <w:pPr>
        <w:jc w:val="right"/>
        <w:ind w:left="40" w:right="660"/>
        <w:spacing w:after="0" w:line="237" w:lineRule="auto"/>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     GREAT BRITAIN AND NORTHERN IRELAND</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w:t>
      </w:r>
    </w:p>
    <w:p>
      <w:pPr>
        <w:sectPr>
          <w:pgSz w:w="11900" w:h="16838" w:orient="portrait"/>
          <w:cols w:equalWidth="0" w:num="1">
            <w:col w:w="11200"/>
          </w:cols>
          <w:pgMar w:left="320" w:top="88" w:right="379" w:bottom="0" w:gutter="0" w:footer="0" w:header="0"/>
          <w:type w:val="continuous"/>
        </w:sectPr>
      </w:pPr>
    </w:p>
    <w:bookmarkStart w:id="137" w:name="page138"/>
    <w:bookmarkEnd w:id="137"/>
    <w:p>
      <w:pPr>
        <w:ind w:left="40" w:right="3060"/>
        <w:spacing w:after="0" w:line="258" w:lineRule="auto"/>
        <w:rPr>
          <w:sz w:val="20"/>
          <w:szCs w:val="20"/>
          <w:color w:val="auto"/>
        </w:rPr>
      </w:pPr>
      <w:r>
        <w:rPr>
          <w:rFonts w:ascii="Times New Roman" w:cs="Times New Roman" w:eastAsia="Times New Roman" w:hAnsi="Times New Roman"/>
          <w:sz w:val="22"/>
          <w:szCs w:val="22"/>
          <w:color w:val="auto"/>
        </w:rPr>
        <w:t>that corresponds 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2028-03-20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1"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13.71740000 </w:t>
      </w:r>
      <w:r>
        <w:rPr>
          <w:sz w:val="1"/>
          <w:szCs w:val="1"/>
          <w:color w:val="auto"/>
        </w:rPr>
        <w:drawing>
          <wp:inline distT="0" distB="0" distL="0" distR="0">
            <wp:extent cx="137160" cy="137160"/>
            <wp:effectExtent l="0" t="0" r="0" b="0"/>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1" w:right="399" w:bottom="289" w:gutter="0" w:footer="0" w:header="0"/>
          <w:type w:val="continuous"/>
        </w:sectPr>
      </w:pPr>
    </w:p>
    <w:bookmarkStart w:id="138" w:name="page139"/>
    <w:bookmarkEnd w:id="138"/>
    <w:p>
      <w:pPr>
        <w:jc w:val="both"/>
        <w:ind w:right="300" w:firstLine="8"/>
        <w:spacing w:after="0" w:line="238" w:lineRule="auto"/>
        <w:tabs>
          <w:tab w:leader="none" w:pos="28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FR0013448883</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Resonance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9695002OBNIICMSV0B38</w:t>
      </w:r>
    </w:p>
    <w:p>
      <w:pPr>
        <w:spacing w:after="0" w:line="177" w:lineRule="exact"/>
        <w:rPr>
          <w:sz w:val="20"/>
          <w:szCs w:val="20"/>
          <w:color w:val="auto"/>
        </w:rPr>
      </w:pPr>
    </w:p>
    <w:p>
      <w:pPr>
        <w:ind w:right="82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38" w:orient="portrait"/>
          <w:cols w:equalWidth="0" w:num="2">
            <w:col w:w="8600" w:space="100"/>
            <w:col w:w="250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287442.86000000 Principal amount</w:t>
      </w: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337472.29000000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0.211237373203</w:t>
      </w:r>
    </w:p>
    <w:p>
      <w:pPr>
        <w:spacing w:after="0" w:line="200" w:lineRule="exact"/>
        <w:rPr>
          <w:sz w:val="20"/>
          <w:szCs w:val="20"/>
          <w:color w:val="auto"/>
        </w:rPr>
      </w:pPr>
    </w:p>
    <w:p>
      <w:pPr>
        <w:sectPr>
          <w:pgSz w:w="11900" w:h="16838" w:orient="portrait"/>
          <w:cols w:equalWidth="0" w:num="2">
            <w:col w:w="9200" w:space="360"/>
            <w:col w:w="16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38"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1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4"/>
              </w:rPr>
              <w:t>FRANCE</w:t>
            </w:r>
          </w:p>
        </w:tc>
        <w:tc>
          <w:tcPr>
            <w:tcW w:w="0" w:type="dxa"/>
            <w:vAlign w:val="bottom"/>
          </w:tcPr>
          <w:p>
            <w:pPr>
              <w:spacing w:after="0"/>
              <w:rPr>
                <w:sz w:val="1"/>
                <w:szCs w:val="1"/>
                <w:color w:val="auto"/>
              </w:rPr>
            </w:pPr>
          </w:p>
        </w:tc>
      </w:tr>
      <w:tr>
        <w:trPr>
          <w:trHeight w:val="122"/>
        </w:trPr>
        <w:tc>
          <w:tcPr>
            <w:tcW w:w="1016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2026-10-05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9.94400000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Nansa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XS1917950831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307685.04000000 Principal amount</w:t>
      </w:r>
    </w:p>
    <w:p>
      <w:pPr>
        <w:spacing w:after="0" w:line="2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344692.94000000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0.215757066179</w:t>
      </w:r>
    </w:p>
    <w:p>
      <w:pPr>
        <w:spacing w:after="0" w:line="200" w:lineRule="exact"/>
        <w:rPr>
          <w:sz w:val="20"/>
          <w:szCs w:val="20"/>
          <w:color w:val="auto"/>
        </w:rPr>
      </w:pPr>
    </w:p>
    <w:p>
      <w:pPr>
        <w:sectPr>
          <w:pgSz w:w="11900" w:h="16838" w:orient="portrait"/>
          <w:cols w:equalWidth="0" w:num="2">
            <w:col w:w="9200" w:space="360"/>
            <w:col w:w="164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40" w:type="dxa"/>
            <w:vAlign w:val="bottom"/>
            <w:vMerge w:val="continue"/>
          </w:tcPr>
          <w:p>
            <w:pPr>
              <w:spacing w:after="0"/>
              <w:rPr>
                <w:sz w:val="10"/>
                <w:szCs w:val="10"/>
                <w:color w:val="auto"/>
              </w:rPr>
            </w:pPr>
          </w:p>
        </w:tc>
        <w:tc>
          <w:tcPr>
            <w:tcW w:w="9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mortgage</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0240" w:type="dxa"/>
            <w:vAlign w:val="bottom"/>
            <w:vMerge w:val="continue"/>
          </w:tcPr>
          <w:p>
            <w:pPr>
              <w:spacing w:after="0"/>
              <w:rPr>
                <w:sz w:val="12"/>
                <w:szCs w:val="12"/>
                <w:color w:val="auto"/>
              </w:rPr>
            </w:pPr>
          </w:p>
        </w:tc>
        <w:tc>
          <w:tcPr>
            <w:tcW w:w="920" w:type="dxa"/>
            <w:vAlign w:val="bottom"/>
          </w:tcPr>
          <w:p>
            <w:pPr>
              <w:ind w:left="60"/>
              <w:spacing w:after="0" w:line="145" w:lineRule="exact"/>
              <w:rPr>
                <w:sz w:val="20"/>
                <w:szCs w:val="20"/>
                <w:color w:val="auto"/>
              </w:rPr>
            </w:pPr>
            <w:r>
              <w:rPr>
                <w:rFonts w:ascii="Times New Roman" w:cs="Times New Roman" w:eastAsia="Times New Roman" w:hAnsi="Times New Roman"/>
                <w:sz w:val="16"/>
                <w:szCs w:val="16"/>
                <w:color w:val="auto"/>
              </w:rPr>
              <w:t>backed</w:t>
            </w:r>
          </w:p>
        </w:tc>
        <w:tc>
          <w:tcPr>
            <w:tcW w:w="0" w:type="dxa"/>
            <w:vAlign w:val="bottom"/>
          </w:tcPr>
          <w:p>
            <w:pPr>
              <w:spacing w:after="0"/>
              <w:rPr>
                <w:sz w:val="1"/>
                <w:szCs w:val="1"/>
                <w:color w:val="auto"/>
              </w:rPr>
            </w:pPr>
          </w:p>
        </w:tc>
      </w:tr>
      <w:tr>
        <w:trPr>
          <w:trHeight w:val="314"/>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security</w:t>
            </w:r>
          </w:p>
        </w:tc>
        <w:tc>
          <w:tcPr>
            <w:tcW w:w="0" w:type="dxa"/>
            <w:vAlign w:val="bottom"/>
          </w:tcPr>
          <w:p>
            <w:pPr>
              <w:spacing w:after="0"/>
              <w:rPr>
                <w:sz w:val="1"/>
                <w:szCs w:val="1"/>
                <w:color w:val="auto"/>
              </w:rPr>
            </w:pPr>
          </w:p>
        </w:tc>
      </w:tr>
      <w:tr>
        <w:trPr>
          <w:trHeight w:val="202"/>
        </w:trPr>
        <w:tc>
          <w:tcPr>
            <w:tcW w:w="1024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2"/>
          <w:szCs w:val="22"/>
          <w:color w:val="auto"/>
        </w:rPr>
        <w:t>N/A</w:t>
      </w:r>
    </w:p>
    <w:p>
      <w:pPr>
        <w:sectPr>
          <w:pgSz w:w="11900" w:h="16838" w:orient="portrait"/>
          <w:cols w:equalWidth="0" w:num="1">
            <w:col w:w="11200"/>
          </w:cols>
          <w:pgMar w:left="320" w:top="88" w:right="379" w:bottom="0" w:gutter="0" w:footer="0" w:header="0"/>
          <w:type w:val="continuous"/>
        </w:sectPr>
      </w:pPr>
    </w:p>
    <w:bookmarkStart w:id="143" w:name="page144"/>
    <w:bookmarkEnd w:id="143"/>
    <w:p>
      <w:pPr>
        <w:ind w:left="40" w:right="48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2026-04-05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1"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1" w:right="399" w:bottom="0" w:gutter="0" w:footer="0" w:header="0"/>
          <w:type w:val="continuous"/>
        </w:sectPr>
      </w:pPr>
    </w:p>
    <w:bookmarkStart w:id="144" w:name="page145"/>
    <w:bookmarkEnd w:id="144"/>
    <w:p>
      <w:pPr>
        <w:jc w:val="both"/>
        <w:ind w:right="300" w:firstLine="8"/>
        <w:spacing w:after="0" w:line="238" w:lineRule="auto"/>
        <w:tabs>
          <w:tab w:leader="none" w:pos="28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0"/>
        <w:spacing w:after="0" w:line="397" w:lineRule="auto"/>
        <w:rPr>
          <w:sz w:val="20"/>
          <w:szCs w:val="20"/>
          <w:color w:val="auto"/>
        </w:rPr>
      </w:pPr>
      <w:r>
        <w:rPr>
          <w:rFonts w:ascii="Times New Roman" w:cs="Times New Roman" w:eastAsia="Times New Roman" w:hAnsi="Times New Roman"/>
          <w:sz w:val="22"/>
          <w:szCs w:val="22"/>
          <w:color w:val="auto"/>
        </w:rPr>
        <w:t>Fidelity Federal Bancorp N/A</w:t>
      </w:r>
    </w:p>
    <w:p>
      <w:pPr>
        <w:ind w:right="20"/>
        <w:spacing w:after="0" w:line="256" w:lineRule="auto"/>
        <w:rPr>
          <w:sz w:val="20"/>
          <w:szCs w:val="20"/>
          <w:color w:val="auto"/>
        </w:rPr>
      </w:pPr>
      <w:r>
        <w:rPr>
          <w:rFonts w:ascii="Times New Roman" w:cs="Times New Roman" w:eastAsia="Times New Roman" w:hAnsi="Times New Roman"/>
          <w:sz w:val="22"/>
          <w:szCs w:val="22"/>
          <w:color w:val="auto"/>
        </w:rPr>
        <w:t>Fixed Rate Cumulative Perpetual Preferred Stock, Series B</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7220" w:space="220"/>
            <w:col w:w="3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FIDELITYFEDB</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200000.00000000 Number of shares</w:t>
      </w:r>
    </w:p>
    <w:p>
      <w:pPr>
        <w:spacing w:after="0" w:line="200" w:lineRule="exact"/>
        <w:rPr>
          <w:sz w:val="20"/>
          <w:szCs w:val="20"/>
          <w:color w:val="auto"/>
        </w:rPr>
      </w:pPr>
    </w:p>
    <w:p>
      <w:pPr>
        <w:spacing w:after="0" w:line="26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120000.00000000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0.075112788621</w:t>
      </w:r>
    </w:p>
    <w:p>
      <w:pPr>
        <w:spacing w:after="0" w:line="200" w:lineRule="exact"/>
        <w:rPr>
          <w:sz w:val="20"/>
          <w:szCs w:val="20"/>
          <w:color w:val="auto"/>
        </w:rPr>
      </w:pPr>
    </w:p>
    <w:p>
      <w:pPr>
        <w:sectPr>
          <w:pgSz w:w="11900" w:h="16838"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4"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r>
        <w:rPr>
          <w:sz w:val="20"/>
          <w:szCs w:val="20"/>
          <w:color w:val="auto"/>
        </w:rPr>
        <w:tab/>
      </w:r>
      <w:r>
        <w:rPr>
          <w:rFonts w:ascii="Times New Roman" w:cs="Times New Roman" w:eastAsia="Times New Roman" w:hAnsi="Times New Roman"/>
          <w:sz w:val="21"/>
          <w:szCs w:val="21"/>
          <w:color w:val="auto"/>
        </w:rPr>
        <w:t>Equity-</w:t>
      </w: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derivative-equity, derivative-foreign exchange, derivative-interest rate, derivatives-other, structured note, loan, ABS- preferred mortgage backed security, ABS-asset backed commercial paper, ABS-collateralized bond/debt obligation, ABS-other, commodity, real estate, other). If “other,” provide a brief description.</w:t>
      </w:r>
    </w:p>
    <w:p>
      <w:pPr>
        <w:spacing w:after="0" w:line="1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46" w:name="page147"/>
    <w:bookmarkEnd w:id="146"/>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11" w:right="399" w:bottom="0" w:gutter="0" w:footer="0" w:header="0"/>
          <w:type w:val="continuous"/>
        </w:sectPr>
      </w:pPr>
    </w:p>
    <w:bookmarkStart w:id="147" w:name="page148"/>
    <w:bookmarkEnd w:id="147"/>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600"/>
        <w:spacing w:after="0" w:line="397" w:lineRule="auto"/>
        <w:rPr>
          <w:sz w:val="20"/>
          <w:szCs w:val="20"/>
          <w:color w:val="auto"/>
        </w:rPr>
      </w:pPr>
      <w:r>
        <w:rPr>
          <w:rFonts w:ascii="Times New Roman" w:cs="Times New Roman" w:eastAsia="Times New Roman" w:hAnsi="Times New Roman"/>
          <w:sz w:val="22"/>
          <w:szCs w:val="22"/>
          <w:color w:val="auto"/>
        </w:rPr>
        <w:t>Fidelity Federal Bancorp N/A</w:t>
      </w:r>
    </w:p>
    <w:p>
      <w:pPr>
        <w:ind w:right="40"/>
        <w:spacing w:after="0" w:line="256" w:lineRule="auto"/>
        <w:rPr>
          <w:sz w:val="20"/>
          <w:szCs w:val="20"/>
          <w:color w:val="auto"/>
        </w:rPr>
      </w:pPr>
      <w:r>
        <w:rPr>
          <w:rFonts w:ascii="Times New Roman" w:cs="Times New Roman" w:eastAsia="Times New Roman" w:hAnsi="Times New Roman"/>
          <w:sz w:val="22"/>
          <w:szCs w:val="22"/>
          <w:color w:val="auto"/>
        </w:rPr>
        <w:t>Fixed Rate Cumulative Perpetual Preferred Stock, Series A</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7220" w:space="220"/>
            <w:col w:w="37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FIDELITYFEDA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2789000.00000000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1673400.00000000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1.047447837328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p>
      <w:pPr>
        <w:spacing w:after="0" w:line="4"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r>
        <w:rPr>
          <w:sz w:val="20"/>
          <w:szCs w:val="20"/>
          <w:color w:val="auto"/>
        </w:rPr>
        <w:tab/>
      </w:r>
      <w:r>
        <w:rPr>
          <w:rFonts w:ascii="Times New Roman" w:cs="Times New Roman" w:eastAsia="Times New Roman" w:hAnsi="Times New Roman"/>
          <w:sz w:val="21"/>
          <w:szCs w:val="21"/>
          <w:color w:val="auto"/>
        </w:rPr>
        <w:t>Equity-</w:t>
      </w:r>
    </w:p>
    <w:p>
      <w:pPr>
        <w:ind w:left="40" w:right="80"/>
        <w:spacing w:after="0" w:line="235" w:lineRule="auto"/>
        <w:rPr>
          <w:sz w:val="20"/>
          <w:szCs w:val="20"/>
          <w:color w:val="auto"/>
        </w:rPr>
      </w:pPr>
      <w:r>
        <w:rPr>
          <w:rFonts w:ascii="Times New Roman" w:cs="Times New Roman" w:eastAsia="Times New Roman" w:hAnsi="Times New Roman"/>
          <w:sz w:val="22"/>
          <w:szCs w:val="22"/>
          <w:color w:val="auto"/>
        </w:rPr>
        <w:t>derivative-equity, derivative-foreign exchange, derivative-interest rate, derivatives-other, structured note, loan, ABS- preferred mortgage backed security, ABS-asset backed commercial paper, ABS-collateralized bond/debt obligation, ABS-other, commodity, real estate, other). If “other,” provide a brief description.</w:t>
      </w:r>
    </w:p>
    <w:p>
      <w:pPr>
        <w:spacing w:after="0" w:line="1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49" w:name="page150"/>
    <w:bookmarkEnd w:id="149"/>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1"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1"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11" w:right="399" w:bottom="0" w:gutter="0" w:footer="0" w:header="0"/>
          <w:type w:val="continuous"/>
        </w:sectPr>
      </w:pPr>
    </w:p>
    <w:p>
      <w:pPr>
        <w:ind w:left="40"/>
        <w:spacing w:after="0" w:line="258" w:lineRule="auto"/>
        <w:rPr>
          <w:sz w:val="20"/>
          <w:szCs w:val="20"/>
          <w:color w:val="auto"/>
        </w:rPr>
      </w:pPr>
      <w:r>
        <w:rPr>
          <w:rFonts w:ascii="Times New Roman" w:cs="Times New Roman" w:eastAsia="Times New Roman" w:hAnsi="Times New Roman"/>
          <w:sz w:val="22"/>
          <w:szCs w:val="22"/>
          <w:color w:val="auto"/>
        </w:rPr>
        <w:t>e. Is any portion of the interest paid in kind? [Y/N] Enter "N" if the interest may be paid in kind but is not actually paid in kind or if the Fund has the option of electing in-kind payment and has elected to be paid in-kind.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ind w:right="40"/>
        <w:spacing w:after="0" w:line="297" w:lineRule="auto"/>
        <w:rPr>
          <w:sz w:val="20"/>
          <w:szCs w:val="20"/>
          <w:color w:val="auto"/>
        </w:rPr>
      </w:pPr>
      <w:r>
        <w:rPr>
          <w:sz w:val="1"/>
          <w:szCs w:val="1"/>
          <w:color w:val="auto"/>
        </w:rPr>
        <w:drawing>
          <wp:inline distT="0" distB="0" distL="0" distR="0">
            <wp:extent cx="137160" cy="137160"/>
            <wp:effectExtent l="0" t="0" r="0" b="0"/>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 </w:t>
      </w:r>
      <w:r>
        <w:rPr>
          <w:sz w:val="1"/>
          <w:szCs w:val="1"/>
          <w:color w:val="auto"/>
        </w:rPr>
        <w:drawing>
          <wp:inline distT="0" distB="0" distL="0" distR="0">
            <wp:extent cx="137160" cy="137160"/>
            <wp:effectExtent l="0" t="0" r="0" b="0"/>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No</w:t>
      </w:r>
    </w:p>
    <w:p>
      <w:pPr>
        <w:sectPr>
          <w:pgSz w:w="11900" w:h="16838" w:orient="portrait"/>
          <w:cols w:equalWidth="0" w:num="2">
            <w:col w:w="10340" w:space="220"/>
            <w:col w:w="620"/>
          </w:cols>
          <w:pgMar w:left="320" w:top="111" w:right="399" w:bottom="0" w:gutter="0" w:footer="0" w:header="0"/>
          <w:type w:val="continuous"/>
        </w:sectPr>
      </w:pPr>
    </w:p>
    <w:bookmarkStart w:id="150" w:name="page151"/>
    <w:bookmarkEnd w:id="150"/>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3" w:lineRule="exact"/>
        <w:rPr>
          <w:sz w:val="20"/>
          <w:szCs w:val="20"/>
          <w:color w:val="auto"/>
        </w:rPr>
      </w:pPr>
    </w:p>
    <w:p>
      <w:pPr>
        <w:jc w:val="both"/>
        <w:ind w:right="300" w:firstLine="8"/>
        <w:spacing w:after="0" w:line="238" w:lineRule="auto"/>
        <w:tabs>
          <w:tab w:leader="none" w:pos="28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1"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1"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1" w:right="3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3 -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AMFI2DAC3</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5000000.00000000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5849704.13000000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3.661563248465</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52" w:name="page153"/>
    <w:bookmarkEnd w:id="152"/>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2032-07-08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9.61900000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409"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409" w:right="399" w:bottom="0" w:gutter="0" w:footer="0" w:header="0"/>
          <w:type w:val="continuous"/>
        </w:sectPr>
      </w:pPr>
    </w:p>
    <w:bookmarkStart w:id="153" w:name="page154"/>
    <w:bookmarkEnd w:id="153"/>
    <w:p>
      <w:pPr>
        <w:jc w:val="both"/>
        <w:ind w:right="300" w:firstLine="8"/>
        <w:spacing w:after="0" w:line="238" w:lineRule="auto"/>
        <w:tabs>
          <w:tab w:leader="none" w:pos="28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XS2538353207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Absolute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1308970.55000000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1310742.06000000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0.820445760752</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55" w:name="page156"/>
    <w:bookmarkEnd w:id="155"/>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2027-10-10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16.83862000 </w:t>
      </w:r>
      <w:r>
        <w:rPr>
          <w:sz w:val="1"/>
          <w:szCs w:val="1"/>
          <w:color w:val="auto"/>
        </w:rPr>
        <w:drawing>
          <wp:inline distT="0" distB="0" distL="0" distR="0">
            <wp:extent cx="137160" cy="137160"/>
            <wp:effectExtent l="0"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156" w:name="page157"/>
    <w:bookmarkEnd w:id="156"/>
    <w:p>
      <w:pPr>
        <w:jc w:val="both"/>
        <w:ind w:right="300" w:firstLine="8"/>
        <w:spacing w:after="0" w:line="238" w:lineRule="auto"/>
        <w:tabs>
          <w:tab w:leader="none" w:pos="28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57" w:name="page158"/>
    <w:bookmarkEnd w:id="157"/>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68" w:orient="portrait"/>
          <w:cols w:equalWidth="0" w:num="1">
            <w:col w:w="11200"/>
          </w:cols>
          <w:pgMar w:left="320" w:top="88" w:right="379" w:bottom="0" w:gutter="0" w:footer="0" w:header="0"/>
        </w:sect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XS2608243098</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Waterloo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254900Q1AXE1IXAJJM39</w:t>
      </w:r>
    </w:p>
    <w:p>
      <w:pPr>
        <w:spacing w:after="0" w:line="177" w:lineRule="exact"/>
        <w:rPr>
          <w:sz w:val="20"/>
          <w:szCs w:val="20"/>
          <w:color w:val="auto"/>
        </w:rPr>
      </w:pPr>
    </w:p>
    <w:p>
      <w:pPr>
        <w:ind w:right="800"/>
        <w:spacing w:after="0" w:line="309" w:lineRule="auto"/>
        <w:rPr>
          <w:sz w:val="20"/>
          <w:szCs w:val="20"/>
          <w:color w:val="auto"/>
        </w:rPr>
      </w:pPr>
      <w:r>
        <w:rPr>
          <w:rFonts w:ascii="Times New Roman" w:cs="Times New Roman" w:eastAsia="Times New Roman" w:hAnsi="Times New Roman"/>
          <w:sz w:val="22"/>
          <w:szCs w:val="22"/>
          <w:color w:val="auto"/>
        </w:rPr>
        <w:t>Credit Linked Note 000000000</w:t>
      </w:r>
    </w:p>
    <w:p>
      <w:pPr>
        <w:spacing w:after="0" w:line="1394" w:lineRule="exact"/>
        <w:rPr>
          <w:sz w:val="20"/>
          <w:szCs w:val="20"/>
          <w:color w:val="auto"/>
        </w:rPr>
      </w:pPr>
    </w:p>
    <w:p>
      <w:pPr>
        <w:sectPr>
          <w:pgSz w:w="11900" w:h="16868" w:orient="portrait"/>
          <w:cols w:equalWidth="0" w:num="2">
            <w:col w:w="8600" w:space="120"/>
            <w:col w:w="2480"/>
          </w:cols>
          <w:pgMar w:left="320" w:top="88" w:right="379" w:bottom="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6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2767500.00000000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1.732288687586</w:t>
      </w:r>
    </w:p>
    <w:p>
      <w:pPr>
        <w:spacing w:after="0" w:line="211" w:lineRule="exact"/>
        <w:rPr>
          <w:sz w:val="20"/>
          <w:szCs w:val="20"/>
          <w:color w:val="auto"/>
        </w:rPr>
      </w:pPr>
    </w:p>
    <w:p>
      <w:pPr>
        <w:sectPr>
          <w:pgSz w:w="11900" w:h="1686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216"/>
        </w:trPr>
        <w:tc>
          <w:tcPr>
            <w:tcW w:w="102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22"/>
          <w:szCs w:val="22"/>
          <w:color w:val="auto"/>
        </w:rPr>
        <w:t>CANADA</w:t>
      </w:r>
    </w:p>
    <w:p>
      <w:pPr>
        <w:spacing w:after="0" w:line="14" w:lineRule="exact"/>
        <w:rPr>
          <w:sz w:val="20"/>
          <w:szCs w:val="20"/>
          <w:color w:val="auto"/>
        </w:rPr>
      </w:pPr>
    </w:p>
    <w:p>
      <w:pPr>
        <w:ind w:left="9760" w:right="380" w:hanging="9719"/>
        <w:spacing w:after="0" w:line="256" w:lineRule="auto"/>
        <w:tabs>
          <w:tab w:leader="none" w:pos="97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(FEDERAL LEVEL)</w:t>
      </w:r>
    </w:p>
    <w:p>
      <w:pPr>
        <w:spacing w:after="0" w:line="1" w:lineRule="exact"/>
        <w:rPr>
          <w:sz w:val="20"/>
          <w:szCs w:val="20"/>
          <w:color w:val="auto"/>
        </w:rPr>
      </w:pPr>
    </w:p>
    <w:p>
      <w:pPr>
        <w:ind w:left="40" w:right="1540"/>
        <w:spacing w:after="0" w:line="258"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w:t>
      </w:r>
    </w:p>
    <w:p>
      <w:pPr>
        <w:sectPr>
          <w:pgSz w:w="11900" w:h="16868" w:orient="portrait"/>
          <w:cols w:equalWidth="0" w:num="1">
            <w:col w:w="11200"/>
          </w:cols>
          <w:pgMar w:left="320" w:top="88" w:right="379" w:bottom="0" w:gutter="0" w:footer="0" w:header="0"/>
          <w:type w:val="continuous"/>
        </w:sectPr>
      </w:pPr>
    </w:p>
    <w:bookmarkStart w:id="158" w:name="page159"/>
    <w:bookmarkEnd w:id="158"/>
    <w:p>
      <w:pPr>
        <w:ind w:left="40"/>
        <w:spacing w:after="0"/>
        <w:rPr>
          <w:sz w:val="20"/>
          <w:szCs w:val="20"/>
          <w:color w:val="auto"/>
        </w:rPr>
      </w:pPr>
      <w:r>
        <w:rPr>
          <w:rFonts w:ascii="Times New Roman" w:cs="Times New Roman" w:eastAsia="Times New Roman" w:hAnsi="Times New Roman"/>
          <w:sz w:val="22"/>
          <w:szCs w:val="22"/>
          <w:color w:val="auto"/>
        </w:rPr>
        <w:t>investments.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2031-05-25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14.10402000 </w:t>
      </w:r>
      <w:r>
        <w:rPr>
          <w:sz w:val="1"/>
          <w:szCs w:val="1"/>
          <w:color w:val="auto"/>
        </w:rPr>
        <w:drawing>
          <wp:inline distT="0" distB="0" distL="0" distR="0">
            <wp:extent cx="137160" cy="137160"/>
            <wp:effectExtent l="0" t="0" r="0" b="0"/>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12"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12" w:right="399" w:bottom="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XS2463129408</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Elvetia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44"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2615080.24000000 Principal amount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 Franc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2920315.83000000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0.79605000</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1.827942213727</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Structured note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Corporate</w:t>
      </w:r>
    </w:p>
    <w:p>
      <w:pPr>
        <w:spacing w:after="0" w:line="490" w:lineRule="exact"/>
        <w:rPr>
          <w:sz w:val="20"/>
          <w:szCs w:val="20"/>
          <w:color w:val="auto"/>
        </w:rPr>
      </w:pPr>
    </w:p>
    <w:p>
      <w:pPr>
        <w:sectPr>
          <w:pgSz w:w="11900" w:h="16838" w:orient="portrait"/>
          <w:cols w:equalWidth="0" w:num="2">
            <w:col w:w="10240" w:space="60"/>
            <w:col w:w="900"/>
          </w:cols>
          <w:pgMar w:left="320" w:top="88" w:right="37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0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0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4"/>
              </w:rPr>
              <w:t>JERSEY</w:t>
            </w:r>
          </w:p>
        </w:tc>
        <w:tc>
          <w:tcPr>
            <w:tcW w:w="0" w:type="dxa"/>
            <w:vAlign w:val="bottom"/>
          </w:tcPr>
          <w:p>
            <w:pPr>
              <w:spacing w:after="0"/>
              <w:rPr>
                <w:sz w:val="1"/>
                <w:szCs w:val="1"/>
                <w:color w:val="auto"/>
              </w:rPr>
            </w:pPr>
          </w:p>
        </w:tc>
      </w:tr>
      <w:tr>
        <w:trPr>
          <w:trHeight w:val="122"/>
        </w:trPr>
        <w:tc>
          <w:tcPr>
            <w:tcW w:w="102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88" w:right="379" w:bottom="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2030-10-20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9.36590000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08"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488" w:lineRule="exact"/>
        <w:rPr>
          <w:sz w:val="20"/>
          <w:szCs w:val="20"/>
          <w:color w:val="auto"/>
        </w:rPr>
      </w:pPr>
    </w:p>
    <w:p>
      <w:pPr>
        <w:sectPr>
          <w:pgSz w:w="11900" w:h="16838" w:orient="portrait"/>
          <w:cols w:equalWidth="0" w:num="2">
            <w:col w:w="9920" w:space="200"/>
            <w:col w:w="10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82" w:lineRule="auto"/>
        <w:tabs>
          <w:tab w:leader="none" w:pos="28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Description of the reference instrument, including the name of issuer, title of issue, and currency in which denominated, as well as CUSIP of reference instrument, ISIN (if CUSIP is not available), ticker (if CUSIP and ISIN are not available), or other</w:t>
      </w:r>
    </w:p>
    <w:p>
      <w:pPr>
        <w:sectPr>
          <w:pgSz w:w="11900" w:h="16838" w:orient="portrait"/>
          <w:cols w:equalWidth="0" w:num="1">
            <w:col w:w="11180"/>
          </w:cols>
          <w:pgMar w:left="320" w:top="108" w:right="399" w:bottom="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color w:val="auto"/>
        </w:rPr>
        <w:t>identifier (if CUSIP, ISIN, and ticker are not available).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other identifier provided, indicate the type of identifier used.</w:t>
      </w: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3" w:name="page164"/>
    <w:bookmarkEnd w:id="163"/>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US251541AR95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251541AR9</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270543.60000000 Principal amount</w:t>
      </w:r>
    </w:p>
    <w:p>
      <w:pPr>
        <w:spacing w:after="0" w:line="217"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United States Dollar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243489.24000000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0.152409631798</w:t>
      </w:r>
    </w:p>
    <w:p>
      <w:pPr>
        <w:spacing w:after="0" w:line="200" w:lineRule="exact"/>
        <w:rPr>
          <w:sz w:val="20"/>
          <w:szCs w:val="20"/>
          <w:color w:val="auto"/>
        </w:rPr>
      </w:pPr>
    </w:p>
    <w:p>
      <w:pPr>
        <w:sectPr>
          <w:pgSz w:w="11900" w:h="16891" w:orient="portrait"/>
          <w:cols w:equalWidth="0" w:num="2">
            <w:col w:w="9200" w:space="380"/>
            <w:col w:w="16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p>
      <w:pPr>
        <w:spacing w:after="0" w:line="16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CAYMAN ISLANDS</w:t>
      </w:r>
    </w:p>
    <w:p>
      <w:pPr>
        <w:sectPr>
          <w:pgSz w:w="11900" w:h="16891" w:orient="portrait"/>
          <w:cols w:equalWidth="0" w:num="2">
            <w:col w:w="9980" w:space="200"/>
            <w:col w:w="1020"/>
          </w:cols>
          <w:pgMar w:left="320" w:top="88" w:right="379" w:bottom="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2026-01-20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14.58710000 </w:t>
      </w:r>
      <w:r>
        <w:rPr>
          <w:sz w:val="1"/>
          <w:szCs w:val="1"/>
          <w:color w:val="auto"/>
        </w:rPr>
        <w:drawing>
          <wp:inline distT="0" distB="0" distL="0" distR="0">
            <wp:extent cx="137160" cy="137160"/>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65" w:name="page166"/>
    <w:bookmarkEnd w:id="165"/>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TransPecos Finanical Corp.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600"/>
        <w:spacing w:after="0" w:line="309" w:lineRule="auto"/>
        <w:rPr>
          <w:sz w:val="20"/>
          <w:szCs w:val="20"/>
          <w:color w:val="auto"/>
        </w:rPr>
      </w:pPr>
      <w:r>
        <w:rPr>
          <w:rFonts w:ascii="Times New Roman" w:cs="Times New Roman" w:eastAsia="Times New Roman" w:hAnsi="Times New Roman"/>
          <w:sz w:val="22"/>
          <w:szCs w:val="22"/>
          <w:color w:val="auto"/>
        </w:rPr>
        <w:t>Senior Term Loan 000000000</w:t>
      </w:r>
    </w:p>
    <w:p>
      <w:pPr>
        <w:spacing w:after="0" w:line="598" w:lineRule="exact"/>
        <w:rPr>
          <w:sz w:val="20"/>
          <w:szCs w:val="20"/>
          <w:color w:val="auto"/>
        </w:rPr>
      </w:pPr>
    </w:p>
    <w:p>
      <w:pPr>
        <w:sectPr>
          <w:pgSz w:w="11900" w:h="16838" w:orient="portrait"/>
          <w:cols w:equalWidth="0" w:num="2">
            <w:col w:w="8600" w:space="440"/>
            <w:col w:w="216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TRANSPECOS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4000000.00000000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3500000.00000000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2.190789668131</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ectPr>
          <w:pgSz w:w="11900" w:h="16838" w:orient="portrait"/>
          <w:cols w:equalWidth="0" w:num="1">
            <w:col w:w="11200"/>
          </w:cols>
          <w:pgMar w:left="320" w:top="88" w:right="379" w:bottom="0" w:gutter="0" w:footer="0" w:header="0"/>
          <w:type w:val="continuous"/>
        </w:sectPr>
      </w:pPr>
    </w:p>
    <w:bookmarkStart w:id="167" w:name="page168"/>
    <w:bookmarkEnd w:id="167"/>
    <w:p>
      <w:pPr>
        <w:ind w:left="9700"/>
        <w:spacing w:after="0"/>
        <w:rPr>
          <w:sz w:val="20"/>
          <w:szCs w:val="20"/>
          <w:color w:val="auto"/>
        </w:rPr>
      </w:pPr>
      <w:r>
        <w:rPr>
          <w:rFonts w:ascii="Times New Roman" w:cs="Times New Roman" w:eastAsia="Times New Roman" w:hAnsi="Times New Roman"/>
          <w:sz w:val="22"/>
          <w:szCs w:val="22"/>
          <w:color w:val="auto"/>
        </w:rPr>
        <w:t>STATES OF</w:t>
      </w:r>
    </w:p>
    <w:p>
      <w:pPr>
        <w:spacing w:after="0" w:line="1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46"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46"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2028-10-01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9.00000000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46"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46" w:gutter="0" w:footer="0" w:header="0"/>
          <w:type w:val="continuous"/>
        </w:sectPr>
      </w:pPr>
    </w:p>
    <w:bookmarkStart w:id="168" w:name="page169"/>
    <w:bookmarkEnd w:id="168"/>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69" w:name="page170"/>
    <w:bookmarkEnd w:id="169"/>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XS2387450047</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CRAFT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25155KAV7</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2478102.89000000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2849818.32000000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1.783815009002</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GERMANY</w:t>
            </w:r>
          </w:p>
        </w:tc>
        <w:tc>
          <w:tcPr>
            <w:tcW w:w="0" w:type="dxa"/>
            <w:vAlign w:val="bottom"/>
          </w:tcPr>
          <w:p>
            <w:pPr>
              <w:spacing w:after="0"/>
              <w:rPr>
                <w:sz w:val="1"/>
                <w:szCs w:val="1"/>
                <w:color w:val="auto"/>
              </w:rPr>
            </w:pPr>
          </w:p>
        </w:tc>
      </w:tr>
      <w:tr>
        <w:trPr>
          <w:trHeight w:val="122"/>
        </w:trPr>
        <w:tc>
          <w:tcPr>
            <w:tcW w:w="894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2029-02-21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12.95745000 </w:t>
      </w:r>
      <w:r>
        <w:rPr>
          <w:sz w:val="1"/>
          <w:szCs w:val="1"/>
          <w:color w:val="auto"/>
        </w:rPr>
        <w:drawing>
          <wp:inline distT="0" distB="0" distL="0" distR="0">
            <wp:extent cx="137160" cy="137160"/>
            <wp:effectExtent l="0" t="0" r="0" b="0"/>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71" w:name="page172"/>
    <w:bookmarkEnd w:id="171"/>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2" w:name="page173"/>
    <w:bookmarkEnd w:id="172"/>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70"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XS2402143692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20"/>
        <w:spacing w:after="0" w:line="415" w:lineRule="auto"/>
        <w:rPr>
          <w:sz w:val="20"/>
          <w:szCs w:val="20"/>
          <w:color w:val="auto"/>
        </w:rPr>
      </w:pPr>
      <w:r>
        <w:rPr>
          <w:rFonts w:ascii="Times New Roman" w:cs="Times New Roman" w:eastAsia="Times New Roman" w:hAnsi="Times New Roman"/>
          <w:sz w:val="21"/>
          <w:szCs w:val="21"/>
          <w:color w:val="auto"/>
        </w:rPr>
        <w:t>Premium Green PLC 5493000S7VTDPDFJCP28</w:t>
      </w:r>
    </w:p>
    <w:p>
      <w:pPr>
        <w:spacing w:after="0" w:line="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5 Year Secured Amortizing Floating Rate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1367" w:lineRule="exact"/>
        <w:rPr>
          <w:sz w:val="20"/>
          <w:szCs w:val="20"/>
          <w:color w:val="auto"/>
        </w:rPr>
      </w:pPr>
    </w:p>
    <w:p>
      <w:pPr>
        <w:sectPr>
          <w:pgSz w:w="11900" w:h="16870" w:orient="portrait"/>
          <w:cols w:equalWidth="0" w:num="2">
            <w:col w:w="7720" w:space="260"/>
            <w:col w:w="3220"/>
          </w:cols>
          <w:pgMar w:left="320" w:top="88" w:right="379" w:bottom="0"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BPBMN00</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SEDOL</w:t>
      </w:r>
    </w:p>
    <w:p>
      <w:pPr>
        <w:spacing w:after="0" w:line="763" w:lineRule="exact"/>
        <w:rPr>
          <w:sz w:val="20"/>
          <w:szCs w:val="20"/>
          <w:color w:val="auto"/>
        </w:rPr>
      </w:pPr>
    </w:p>
    <w:p>
      <w:pPr>
        <w:sectPr>
          <w:pgSz w:w="11900" w:h="16870"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70"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1695005.25268000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1992996.00000000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1.247495727265</w:t>
      </w:r>
    </w:p>
    <w:p>
      <w:pPr>
        <w:spacing w:after="0" w:line="211" w:lineRule="exact"/>
        <w:rPr>
          <w:sz w:val="20"/>
          <w:szCs w:val="20"/>
          <w:color w:val="auto"/>
        </w:rPr>
      </w:pPr>
    </w:p>
    <w:p>
      <w:pPr>
        <w:sectPr>
          <w:pgSz w:w="11900" w:h="16870"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70" w:orient="portrait"/>
          <w:cols w:equalWidth="0" w:num="1">
            <w:col w:w="11200"/>
          </w:cols>
          <w:pgMar w:left="320" w:top="88" w:right="379" w:bottom="0" w:gutter="0" w:footer="0" w:header="0"/>
          <w:type w:val="continuous"/>
        </w:sectPr>
      </w:pPr>
    </w:p>
    <w:bookmarkStart w:id="173" w:name="page174"/>
    <w:bookmarkEnd w:id="173"/>
    <w:tbl>
      <w:tblPr>
        <w:tblLayout w:type="fixed"/>
        <w:tblInd w:w="40" w:type="dxa"/>
        <w:tblCellMar>
          <w:top w:w="0" w:type="dxa"/>
          <w:left w:w="0" w:type="dxa"/>
          <w:bottom w:w="0" w:type="dxa"/>
          <w:right w:w="0" w:type="dxa"/>
        </w:tblCellMar>
      </w:tblPr>
      <w:tr>
        <w:trPr>
          <w:trHeight w:val="282"/>
        </w:trPr>
        <w:tc>
          <w:tcPr>
            <w:tcW w:w="10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IRELAND</w:t>
            </w:r>
          </w:p>
        </w:tc>
        <w:tc>
          <w:tcPr>
            <w:tcW w:w="0" w:type="dxa"/>
            <w:vAlign w:val="bottom"/>
          </w:tcPr>
          <w:p>
            <w:pPr>
              <w:spacing w:after="0"/>
              <w:rPr>
                <w:sz w:val="1"/>
                <w:szCs w:val="1"/>
                <w:color w:val="auto"/>
              </w:rPr>
            </w:pPr>
          </w:p>
        </w:tc>
      </w:tr>
      <w:tr>
        <w:trPr>
          <w:trHeight w:val="122"/>
        </w:trPr>
        <w:tc>
          <w:tcPr>
            <w:tcW w:w="100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0080" w:type="dxa"/>
            <w:vAlign w:val="bottom"/>
          </w:tcPr>
          <w:p>
            <w:pPr>
              <w:spacing w:after="0"/>
              <w:rPr>
                <w:sz w:val="20"/>
                <w:szCs w:val="20"/>
                <w:color w:val="auto"/>
              </w:rPr>
            </w:pPr>
            <w:r>
              <w:rPr>
                <w:rFonts w:ascii="Times New Roman" w:cs="Times New Roman" w:eastAsia="Times New Roman" w:hAnsi="Times New Roman"/>
                <w:sz w:val="22"/>
                <w:szCs w:val="22"/>
                <w:color w:val="auto"/>
                <w:w w:val="99"/>
              </w:rPr>
              <w:t>If different from the country where the issuer is organized, also report the ISO country code that corresponds to the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0080" w:type="dxa"/>
            <w:vAlign w:val="bottom"/>
          </w:tcPr>
          <w:p>
            <w:pPr>
              <w:spacing w:after="0"/>
              <w:rPr>
                <w:sz w:val="20"/>
                <w:szCs w:val="20"/>
                <w:color w:val="auto"/>
              </w:rPr>
            </w:pPr>
            <w:r>
              <w:rPr>
                <w:rFonts w:ascii="Times New Roman" w:cs="Times New Roman" w:eastAsia="Times New Roman" w:hAnsi="Times New Roman"/>
                <w:sz w:val="22"/>
                <w:szCs w:val="22"/>
                <w:color w:val="auto"/>
              </w:rPr>
              <w:t>country of investment or issuer based on the concentrations of the risk and economic exposure of the investments.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2026-11-10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Floating</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0.01000000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53"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53" w:right="399" w:bottom="0" w:gutter="0" w:footer="0" w:header="0"/>
          <w:type w:val="continuous"/>
        </w:sectPr>
      </w:pPr>
    </w:p>
    <w:bookmarkStart w:id="174" w:name="page175"/>
    <w:bookmarkEnd w:id="174"/>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64" w:lineRule="exact"/>
        <w:rPr>
          <w:sz w:val="20"/>
          <w:szCs w:val="20"/>
          <w:color w:val="auto"/>
        </w:rPr>
      </w:pPr>
    </w:p>
    <w:p>
      <w:pPr>
        <w:jc w:val="both"/>
        <w:ind w:right="300" w:firstLine="8"/>
        <w:spacing w:after="0" w:line="238" w:lineRule="auto"/>
        <w:tabs>
          <w:tab w:leader="none" w:pos="28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ectPr>
          <w:pgSz w:w="11900" w:h="16838" w:orient="portrait"/>
          <w:cols w:equalWidth="0" w:num="1">
            <w:col w:w="11200"/>
          </w:cols>
          <w:pgMar w:left="320" w:top="88" w:right="3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AMF Ireland Finance 2 - Series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00"/>
        <w:spacing w:after="0" w:line="309" w:lineRule="auto"/>
        <w:rPr>
          <w:sz w:val="20"/>
          <w:szCs w:val="20"/>
          <w:color w:val="auto"/>
        </w:rPr>
      </w:pPr>
      <w:r>
        <w:rPr>
          <w:rFonts w:ascii="Times New Roman" w:cs="Times New Roman" w:eastAsia="Times New Roman" w:hAnsi="Times New Roman"/>
          <w:sz w:val="22"/>
          <w:szCs w:val="22"/>
          <w:color w:val="auto"/>
        </w:rPr>
        <w:t>Profit Participating Note 000000000</w:t>
      </w:r>
    </w:p>
    <w:p>
      <w:pPr>
        <w:spacing w:after="0" w:line="598" w:lineRule="exact"/>
        <w:rPr>
          <w:sz w:val="20"/>
          <w:szCs w:val="20"/>
          <w:color w:val="auto"/>
        </w:rPr>
      </w:pPr>
    </w:p>
    <w:p>
      <w:pPr>
        <w:sectPr>
          <w:pgSz w:w="11900" w:h="16838" w:orient="portrait"/>
          <w:cols w:equalWidth="0" w:num="2">
            <w:col w:w="8600" w:space="80"/>
            <w:col w:w="252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AMFI2DAC2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3000000.00000000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3068700.00000000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1.920821787027</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2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IRELAND</w:t>
      </w:r>
    </w:p>
    <w:p>
      <w:pPr>
        <w:sectPr>
          <w:pgSz w:w="11900" w:h="16838" w:orient="portrait"/>
          <w:cols w:equalWidth="0" w:num="1">
            <w:col w:w="11200"/>
          </w:cols>
          <w:pgMar w:left="320" w:top="88" w:right="379" w:bottom="0" w:gutter="0" w:footer="0" w:header="0"/>
          <w:type w:val="continuous"/>
        </w:sectPr>
      </w:pPr>
    </w:p>
    <w:bookmarkStart w:id="176" w:name="page177"/>
    <w:bookmarkEnd w:id="176"/>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2033-05-09</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15.09086000 </w:t>
      </w:r>
      <w:r>
        <w:rPr>
          <w:sz w:val="1"/>
          <w:szCs w:val="1"/>
          <w:color w:val="auto"/>
        </w:rPr>
        <w:drawing>
          <wp:inline distT="0" distB="0" distL="0" distR="0">
            <wp:extent cx="137160" cy="137160"/>
            <wp:effectExtent l="0" t="0" r="0" b="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177" w:name="page178"/>
    <w:bookmarkEnd w:id="177"/>
    <w:p>
      <w:pPr>
        <w:jc w:val="both"/>
        <w:ind w:right="300" w:firstLine="8"/>
        <w:spacing w:after="0" w:line="238" w:lineRule="auto"/>
        <w:tabs>
          <w:tab w:leader="none" w:pos="2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US61747C5250</w:t>
      </w:r>
    </w:p>
    <w:p>
      <w:pPr>
        <w:spacing w:after="0" w:line="71" w:lineRule="exact"/>
        <w:rPr>
          <w:sz w:val="20"/>
          <w:szCs w:val="20"/>
          <w:color w:val="auto"/>
        </w:rPr>
      </w:pPr>
    </w:p>
    <w:p>
      <w:pPr>
        <w:ind w:left="40"/>
        <w:spacing w:after="0"/>
        <w:tabs>
          <w:tab w:leader="none" w:pos="2860" w:val="left"/>
        </w:tabs>
        <w:rPr>
          <w:sz w:val="20"/>
          <w:szCs w:val="20"/>
          <w:color w:val="auto"/>
        </w:rPr>
      </w:pPr>
      <w:r>
        <w:rPr>
          <w:rFonts w:ascii="Times New Roman" w:cs="Times New Roman" w:eastAsia="Times New Roman" w:hAnsi="Times New Roman"/>
          <w:sz w:val="22"/>
          <w:szCs w:val="22"/>
          <w:color w:val="auto"/>
        </w:rPr>
        <w:t>Identifier.</w:t>
      </w:r>
      <w:r>
        <w:rPr>
          <w:sz w:val="20"/>
          <w:szCs w:val="20"/>
          <w:color w:val="auto"/>
        </w:rPr>
        <w:tab/>
      </w:r>
      <w:r>
        <w:rPr>
          <w:rFonts w:ascii="Times New Roman" w:cs="Times New Roman" w:eastAsia="Times New Roman" w:hAnsi="Times New Roman"/>
          <w:sz w:val="22"/>
          <w:szCs w:val="22"/>
          <w:color w:val="auto"/>
        </w:rPr>
        <w:t>Ticker (if ISIN is not available)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Ticker (if ISIN is not available). MSUXX</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AMFI Finance 1 DAC Note 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549300OJY9IZ31SGS926</w:t>
      </w:r>
    </w:p>
    <w:p>
      <w:pPr>
        <w:spacing w:after="0" w:line="177" w:lineRule="exact"/>
        <w:rPr>
          <w:sz w:val="20"/>
          <w:szCs w:val="20"/>
          <w:color w:val="auto"/>
        </w:rPr>
      </w:pPr>
    </w:p>
    <w:p>
      <w:pPr>
        <w:ind w:right="220"/>
        <w:spacing w:after="0" w:line="309" w:lineRule="auto"/>
        <w:rPr>
          <w:sz w:val="20"/>
          <w:szCs w:val="20"/>
          <w:color w:val="auto"/>
        </w:rPr>
      </w:pPr>
      <w:r>
        <w:rPr>
          <w:rFonts w:ascii="Times New Roman" w:cs="Times New Roman" w:eastAsia="Times New Roman" w:hAnsi="Times New Roman"/>
          <w:sz w:val="22"/>
          <w:szCs w:val="22"/>
          <w:color w:val="auto"/>
        </w:rPr>
        <w:t>Profit Participating Note 61747C525</w:t>
      </w:r>
    </w:p>
    <w:p>
      <w:pPr>
        <w:spacing w:after="0" w:line="2578" w:lineRule="exact"/>
        <w:rPr>
          <w:sz w:val="20"/>
          <w:szCs w:val="20"/>
          <w:color w:val="auto"/>
        </w:rPr>
      </w:pPr>
    </w:p>
    <w:p>
      <w:pPr>
        <w:sectPr>
          <w:pgSz w:w="11900" w:h="16838" w:orient="portrait"/>
          <w:cols w:equalWidth="0" w:num="2">
            <w:col w:w="8600" w:space="260"/>
            <w:col w:w="23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2113610.34000000 Number of shares</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2113610.34000000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1.322993055808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38" w:orient="portrait"/>
          <w:cols w:equalWidth="0" w:num="1">
            <w:col w:w="11200"/>
          </w:cols>
          <w:pgMar w:left="320" w:top="88" w:right="379" w:bottom="0" w:gutter="0" w:footer="0" w:header="0"/>
          <w:type w:val="continuous"/>
        </w:sectPr>
      </w:pPr>
    </w:p>
    <w:p>
      <w:pPr>
        <w:spacing w:after="0" w:line="39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41"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Short-term investment vehicle (e.g., money market fund, liquidity pool, or other cash management vehicle)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Registered fund</w:t>
      </w:r>
    </w:p>
    <w:p>
      <w:pPr>
        <w:sectPr>
          <w:pgSz w:w="11900" w:h="16838" w:orient="portrait"/>
          <w:cols w:equalWidth="0" w:num="2">
            <w:col w:w="8940" w:space="360"/>
            <w:col w:w="1900"/>
          </w:cols>
          <w:pgMar w:left="320" w:top="88" w:right="379" w:bottom="0" w:gutter="0" w:footer="0" w:header="0"/>
          <w:type w:val="continuous"/>
        </w:sectPr>
      </w:pPr>
    </w:p>
    <w:bookmarkStart w:id="179" w:name="page180"/>
    <w:bookmarkEnd w:id="179"/>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0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53"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53" w:right="399" w:bottom="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debt securities, also provide:</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Maturity date.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Coupon.</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 Select the category that most closely reflects the coupon type among the following (fixed, floating, variable, none).</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d. Are there any interest payments in arrears or have any coupon payments been legally deferred by the issuer? [Y/N]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Yes</w:t>
      </w:r>
    </w:p>
    <w:p>
      <w:pPr>
        <w:spacing w:after="0" w:line="18"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62" w:lineRule="exact"/>
        <w:rPr>
          <w:sz w:val="20"/>
          <w:szCs w:val="20"/>
          <w:color w:val="auto"/>
        </w:rPr>
      </w:pPr>
    </w:p>
    <w:p>
      <w:pPr>
        <w:sectPr>
          <w:pgSz w:w="11900" w:h="16838" w:orient="portrait"/>
          <w:cols w:equalWidth="0" w:num="2">
            <w:col w:w="10200" w:space="360"/>
            <w:col w:w="620"/>
          </w:cols>
          <w:pgMar w:left="320" w:top="153"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 xml:space="preserve">e. Is any portion of the interest paid in kind? [Y/N] Enter "N" if the interest may be paid in kind but is not actually paid  </w:t>
      </w:r>
      <w:r>
        <w:rPr>
          <w:sz w:val="1"/>
          <w:szCs w:val="1"/>
          <w:color w:val="auto"/>
        </w:rPr>
        <w:drawing>
          <wp:inline distT="0" distB="0" distL="0" distR="0">
            <wp:extent cx="137160" cy="137160"/>
            <wp:effectExtent l="0" t="0" r="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in kind or if the Fund has the option of electing in-kind payment and has elected to be paid in-kind.                  </w:t>
      </w:r>
      <w:r>
        <w:rPr>
          <w:sz w:val="1"/>
          <w:szCs w:val="1"/>
          <w:color w:val="auto"/>
        </w:rPr>
        <w:drawing>
          <wp:inline distT="0" distB="0" distL="0" distR="0">
            <wp:extent cx="137160" cy="137160"/>
            <wp:effectExtent l="0" t="0" r="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ectPr>
          <w:pgSz w:w="11900" w:h="16838" w:orient="portrait"/>
          <w:cols w:equalWidth="0" w:num="1">
            <w:col w:w="11180"/>
          </w:cols>
          <w:pgMar w:left="320" w:top="153" w:right="399" w:bottom="0" w:gutter="0" w:footer="0" w:header="0"/>
          <w:type w:val="continuous"/>
        </w:sectPr>
      </w:pPr>
    </w:p>
    <w:bookmarkStart w:id="180" w:name="page181"/>
    <w:bookmarkEnd w:id="180"/>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ii. Contingent convertible? [Y/N] </w:t>
      </w:r>
      <w:r>
        <w:rPr>
          <w:sz w:val="1"/>
          <w:szCs w:val="1"/>
          <w:color w:val="auto"/>
        </w:rPr>
        <w:drawing>
          <wp:inline distT="0" distB="0" distL="0" distR="0">
            <wp:extent cx="137160" cy="13716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49" w:lineRule="exact"/>
        <w:rPr>
          <w:sz w:val="20"/>
          <w:szCs w:val="20"/>
          <w:color w:val="auto"/>
        </w:rPr>
      </w:pPr>
    </w:p>
    <w:p>
      <w:pPr>
        <w:jc w:val="both"/>
        <w:ind w:right="300" w:firstLine="8"/>
        <w:spacing w:after="0" w:line="238" w:lineRule="auto"/>
        <w:tabs>
          <w:tab w:leader="none" w:pos="28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1" w:name="page182"/>
    <w:bookmarkEnd w:id="181"/>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91"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PTBSRBOM0039</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Castelo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2058" w:lineRule="exact"/>
        <w:rPr>
          <w:sz w:val="20"/>
          <w:szCs w:val="20"/>
          <w:color w:val="auto"/>
        </w:rPr>
      </w:pPr>
    </w:p>
    <w:p>
      <w:pPr>
        <w:sectPr>
          <w:pgSz w:w="11900" w:h="16891"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91"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1096212.06000000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1288616.53000000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0.806596508602</w:t>
      </w:r>
    </w:p>
    <w:p>
      <w:pPr>
        <w:spacing w:after="0" w:line="211" w:lineRule="exact"/>
        <w:rPr>
          <w:sz w:val="20"/>
          <w:szCs w:val="20"/>
          <w:color w:val="auto"/>
        </w:rPr>
      </w:pPr>
    </w:p>
    <w:p>
      <w:pPr>
        <w:sectPr>
          <w:pgSz w:w="11900" w:h="16891"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ectPr>
          <w:pgSz w:w="11900" w:h="16891" w:orient="portrait"/>
          <w:cols w:equalWidth="0" w:num="1">
            <w:col w:w="11200"/>
          </w:cols>
          <w:pgMar w:left="320" w:top="88" w:right="379" w:bottom="0" w:gutter="0" w:footer="0" w:header="0"/>
          <w:type w:val="continuous"/>
        </w:sectPr>
      </w:pPr>
    </w:p>
    <w:p>
      <w:pPr>
        <w:spacing w:after="0" w:line="275"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right="28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non-U.S. sovereign, private fund, registered fund, other). If “other,” provide a brief 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21"/>
          <w:szCs w:val="21"/>
          <w:color w:val="auto"/>
        </w:rPr>
        <w:t>ABS-other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w:t>
      </w:r>
    </w:p>
    <w:p>
      <w:pPr>
        <w:spacing w:after="0" w:line="502" w:lineRule="exact"/>
        <w:rPr>
          <w:sz w:val="20"/>
          <w:szCs w:val="20"/>
          <w:color w:val="auto"/>
        </w:rPr>
      </w:pPr>
    </w:p>
    <w:p>
      <w:pPr>
        <w:sectPr>
          <w:pgSz w:w="11900" w:h="16891" w:orient="portrait"/>
          <w:cols w:equalWidth="0" w:num="2">
            <w:col w:w="10240" w:space="100"/>
            <w:col w:w="860"/>
          </w:cols>
          <w:pgMar w:left="320" w:top="88" w:right="379" w:bottom="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8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p>
        </w:tc>
        <w:tc>
          <w:tcPr>
            <w:tcW w:w="22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5"/>
              </w:rPr>
              <w:t>PORTUGAL</w:t>
            </w:r>
          </w:p>
        </w:tc>
        <w:tc>
          <w:tcPr>
            <w:tcW w:w="0" w:type="dxa"/>
            <w:vAlign w:val="bottom"/>
          </w:tcPr>
          <w:p>
            <w:pPr>
              <w:spacing w:after="0"/>
              <w:rPr>
                <w:sz w:val="1"/>
                <w:szCs w:val="1"/>
                <w:color w:val="auto"/>
              </w:rPr>
            </w:pPr>
          </w:p>
        </w:tc>
      </w:tr>
      <w:tr>
        <w:trPr>
          <w:trHeight w:val="121"/>
        </w:trPr>
        <w:tc>
          <w:tcPr>
            <w:tcW w:w="8920" w:type="dxa"/>
            <w:vAlign w:val="bottom"/>
            <w:vMerge w:val="continue"/>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40" w:right="122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ectPr>
          <w:pgSz w:w="11900" w:h="16891" w:orient="portrait"/>
          <w:cols w:equalWidth="0" w:num="1">
            <w:col w:w="11200"/>
          </w:cols>
          <w:pgMar w:left="320" w:top="88" w:right="379" w:bottom="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08" w:right="399" w:bottom="0" w:gutter="0" w:footer="0" w:header="0"/>
        </w:sectPr>
      </w:pPr>
    </w:p>
    <w:p>
      <w:pPr>
        <w:spacing w:after="0" w:line="320"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08" w:right="399" w:bottom="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2037-08-15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08"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10.99400000 </w:t>
      </w:r>
      <w:r>
        <w:rPr>
          <w:sz w:val="1"/>
          <w:szCs w:val="1"/>
          <w:color w:val="auto"/>
        </w:rPr>
        <w:drawing>
          <wp:inline distT="0" distB="0" distL="0" distR="0">
            <wp:extent cx="137160" cy="137160"/>
            <wp:effectExtent l="0" t="0" r="0" b="0"/>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1642" w:lineRule="exact"/>
        <w:rPr>
          <w:sz w:val="20"/>
          <w:szCs w:val="20"/>
          <w:color w:val="auto"/>
        </w:rPr>
      </w:pPr>
    </w:p>
    <w:p>
      <w:pPr>
        <w:sectPr>
          <w:pgSz w:w="11900" w:h="16838" w:orient="portrait"/>
          <w:cols w:equalWidth="0" w:num="2">
            <w:col w:w="9920" w:space="100"/>
            <w:col w:w="1160"/>
          </w:cols>
          <w:pgMar w:left="320" w:top="108" w:right="399" w:bottom="0" w:gutter="0" w:footer="0" w:header="0"/>
          <w:type w:val="continuous"/>
        </w:sectPr>
      </w:pPr>
    </w:p>
    <w:p>
      <w:pPr>
        <w:spacing w:after="0" w:line="60" w:lineRule="exact"/>
        <w:rPr>
          <w:sz w:val="20"/>
          <w:szCs w:val="20"/>
          <w:color w:val="auto"/>
        </w:rPr>
      </w:pPr>
    </w:p>
    <w:p>
      <w:pPr>
        <w:jc w:val="both"/>
        <w:ind w:right="240" w:firstLine="8"/>
        <w:spacing w:after="0" w:line="238" w:lineRule="auto"/>
        <w:tabs>
          <w:tab w:leader="none" w:pos="28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180"/>
          </w:cols>
          <w:pgMar w:left="320" w:top="108" w:right="399" w:bottom="0" w:gutter="0" w:footer="0" w:header="0"/>
          <w:type w:val="continuous"/>
        </w:sectPr>
      </w:pPr>
    </w:p>
    <w:bookmarkStart w:id="183" w:name="page184"/>
    <w:bookmarkEnd w:id="183"/>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45"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 Vista</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PTBSRPOM0009</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1191940.78000000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1404995.66000000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0.879442850199</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04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PORTUGAL</w:t>
      </w:r>
    </w:p>
    <w:p>
      <w:pPr>
        <w:sectPr>
          <w:pgSz w:w="11900" w:h="16838" w:orient="portrait"/>
          <w:cols w:equalWidth="0" w:num="1">
            <w:col w:w="11200"/>
          </w:cols>
          <w:pgMar w:left="320" w:top="88" w:right="379" w:bottom="0" w:gutter="0" w:footer="0" w:header="0"/>
          <w:type w:val="continuous"/>
        </w:sectPr>
      </w:pPr>
    </w:p>
    <w:bookmarkStart w:id="185" w:name="page186"/>
    <w:bookmarkEnd w:id="185"/>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2043-05-02</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2"/>
              </w:rPr>
              <w:t>None</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11.03400000 </w:t>
      </w:r>
      <w:r>
        <w:rPr>
          <w:sz w:val="1"/>
          <w:szCs w:val="1"/>
          <w:color w:val="auto"/>
        </w:rPr>
        <w:drawing>
          <wp:inline distT="0" distB="0" distL="0" distR="0">
            <wp:extent cx="137160" cy="137160"/>
            <wp:effectExtent l="0" t="0" r="0" b="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186" w:name="page187"/>
    <w:bookmarkEnd w:id="186"/>
    <w:p>
      <w:pPr>
        <w:jc w:val="both"/>
        <w:ind w:right="300" w:firstLine="8"/>
        <w:spacing w:after="0" w:line="238" w:lineRule="auto"/>
        <w:tabs>
          <w:tab w:leader="none" w:pos="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 ISIN</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ISIN</w:t>
      </w:r>
      <w:r>
        <w:rPr>
          <w:sz w:val="20"/>
          <w:szCs w:val="20"/>
          <w:color w:val="auto"/>
        </w:rPr>
        <w:tab/>
      </w:r>
      <w:r>
        <w:rPr>
          <w:rFonts w:ascii="Times New Roman" w:cs="Times New Roman" w:eastAsia="Times New Roman" w:hAnsi="Times New Roman"/>
          <w:sz w:val="22"/>
          <w:szCs w:val="22"/>
          <w:color w:val="auto"/>
        </w:rPr>
        <w:t>XS2332592505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Colonnade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06739GDD8</w:t>
      </w:r>
    </w:p>
    <w:p>
      <w:pPr>
        <w:spacing w:after="0" w:line="2058"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5083375.98000000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5318934.54000000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3.329333381628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ABS-</w:t>
            </w:r>
          </w:p>
        </w:tc>
        <w:tc>
          <w:tcPr>
            <w:tcW w:w="0" w:type="dxa"/>
            <w:vAlign w:val="bottom"/>
          </w:tcPr>
          <w:p>
            <w:pPr>
              <w:spacing w:after="0"/>
              <w:rPr>
                <w:sz w:val="1"/>
                <w:szCs w:val="1"/>
                <w:color w:val="auto"/>
              </w:rPr>
            </w:pPr>
          </w:p>
        </w:tc>
      </w:tr>
      <w:tr>
        <w:trPr>
          <w:trHeight w:val="122"/>
        </w:trPr>
        <w:tc>
          <w:tcPr>
            <w:tcW w:w="102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vehicle), repurchase agreement, equity-common, equity-preferred, debt, derivative-commodity, derivative-credit,</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240" w:type="dxa"/>
            <w:vAlign w:val="bottom"/>
            <w:vMerge w:val="continue"/>
          </w:tcPr>
          <w:p>
            <w:pPr>
              <w:spacing w:after="0"/>
              <w:rPr>
                <w:sz w:val="10"/>
                <w:szCs w:val="10"/>
                <w:color w:val="auto"/>
              </w:rPr>
            </w:pPr>
          </w:p>
        </w:tc>
        <w:tc>
          <w:tcPr>
            <w:tcW w:w="92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mortgage</w:t>
            </w:r>
          </w:p>
        </w:tc>
        <w:tc>
          <w:tcPr>
            <w:tcW w:w="0" w:type="dxa"/>
            <w:vAlign w:val="bottom"/>
          </w:tcPr>
          <w:p>
            <w:pPr>
              <w:spacing w:after="0"/>
              <w:rPr>
                <w:sz w:val="1"/>
                <w:szCs w:val="1"/>
                <w:color w:val="auto"/>
              </w:rPr>
            </w:pPr>
          </w:p>
        </w:tc>
      </w:tr>
      <w:tr>
        <w:trPr>
          <w:trHeight w:val="121"/>
        </w:trPr>
        <w:tc>
          <w:tcPr>
            <w:tcW w:w="10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derivative-equity, derivative-foreign exchange, derivative-interest rate, derivatives-other, structured note, loan, ABS-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0240" w:type="dxa"/>
            <w:vAlign w:val="bottom"/>
            <w:vMerge w:val="continue"/>
          </w:tcPr>
          <w:p>
            <w:pPr>
              <w:spacing w:after="0"/>
              <w:rPr>
                <w:sz w:val="12"/>
                <w:szCs w:val="12"/>
                <w:color w:val="auto"/>
              </w:rPr>
            </w:pPr>
          </w:p>
        </w:tc>
        <w:tc>
          <w:tcPr>
            <w:tcW w:w="920" w:type="dxa"/>
            <w:vAlign w:val="bottom"/>
          </w:tcPr>
          <w:p>
            <w:pPr>
              <w:ind w:left="60"/>
              <w:spacing w:after="0" w:line="145" w:lineRule="exact"/>
              <w:rPr>
                <w:sz w:val="20"/>
                <w:szCs w:val="20"/>
                <w:color w:val="auto"/>
              </w:rPr>
            </w:pPr>
            <w:r>
              <w:rPr>
                <w:rFonts w:ascii="Times New Roman" w:cs="Times New Roman" w:eastAsia="Times New Roman" w:hAnsi="Times New Roman"/>
                <w:sz w:val="16"/>
                <w:szCs w:val="16"/>
                <w:color w:val="auto"/>
              </w:rPr>
              <w:t>backed</w:t>
            </w:r>
          </w:p>
        </w:tc>
        <w:tc>
          <w:tcPr>
            <w:tcW w:w="0" w:type="dxa"/>
            <w:vAlign w:val="bottom"/>
          </w:tcPr>
          <w:p>
            <w:pPr>
              <w:spacing w:after="0"/>
              <w:rPr>
                <w:sz w:val="1"/>
                <w:szCs w:val="1"/>
                <w:color w:val="auto"/>
              </w:rPr>
            </w:pPr>
          </w:p>
        </w:tc>
      </w:tr>
      <w:tr>
        <w:trPr>
          <w:trHeight w:val="314"/>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w w:val="98"/>
              </w:rPr>
              <w:t>mortgage backed security, ABS-asset backed commercial paper, ABS-collateralized bond/debt obligation, ABS-other,</w:t>
            </w:r>
          </w:p>
        </w:tc>
        <w:tc>
          <w:tcPr>
            <w:tcW w:w="9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security</w:t>
            </w:r>
          </w:p>
        </w:tc>
        <w:tc>
          <w:tcPr>
            <w:tcW w:w="0" w:type="dxa"/>
            <w:vAlign w:val="bottom"/>
          </w:tcPr>
          <w:p>
            <w:pPr>
              <w:spacing w:after="0"/>
              <w:rPr>
                <w:sz w:val="1"/>
                <w:szCs w:val="1"/>
                <w:color w:val="auto"/>
              </w:rPr>
            </w:pPr>
          </w:p>
        </w:tc>
      </w:tr>
      <w:tr>
        <w:trPr>
          <w:trHeight w:val="202"/>
        </w:trPr>
        <w:tc>
          <w:tcPr>
            <w:tcW w:w="1024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commodity, real estate, other). If “other,” provide a brief description.</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2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w:t>
            </w:r>
          </w:p>
        </w:tc>
        <w:tc>
          <w:tcPr>
            <w:tcW w:w="9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w w:val="95"/>
              </w:rPr>
              <w:t>Corporate</w:t>
            </w:r>
          </w:p>
        </w:tc>
        <w:tc>
          <w:tcPr>
            <w:tcW w:w="0" w:type="dxa"/>
            <w:vAlign w:val="bottom"/>
          </w:tcPr>
          <w:p>
            <w:pPr>
              <w:spacing w:after="0"/>
              <w:rPr>
                <w:sz w:val="1"/>
                <w:szCs w:val="1"/>
                <w:color w:val="auto"/>
              </w:rPr>
            </w:pPr>
          </w:p>
        </w:tc>
      </w:tr>
      <w:tr>
        <w:trPr>
          <w:trHeight w:val="282"/>
        </w:trPr>
        <w:tc>
          <w:tcPr>
            <w:tcW w:w="10240" w:type="dxa"/>
            <w:vAlign w:val="bottom"/>
          </w:tcPr>
          <w:p>
            <w:pPr>
              <w:spacing w:after="0"/>
              <w:rPr>
                <w:sz w:val="20"/>
                <w:szCs w:val="20"/>
                <w:color w:val="auto"/>
              </w:rPr>
            </w:pPr>
            <w:r>
              <w:rPr>
                <w:rFonts w:ascii="Times New Roman" w:cs="Times New Roman" w:eastAsia="Times New Roman" w:hAnsi="Times New Roman"/>
                <w:sz w:val="22"/>
                <w:szCs w:val="22"/>
                <w:color w:val="auto"/>
              </w:rPr>
              <w:t>U.S. sovereign, private fund, registered fund, other). If “other,” provide a brief description.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UNITED</w:t>
      </w:r>
    </w:p>
    <w:p>
      <w:pPr>
        <w:spacing w:after="0" w:line="14" w:lineRule="exact"/>
        <w:rPr>
          <w:sz w:val="20"/>
          <w:szCs w:val="20"/>
          <w:color w:val="auto"/>
        </w:rPr>
      </w:pPr>
    </w:p>
    <w:p>
      <w:pPr>
        <w:ind w:left="9700" w:right="420" w:hanging="9652"/>
        <w:spacing w:after="0" w:line="283" w:lineRule="auto"/>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19"/>
          <w:szCs w:val="19"/>
          <w:color w:val="auto"/>
        </w:rPr>
        <w:t>STATES OF AMERICA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w:t>
      </w:r>
    </w:p>
    <w:p>
      <w:pPr>
        <w:sectPr>
          <w:pgSz w:w="11900" w:h="16838" w:orient="portrait"/>
          <w:cols w:equalWidth="0" w:num="1">
            <w:col w:w="11200"/>
          </w:cols>
          <w:pgMar w:left="320" w:top="88" w:right="379" w:bottom="0" w:gutter="0" w:footer="0" w:header="0"/>
          <w:type w:val="continuous"/>
        </w:sectPr>
      </w:pPr>
    </w:p>
    <w:bookmarkStart w:id="188" w:name="page189"/>
    <w:bookmarkEnd w:id="188"/>
    <w:p>
      <w:pPr>
        <w:ind w:left="40" w:right="1880"/>
        <w:spacing w:after="0" w:line="259" w:lineRule="auto"/>
        <w:rPr>
          <w:sz w:val="20"/>
          <w:szCs w:val="20"/>
          <w:color w:val="auto"/>
        </w:rPr>
      </w:pPr>
      <w:r>
        <w:rPr>
          <w:rFonts w:ascii="Times New Roman" w:cs="Times New Roman" w:eastAsia="Times New Roman" w:hAnsi="Times New Roman"/>
          <w:sz w:val="22"/>
          <w:szCs w:val="22"/>
          <w:color w:val="auto"/>
        </w:rPr>
        <w:t>to the country of investment or issuer based on the concentrations of the risk and economic exposure of the investments.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289"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289"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2029-04-30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112" w:right="399" w:bottom="28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16.47901000 </w:t>
      </w:r>
      <w:r>
        <w:rPr>
          <w:sz w:val="1"/>
          <w:szCs w:val="1"/>
          <w:color w:val="auto"/>
        </w:rPr>
        <w:drawing>
          <wp:inline distT="0" distB="0" distL="0" distR="0">
            <wp:extent cx="137160" cy="137160"/>
            <wp:effectExtent l="0" t="0" r="0" b="0"/>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112" w:right="399" w:bottom="289" w:gutter="0" w:footer="0" w:header="0"/>
          <w:type w:val="continuous"/>
        </w:sectPr>
      </w:pPr>
    </w:p>
    <w:bookmarkStart w:id="189" w:name="page190"/>
    <w:bookmarkEnd w:id="189"/>
    <w:p>
      <w:pPr>
        <w:jc w:val="both"/>
        <w:ind w:right="300" w:firstLine="8"/>
        <w:spacing w:after="0" w:line="238" w:lineRule="auto"/>
        <w:tabs>
          <w:tab w:leader="none" w:pos="28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44"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Lorenz</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Credit Linked Note</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240" w:space="320"/>
            <w:col w:w="164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FR001400DRH2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3"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1146030.30000000 Principal amount</w:t>
      </w:r>
    </w:p>
    <w:p>
      <w:pPr>
        <w:spacing w:after="0" w:line="2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21"/>
          <w:szCs w:val="21"/>
          <w:color w:val="auto"/>
        </w:rPr>
        <w:t>Euro Member Countries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1350879.53000000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0.85175248</w:t>
      </w:r>
    </w:p>
    <w:p>
      <w:pPr>
        <w:spacing w:after="0" w:line="4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0.845569404918</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pacing w:after="0" w:line="318" w:lineRule="exact"/>
        <w:rPr>
          <w:sz w:val="20"/>
          <w:szCs w:val="20"/>
          <w:color w:val="auto"/>
        </w:rPr>
      </w:pPr>
    </w:p>
    <w:p>
      <w:pPr>
        <w:ind w:left="40"/>
        <w:spacing w:after="0"/>
        <w:tabs>
          <w:tab w:leader="none" w:pos="1032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FRANCE</w:t>
      </w:r>
    </w:p>
    <w:p>
      <w:pPr>
        <w:sectPr>
          <w:pgSz w:w="11900" w:h="16838" w:orient="portrait"/>
          <w:cols w:equalWidth="0" w:num="1">
            <w:col w:w="11200"/>
          </w:cols>
          <w:pgMar w:left="320" w:top="88" w:right="379" w:bottom="0" w:gutter="0" w:footer="0" w:header="0"/>
          <w:type w:val="continuous"/>
        </w:sectPr>
      </w:pPr>
    </w:p>
    <w:bookmarkStart w:id="191" w:name="page192"/>
    <w:bookmarkEnd w:id="191"/>
    <w:p>
      <w:pPr>
        <w:ind w:left="40" w:right="1200"/>
        <w:spacing w:after="0" w:line="282" w:lineRule="auto"/>
        <w:rPr>
          <w:sz w:val="20"/>
          <w:szCs w:val="20"/>
          <w:color w:val="auto"/>
        </w:rPr>
      </w:pPr>
      <w:r>
        <w:rPr>
          <w:rFonts w:ascii="Times New Roman" w:cs="Times New Roman" w:eastAsia="Times New Roman" w:hAnsi="Times New Roman"/>
          <w:sz w:val="21"/>
          <w:szCs w:val="21"/>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409"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409"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2030-12-27</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78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w w:val="95"/>
              </w:rPr>
              <w:t>Floating</w:t>
            </w:r>
          </w:p>
        </w:tc>
        <w:tc>
          <w:tcPr>
            <w:tcW w:w="0" w:type="dxa"/>
            <w:vAlign w:val="bottom"/>
          </w:tcPr>
          <w:p>
            <w:pPr>
              <w:spacing w:after="0"/>
              <w:rPr>
                <w:sz w:val="1"/>
                <w:szCs w:val="1"/>
                <w:color w:val="auto"/>
              </w:rPr>
            </w:pPr>
          </w:p>
        </w:tc>
      </w:tr>
      <w:tr>
        <w:trPr>
          <w:trHeight w:val="161"/>
        </w:trPr>
        <w:tc>
          <w:tcPr>
            <w:tcW w:w="97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7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180"/>
          </w:cols>
          <w:pgMar w:left="320" w:top="409" w:right="39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ii. Annualized rate.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p>
      <w:pPr>
        <w:spacing w:after="0" w:line="58" w:lineRule="exact"/>
        <w:rPr>
          <w:sz w:val="20"/>
          <w:szCs w:val="20"/>
          <w:color w:val="auto"/>
        </w:rPr>
      </w:pPr>
    </w:p>
    <w:p>
      <w:pPr>
        <w:ind w:left="40" w:right="300"/>
        <w:spacing w:after="0" w:line="256"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0" w:lineRule="exact"/>
        <w:rPr>
          <w:sz w:val="20"/>
          <w:szCs w:val="20"/>
          <w:color w:val="auto"/>
        </w:rPr>
      </w:pPr>
      <w:r>
        <w:rPr>
          <w:sz w:val="20"/>
          <w:szCs w:val="20"/>
          <w:color w:val="auto"/>
        </w:rPr>
        <w:br w:type="column"/>
      </w:r>
    </w:p>
    <w:p>
      <w:pPr>
        <w:spacing w:after="0" w:line="391" w:lineRule="auto"/>
        <w:rPr>
          <w:sz w:val="20"/>
          <w:szCs w:val="20"/>
          <w:color w:val="auto"/>
        </w:rPr>
      </w:pPr>
      <w:r>
        <w:rPr>
          <w:rFonts w:ascii="Times New Roman" w:cs="Times New Roman" w:eastAsia="Times New Roman" w:hAnsi="Times New Roman"/>
          <w:sz w:val="18"/>
          <w:szCs w:val="18"/>
          <w:color w:val="auto"/>
        </w:rPr>
        <w:t xml:space="preserve">14.39600000 </w:t>
      </w:r>
      <w:r>
        <w:rPr>
          <w:sz w:val="1"/>
          <w:szCs w:val="1"/>
          <w:color w:val="auto"/>
        </w:rPr>
        <w:drawing>
          <wp:inline distT="0" distB="0" distL="0" distR="0">
            <wp:extent cx="137160" cy="137160"/>
            <wp:effectExtent l="0" t="0" r="0" b="0"/>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34"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Yes </w:t>
      </w:r>
      <w:r>
        <w:rPr>
          <w:sz w:val="1"/>
          <w:szCs w:val="1"/>
          <w:color w:val="auto"/>
        </w:rPr>
        <w:drawing>
          <wp:inline distT="0" distB="0" distL="0" distR="0">
            <wp:extent cx="137160" cy="13716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No</w:t>
      </w:r>
    </w:p>
    <w:p>
      <w:pPr>
        <w:sectPr>
          <w:pgSz w:w="11900" w:h="16838" w:orient="portrait"/>
          <w:cols w:equalWidth="0" w:num="2">
            <w:col w:w="9920" w:space="100"/>
            <w:col w:w="1160"/>
          </w:cols>
          <w:pgMar w:left="320" w:top="409" w:right="399" w:bottom="0" w:gutter="0" w:footer="0" w:header="0"/>
          <w:type w:val="continuous"/>
        </w:sectPr>
      </w:pPr>
    </w:p>
    <w:bookmarkStart w:id="192" w:name="page193"/>
    <w:bookmarkEnd w:id="192"/>
    <w:p>
      <w:pPr>
        <w:jc w:val="both"/>
        <w:ind w:right="300" w:firstLine="8"/>
        <w:spacing w:after="0" w:line="238" w:lineRule="auto"/>
        <w:tabs>
          <w:tab w:leader="none" w:pos="288"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12" w:right="339" w:bottom="1440"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12" w:right="339" w:bottom="1440"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32"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1">
            <w:col w:w="11240"/>
          </w:cols>
          <w:pgMar w:left="320" w:top="112" w:right="339" w:bottom="144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43"/>
          <w:szCs w:val="43"/>
          <w:b w:val="1"/>
          <w:bCs w:val="1"/>
          <w:color w:val="auto"/>
        </w:rPr>
        <w:t>NPORT-P: Part C: Schedule of Portfolio Investments</w:t>
      </w:r>
    </w:p>
    <w:p>
      <w:pPr>
        <w:spacing w:after="0" w:line="200" w:lineRule="exact"/>
        <w:rPr>
          <w:sz w:val="20"/>
          <w:szCs w:val="20"/>
          <w:color w:val="auto"/>
        </w:rPr>
      </w:pPr>
    </w:p>
    <w:p>
      <w:pPr>
        <w:spacing w:after="0" w:line="207" w:lineRule="exact"/>
        <w:rPr>
          <w:sz w:val="20"/>
          <w:szCs w:val="20"/>
          <w:color w:val="auto"/>
        </w:rPr>
      </w:pPr>
    </w:p>
    <w:p>
      <w:pPr>
        <w:ind w:left="40"/>
        <w:spacing w:after="0" w:line="236" w:lineRule="auto"/>
        <w:rPr>
          <w:sz w:val="20"/>
          <w:szCs w:val="20"/>
          <w:color w:val="auto"/>
        </w:rPr>
      </w:pPr>
      <w:r>
        <w:rPr>
          <w:rFonts w:ascii="Times New Roman" w:cs="Times New Roman" w:eastAsia="Times New Roman" w:hAnsi="Times New Roman"/>
          <w:sz w:val="22"/>
          <w:szCs w:val="22"/>
          <w:color w:val="auto"/>
        </w:rPr>
        <w:t>For each investment held by the Fund and its consolidated subsidiaries, disclose the information requested in Part C. A Fund may report information for securities in an aggregate amount not exceeding five percent of its total assets as miscellaneous securities in Part D in lieu of reporting those securities in Part C, provided that the securities so listed are not restricted, have been held for not more than one year prior to the end of the reporting period covered by this report, and have not been previously reported by name to the shareholders of the Fund or to any exchange, or set forth in any registration statement, application, or report to shareholders or otherwise made available to the public.</w:t>
      </w:r>
    </w:p>
    <w:p>
      <w:pPr>
        <w:sectPr>
          <w:pgSz w:w="11900" w:h="16838" w:orient="portrait"/>
          <w:cols w:equalWidth="0" w:num="1">
            <w:col w:w="11200"/>
          </w:cols>
          <w:pgMar w:left="320" w:top="88" w:right="37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 Identification of investment.</w:t>
      </w: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 Name of issuer (if any).</w:t>
      </w:r>
    </w:p>
    <w:p>
      <w:pPr>
        <w:spacing w:after="0" w:line="166"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b. LEI (if any) of issuer. In the case of a holding in a fund that is a series of a series trust, report the LEI of the series.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 Title of the issue or description of the investment.</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CUSIP (if any).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 least one of the following other identifiers: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Tulsa Valley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Bancshares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166"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Subordinated Term Loan</w:t>
      </w:r>
    </w:p>
    <w:p>
      <w:pPr>
        <w:spacing w:after="0"/>
        <w:rPr>
          <w:sz w:val="20"/>
          <w:szCs w:val="20"/>
          <w:color w:val="auto"/>
        </w:rPr>
      </w:pPr>
      <w:r>
        <w:rPr>
          <w:rFonts w:ascii="Times New Roman" w:cs="Times New Roman" w:eastAsia="Times New Roman" w:hAnsi="Times New Roman"/>
          <w:sz w:val="22"/>
          <w:szCs w:val="22"/>
          <w:color w:val="auto"/>
        </w:rPr>
        <w:t>000000000</w:t>
      </w:r>
    </w:p>
    <w:p>
      <w:pPr>
        <w:spacing w:after="0" w:line="699" w:lineRule="exact"/>
        <w:rPr>
          <w:sz w:val="20"/>
          <w:szCs w:val="20"/>
          <w:color w:val="auto"/>
        </w:rPr>
      </w:pPr>
    </w:p>
    <w:p>
      <w:pPr>
        <w:sectPr>
          <w:pgSz w:w="11900" w:h="16838" w:orient="portrait"/>
          <w:cols w:equalWidth="0" w:num="2">
            <w:col w:w="9000" w:space="200"/>
            <w:col w:w="2000"/>
          </w:cols>
          <w:pgMar w:left="320" w:top="88" w:right="379" w:bottom="0" w:gutter="0" w:footer="0" w:header="0"/>
          <w:type w:val="continuous"/>
        </w:sectPr>
      </w:pP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Identifier.</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ind w:left="40"/>
        <w:spacing w:after="0"/>
        <w:rPr>
          <w:sz w:val="20"/>
          <w:szCs w:val="20"/>
          <w:color w:val="auto"/>
        </w:rPr>
      </w:pPr>
      <w:r>
        <w:rPr>
          <w:rFonts w:ascii="Times New Roman" w:cs="Times New Roman" w:eastAsia="Times New Roman" w:hAnsi="Times New Roman"/>
          <w:sz w:val="22"/>
          <w:szCs w:val="22"/>
          <w:color w:val="auto"/>
        </w:rPr>
        <w:t>Description of other unique identifier.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C.2. Amount of each investment.</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Other unique identifier (if ticker and ISIN are not available). Indicate the type of identifier used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TLSAVLY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INTERNAL</w:t>
      </w:r>
    </w:p>
    <w:p>
      <w:pPr>
        <w:spacing w:after="0" w:line="762" w:lineRule="exact"/>
        <w:rPr>
          <w:sz w:val="20"/>
          <w:szCs w:val="20"/>
          <w:color w:val="auto"/>
        </w:rPr>
      </w:pPr>
    </w:p>
    <w:p>
      <w:pPr>
        <w:sectPr>
          <w:pgSz w:w="11900" w:h="16838" w:orient="portrait"/>
          <w:cols w:equalWidth="0" w:num="2">
            <w:col w:w="5280" w:space="380"/>
            <w:col w:w="5540"/>
          </w:cols>
          <w:pgMar w:left="320" w:top="88" w:right="379" w:bottom="0" w:gutter="0" w:footer="0" w:header="0"/>
          <w:type w:val="continuous"/>
        </w:sectPr>
      </w:pPr>
    </w:p>
    <w:p>
      <w:pPr>
        <w:spacing w:after="0" w:line="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Balance. Indicate whether amount is expressed in number of shares, principal amount, or other units. For derivatives contracts, as applicable, provide the number of contracts.</w:t>
      </w:r>
    </w:p>
    <w:p>
      <w:pPr>
        <w:sectPr>
          <w:pgSz w:w="11900" w:h="16838" w:orient="portrait"/>
          <w:cols w:equalWidth="0" w:num="1">
            <w:col w:w="11200"/>
          </w:cols>
          <w:pgMar w:left="320" w:top="88" w:right="379" w:bottom="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Balance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Units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Description of other units.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Currency. Indicate the currency in which the investment is denominated.</w:t>
      </w:r>
    </w:p>
    <w:p>
      <w:pPr>
        <w:spacing w:after="0" w:line="166" w:lineRule="exact"/>
        <w:rPr>
          <w:sz w:val="20"/>
          <w:szCs w:val="20"/>
          <w:color w:val="auto"/>
        </w:rPr>
      </w:pPr>
    </w:p>
    <w:p>
      <w:pPr>
        <w:ind w:left="40"/>
        <w:spacing w:after="0" w:line="256" w:lineRule="auto"/>
        <w:rPr>
          <w:sz w:val="20"/>
          <w:szCs w:val="20"/>
          <w:color w:val="auto"/>
        </w:rPr>
      </w:pPr>
      <w:r>
        <w:rPr>
          <w:rFonts w:ascii="Times New Roman" w:cs="Times New Roman" w:eastAsia="Times New Roman" w:hAnsi="Times New Roman"/>
          <w:sz w:val="22"/>
          <w:szCs w:val="22"/>
          <w:color w:val="auto"/>
        </w:rPr>
        <w:t>Value. Report values in U.S. dollars. If currency of investment is not denominated in U.S. dollars, provide the exchange rate used to calculate value.</w:t>
      </w:r>
    </w:p>
    <w:p>
      <w:pPr>
        <w:ind w:left="40"/>
        <w:spacing w:after="0"/>
        <w:rPr>
          <w:sz w:val="20"/>
          <w:szCs w:val="20"/>
          <w:color w:val="auto"/>
        </w:rPr>
      </w:pPr>
      <w:r>
        <w:rPr>
          <w:rFonts w:ascii="Times New Roman" w:cs="Times New Roman" w:eastAsia="Times New Roman" w:hAnsi="Times New Roman"/>
          <w:sz w:val="22"/>
          <w:szCs w:val="22"/>
          <w:color w:val="auto"/>
        </w:rPr>
        <w:t>Exchange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Percentage value compared to net assets of the Fund.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60"/>
        <w:spacing w:after="0" w:line="335" w:lineRule="auto"/>
        <w:rPr>
          <w:sz w:val="20"/>
          <w:szCs w:val="20"/>
          <w:color w:val="auto"/>
        </w:rPr>
      </w:pPr>
      <w:r>
        <w:rPr>
          <w:rFonts w:ascii="Times New Roman" w:cs="Times New Roman" w:eastAsia="Times New Roman" w:hAnsi="Times New Roman"/>
          <w:sz w:val="21"/>
          <w:szCs w:val="21"/>
          <w:color w:val="auto"/>
        </w:rPr>
        <w:t>1700000.00000000 Principal amount</w:t>
      </w:r>
    </w:p>
    <w:p>
      <w:pPr>
        <w:spacing w:after="0" w:line="2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21"/>
          <w:szCs w:val="21"/>
          <w:color w:val="auto"/>
        </w:rPr>
        <w:t>United States Dollar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1530000.00000000</w:t>
      </w:r>
    </w:p>
    <w:p>
      <w:pPr>
        <w:spacing w:after="0" w:line="200" w:lineRule="exact"/>
        <w:rPr>
          <w:sz w:val="20"/>
          <w:szCs w:val="20"/>
          <w:color w:val="auto"/>
        </w:rPr>
      </w:pPr>
    </w:p>
    <w:p>
      <w:pPr>
        <w:spacing w:after="0" w:line="2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0.957688054926</w:t>
      </w:r>
    </w:p>
    <w:p>
      <w:pPr>
        <w:spacing w:after="0" w:line="211" w:lineRule="exact"/>
        <w:rPr>
          <w:sz w:val="20"/>
          <w:szCs w:val="20"/>
          <w:color w:val="auto"/>
        </w:rPr>
      </w:pPr>
    </w:p>
    <w:p>
      <w:pPr>
        <w:sectPr>
          <w:pgSz w:w="11900" w:h="16838" w:orient="portrait"/>
          <w:cols w:equalWidth="0" w:num="2">
            <w:col w:w="9200" w:space="280"/>
            <w:col w:w="1720"/>
          </w:cols>
          <w:pgMar w:left="320" w:top="88" w:right="379" w:bottom="0" w:gutter="0" w:footer="0" w:header="0"/>
          <w:type w:val="continuous"/>
        </w:sectPr>
      </w:pPr>
    </w:p>
    <w:p>
      <w:pPr>
        <w:spacing w:after="0" w:line="11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22"/>
          <w:szCs w:val="22"/>
          <w:b w:val="1"/>
          <w:bCs w:val="1"/>
          <w:color w:val="auto"/>
        </w:rPr>
        <w:t>Item C.3. Indicate payoff profile among the following categories (long, short, N/A). For derivatives, respond N/A to this Item and respond to the relevant payoff profile question in Item C.11.</w:t>
      </w: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Payoff profile. </w:t>
      </w:r>
      <w:r>
        <w:rPr>
          <w:sz w:val="1"/>
          <w:szCs w:val="1"/>
          <w:color w:val="auto"/>
        </w:rPr>
        <w:drawing>
          <wp:inline distT="0" distB="0" distL="0" distR="0">
            <wp:extent cx="137160" cy="137160"/>
            <wp:effectExtent l="0" t="0" r="0" b="0"/>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Long </w:t>
      </w:r>
      <w:r>
        <w:rPr>
          <w:sz w:val="1"/>
          <w:szCs w:val="1"/>
          <w:color w:val="auto"/>
        </w:rPr>
        <w:drawing>
          <wp:inline distT="0" distB="0" distL="0" distR="0">
            <wp:extent cx="137160" cy="137160"/>
            <wp:effectExtent l="0" t="0" r="0" b="0"/>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Short </w:t>
      </w:r>
      <w:r>
        <w:rPr>
          <w:sz w:val="1"/>
          <w:szCs w:val="1"/>
          <w:color w:val="auto"/>
        </w:rPr>
        <w:drawing>
          <wp:inline distT="0" distB="0" distL="0" distR="0">
            <wp:extent cx="137160" cy="137160"/>
            <wp:effectExtent l="0" t="0" r="0" b="0"/>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N/A</w:t>
      </w:r>
    </w:p>
    <w:p>
      <w:pPr>
        <w:spacing w:after="0" w:line="313" w:lineRule="exact"/>
        <w:rPr>
          <w:sz w:val="20"/>
          <w:szCs w:val="20"/>
          <w:color w:val="auto"/>
        </w:rPr>
      </w:pPr>
    </w:p>
    <w:p>
      <w:pPr>
        <w:ind w:right="880"/>
        <w:spacing w:after="0" w:line="262" w:lineRule="auto"/>
        <w:rPr>
          <w:sz w:val="20"/>
          <w:szCs w:val="20"/>
          <w:color w:val="auto"/>
        </w:rPr>
      </w:pPr>
      <w:r>
        <w:rPr>
          <w:rFonts w:ascii="Times New Roman" w:cs="Times New Roman" w:eastAsia="Times New Roman" w:hAnsi="Times New Roman"/>
          <w:sz w:val="22"/>
          <w:szCs w:val="22"/>
          <w:b w:val="1"/>
          <w:bCs w:val="1"/>
          <w:color w:val="auto"/>
        </w:rPr>
        <w:t>Item C.4. Asset and issuer type. Select the category that most closely identifies the instrument among each of the following:</w:t>
      </w:r>
    </w:p>
    <w:p>
      <w:pPr>
        <w:spacing w:after="0" w:line="275" w:lineRule="exact"/>
        <w:rPr>
          <w:sz w:val="20"/>
          <w:szCs w:val="20"/>
          <w:color w:val="auto"/>
        </w:rPr>
      </w:pPr>
    </w:p>
    <w:p>
      <w:pPr>
        <w:ind w:left="40" w:right="440"/>
        <w:spacing w:after="0" w:line="238" w:lineRule="auto"/>
        <w:rPr>
          <w:sz w:val="20"/>
          <w:szCs w:val="20"/>
          <w:color w:val="auto"/>
        </w:rPr>
      </w:pPr>
      <w:r>
        <w:rPr>
          <w:rFonts w:ascii="Times New Roman" w:cs="Times New Roman" w:eastAsia="Times New Roman" w:hAnsi="Times New Roman"/>
          <w:sz w:val="22"/>
          <w:szCs w:val="22"/>
          <w:color w:val="auto"/>
        </w:rPr>
        <w:t>Asset type (short-term investment vehicle (e.g., money market fund, liquidity pool, or other cash management vehicle), repurchase agreement, equity-common, equity-preferred, debt, derivative-commodity, derivative-credit, derivative-equity, derivative-foreign exchange, derivative-interest rate, derivatives-other, structured note, loan, ABS- Debt mortgage backed security, ABS-asset backed commercial paper, ABS-collateralized bond/debt obligation, ABS-other, commodity, real estate, other). If “other,” provide a brief description.</w:t>
      </w:r>
    </w:p>
    <w:p>
      <w:pPr>
        <w:spacing w:after="0" w:line="15"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Issuer type (corporate, U.S. Treasury, U.S. government agency, U.S. government sponsored entity, municipal, non- Corporate U.S. sovereign, private fund, registered fund, other). If “other,” provide a brief description.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C.5. Country of investment or issuer.</w:t>
      </w:r>
    </w:p>
    <w:p>
      <w:pPr>
        <w:sectPr>
          <w:pgSz w:w="11900" w:h="16838" w:orient="portrait"/>
          <w:cols w:equalWidth="0" w:num="1">
            <w:col w:w="11200"/>
          </w:cols>
          <w:pgMar w:left="320" w:top="88" w:right="379" w:bottom="0" w:gutter="0" w:footer="0" w:header="0"/>
          <w:type w:val="continuous"/>
        </w:sectPr>
      </w:pPr>
    </w:p>
    <w:bookmarkStart w:id="194" w:name="page195"/>
    <w:bookmarkEnd w:id="194"/>
    <w:p>
      <w:pPr>
        <w:ind w:left="40"/>
        <w:spacing w:after="0"/>
        <w:tabs>
          <w:tab w:leader="none" w:pos="9680" w:val="left"/>
        </w:tabs>
        <w:rPr>
          <w:sz w:val="20"/>
          <w:szCs w:val="20"/>
          <w:color w:val="auto"/>
        </w:rPr>
      </w:pPr>
      <w:r>
        <w:rPr>
          <w:rFonts w:ascii="Times New Roman" w:cs="Times New Roman" w:eastAsia="Times New Roman" w:hAnsi="Times New Roman"/>
          <w:sz w:val="22"/>
          <w:szCs w:val="22"/>
          <w:color w:val="auto"/>
        </w:rPr>
        <w:t>Report the ISO country code that corresponds to the country where the issuer is organized.</w:t>
      </w:r>
      <w:r>
        <w:rPr>
          <w:sz w:val="20"/>
          <w:szCs w:val="20"/>
          <w:color w:val="auto"/>
        </w:rPr>
        <w:tab/>
      </w:r>
      <w:r>
        <w:rPr>
          <w:rFonts w:ascii="Times New Roman" w:cs="Times New Roman" w:eastAsia="Times New Roman" w:hAnsi="Times New Roman"/>
          <w:sz w:val="21"/>
          <w:szCs w:val="21"/>
          <w:color w:val="auto"/>
        </w:rPr>
        <w:t>UNITED</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22"/>
          <w:szCs w:val="22"/>
          <w:color w:val="auto"/>
        </w:rPr>
        <w:t>STATES OF</w:t>
      </w:r>
    </w:p>
    <w:p>
      <w:pPr>
        <w:ind w:left="9700"/>
        <w:spacing w:after="0"/>
        <w:rPr>
          <w:sz w:val="20"/>
          <w:szCs w:val="20"/>
          <w:color w:val="auto"/>
        </w:rPr>
      </w:pPr>
      <w:r>
        <w:rPr>
          <w:rFonts w:ascii="Times New Roman" w:cs="Times New Roman" w:eastAsia="Times New Roman" w:hAnsi="Times New Roman"/>
          <w:sz w:val="22"/>
          <w:szCs w:val="22"/>
          <w:color w:val="auto"/>
        </w:rPr>
        <w:t>AMERICA</w:t>
      </w:r>
    </w:p>
    <w:p>
      <w:pPr>
        <w:spacing w:after="0" w:line="20" w:lineRule="exact"/>
        <w:rPr>
          <w:sz w:val="20"/>
          <w:szCs w:val="20"/>
          <w:color w:val="auto"/>
        </w:rPr>
      </w:pPr>
    </w:p>
    <w:p>
      <w:pPr>
        <w:ind w:left="40" w:right="1740"/>
        <w:spacing w:after="0" w:line="244" w:lineRule="auto"/>
        <w:rPr>
          <w:sz w:val="20"/>
          <w:szCs w:val="20"/>
          <w:color w:val="auto"/>
        </w:rPr>
      </w:pPr>
      <w:r>
        <w:rPr>
          <w:rFonts w:ascii="Times New Roman" w:cs="Times New Roman" w:eastAsia="Times New Roman" w:hAnsi="Times New Roman"/>
          <w:sz w:val="22"/>
          <w:szCs w:val="22"/>
          <w:color w:val="auto"/>
        </w:rPr>
        <w:t>If different from the country where the issuer is organized, also report the ISO country code that corresponds to the country of investment or issuer based on the concentrations of the risk and economic exposure of the investments.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C.6. Is the investment a Restricted Security?</w:t>
      </w:r>
    </w:p>
    <w:p>
      <w:pPr>
        <w:spacing w:after="0" w:line="3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the investment a Restricted Security? </w:t>
      </w:r>
      <w:r>
        <w:rPr>
          <w:sz w:val="1"/>
          <w:szCs w:val="1"/>
          <w:color w:val="auto"/>
        </w:rPr>
        <w:drawing>
          <wp:inline distT="0" distB="0" distL="0" distR="0">
            <wp:extent cx="137160" cy="137160"/>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C.7.</w:t>
      </w:r>
    </w:p>
    <w:p>
      <w:pPr>
        <w:spacing w:after="0" w:line="27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1"/>
          <w:szCs w:val="21"/>
          <w:color w:val="auto"/>
        </w:rPr>
        <w:t>a. Liquidity classification information. For portfolio investments of open-end management investment companies, provide the liquidity classification(s) for each portfolio investment among the following categories as specified in rule 22e-4 [17 CFR</w:t>
      </w:r>
    </w:p>
    <w:p>
      <w:pPr>
        <w:spacing w:after="0" w:line="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22"/>
          <w:szCs w:val="22"/>
          <w:color w:val="auto"/>
        </w:rPr>
        <w:t>270.22e-4]. For portfolio investments with multiple liquidity classifications, indicate the percentage amount attributable to each classification.</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 Highly Liquid Investments</w:t>
      </w:r>
    </w:p>
    <w:p>
      <w:pPr>
        <w:spacing w:after="0" w:line="44" w:lineRule="exact"/>
        <w:rPr>
          <w:sz w:val="20"/>
          <w:szCs w:val="20"/>
          <w:color w:val="auto"/>
        </w:rPr>
      </w:pPr>
    </w:p>
    <w:p>
      <w:pPr>
        <w:ind w:left="280" w:hanging="232"/>
        <w:spacing w:after="0"/>
        <w:tabs>
          <w:tab w:leader="none" w:pos="2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Moderately Liquid Investments</w:t>
      </w:r>
    </w:p>
    <w:p>
      <w:pPr>
        <w:spacing w:after="0" w:line="44" w:lineRule="exact"/>
        <w:rPr>
          <w:rFonts w:ascii="Times New Roman" w:cs="Times New Roman" w:eastAsia="Times New Roman" w:hAnsi="Times New Roman"/>
          <w:sz w:val="22"/>
          <w:szCs w:val="22"/>
          <w:color w:val="auto"/>
        </w:rPr>
      </w:pPr>
    </w:p>
    <w:p>
      <w:pPr>
        <w:ind w:left="340" w:hanging="292"/>
        <w:spacing w:after="0"/>
        <w:tabs>
          <w:tab w:leader="none" w:pos="34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Less Liquid Investments</w:t>
      </w:r>
    </w:p>
    <w:p>
      <w:pPr>
        <w:spacing w:after="0" w:line="44" w:lineRule="exact"/>
        <w:rPr>
          <w:rFonts w:ascii="Times New Roman" w:cs="Times New Roman" w:eastAsia="Times New Roman" w:hAnsi="Times New Roman"/>
          <w:sz w:val="22"/>
          <w:szCs w:val="22"/>
          <w:color w:val="auto"/>
        </w:rPr>
      </w:pPr>
    </w:p>
    <w:p>
      <w:pPr>
        <w:ind w:left="320" w:hanging="272"/>
        <w:spacing w:after="0"/>
        <w:tabs>
          <w:tab w:leader="none" w:pos="32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Illiquid Investments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Category. N/A</w:t>
      </w:r>
    </w:p>
    <w:p>
      <w:pPr>
        <w:spacing w:after="0" w:line="247" w:lineRule="exact"/>
        <w:rPr>
          <w:sz w:val="20"/>
          <w:szCs w:val="20"/>
          <w:color w:val="auto"/>
        </w:rPr>
      </w:pPr>
    </w:p>
    <w:p>
      <w:pPr>
        <w:ind w:right="960"/>
        <w:spacing w:after="0" w:line="258" w:lineRule="auto"/>
        <w:rPr>
          <w:sz w:val="20"/>
          <w:szCs w:val="20"/>
          <w:color w:val="auto"/>
        </w:rPr>
      </w:pPr>
      <w:r>
        <w:rPr>
          <w:rFonts w:ascii="Times New Roman" w:cs="Times New Roman" w:eastAsia="Times New Roman" w:hAnsi="Times New Roman"/>
          <w:sz w:val="22"/>
          <w:szCs w:val="22"/>
          <w:color w:val="auto"/>
        </w:rPr>
        <w:t>b. If attributing multiple classification categories to the holding, indicate which of the three circumstances listed in the Instructions to Item C.7 is applicable.</w:t>
      </w:r>
    </w:p>
    <w:p>
      <w:pPr>
        <w:spacing w:after="0" w:line="15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Instructions to Item C.7 </w:t>
      </w:r>
      <w:r>
        <w:rPr>
          <w:rFonts w:ascii="Times New Roman" w:cs="Times New Roman" w:eastAsia="Times New Roman" w:hAnsi="Times New Roman"/>
          <w:sz w:val="22"/>
          <w:szCs w:val="22"/>
          <w:color w:val="auto"/>
        </w:rPr>
        <w:t>Funds may choose to indicate the percentage amount of a holding attributable to multiple classification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categories only in the following circumstances: (1) if portions of the position have differing liquidity features that justify treating the portions separately; (2) if a fund has multiple sub-advisers with differing liquidity views; or (3) if the fund chooses to classify the position through evaluation of how long it would take to liquidate the entire position (rather than basing it on the sizes it would reasonably anticipated trading). In (1) and (2), a fund would classify using the reasonably anticipated trade size for each portion of the position.</w:t>
      </w:r>
    </w:p>
    <w:p>
      <w:pPr>
        <w:spacing w:after="0" w:line="200" w:lineRule="exact"/>
        <w:rPr>
          <w:sz w:val="20"/>
          <w:szCs w:val="20"/>
          <w:color w:val="auto"/>
        </w:rPr>
      </w:pPr>
    </w:p>
    <w:p>
      <w:pPr>
        <w:spacing w:after="0" w:line="2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2"/>
          <w:szCs w:val="22"/>
          <w:b w:val="1"/>
          <w:bCs w:val="1"/>
          <w:color w:val="auto"/>
        </w:rPr>
        <w:t>Item C.8. Indicate the level within the fair value hierarchy in which the fair value measurements fall pursuant to U.S. Generally Accepted Accounting Principles (ASC 820, Fair Value Measurement). [1/2/3] Report “N/A” if the investment does not have a level associated with it (i.e., net asset value used as the practical expedient).</w:t>
      </w:r>
    </w:p>
    <w:p>
      <w:pPr>
        <w:sectPr>
          <w:pgSz w:w="11900" w:h="16838" w:orient="portrait"/>
          <w:cols w:equalWidth="0" w:num="1">
            <w:col w:w="11180"/>
          </w:cols>
          <w:pgMar w:left="320" w:top="112" w:right="399" w:bottom="0" w:gutter="0" w:footer="0" w:header="0"/>
        </w:sectPr>
      </w:pPr>
    </w:p>
    <w:p>
      <w:pPr>
        <w:spacing w:after="0" w:line="333"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Indicate the level within the fair value hierarchy in which the fair value measurements fall pursuant to U.S. Generally Accepted Accounting Principles 7(ASC 820, Fair Value Measurement). [1/2/3] Report "N/A" if the investment does not have a level associated with it (i.e., net asset value used as the practical expedient).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right"/>
        <w:ind w:right="40"/>
        <w:spacing w:after="0" w:line="302" w:lineRule="auto"/>
        <w:rPr>
          <w:sz w:val="20"/>
          <w:szCs w:val="20"/>
          <w:color w:val="auto"/>
        </w:rPr>
      </w:pPr>
      <w:r>
        <w:rPr>
          <w:sz w:val="1"/>
          <w:szCs w:val="1"/>
          <w:color w:val="auto"/>
        </w:rPr>
        <w:drawing>
          <wp:inline distT="0" distB="0" distL="0" distR="0">
            <wp:extent cx="137160" cy="137160"/>
            <wp:effectExtent l="0" t="0" r="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1 </w:t>
      </w:r>
      <w:r>
        <w:rPr>
          <w:sz w:val="1"/>
          <w:szCs w:val="1"/>
          <w:color w:val="auto"/>
        </w:rPr>
        <w:drawing>
          <wp:inline distT="0" distB="0" distL="0" distR="0">
            <wp:extent cx="137160" cy="137160"/>
            <wp:effectExtent l="0" t="0" r="0" b="0"/>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2 </w:t>
      </w:r>
      <w:r>
        <w:rPr>
          <w:sz w:val="1"/>
          <w:szCs w:val="1"/>
          <w:color w:val="auto"/>
        </w:rPr>
        <w:drawing>
          <wp:inline distT="0" distB="0" distL="0" distR="0">
            <wp:extent cx="137160" cy="137160"/>
            <wp:effectExtent l="0" t="0" r="0" b="0"/>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3 </w:t>
      </w:r>
      <w:r>
        <w:rPr>
          <w:sz w:val="1"/>
          <w:szCs w:val="1"/>
          <w:color w:val="auto"/>
        </w:rPr>
        <w:drawing>
          <wp:inline distT="0" distB="0" distL="0" distR="0">
            <wp:extent cx="137160" cy="137160"/>
            <wp:effectExtent l="0" t="0" r="0" b="0"/>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N/A</w:t>
      </w:r>
    </w:p>
    <w:p>
      <w:pPr>
        <w:spacing w:after="0" w:line="200" w:lineRule="exact"/>
        <w:rPr>
          <w:sz w:val="20"/>
          <w:szCs w:val="20"/>
          <w:color w:val="auto"/>
        </w:rPr>
      </w:pPr>
    </w:p>
    <w:p>
      <w:pPr>
        <w:sectPr>
          <w:pgSz w:w="11900" w:h="16838" w:orient="portrait"/>
          <w:cols w:equalWidth="0" w:num="2">
            <w:col w:w="10400" w:space="80"/>
            <w:col w:w="700"/>
          </w:cols>
          <w:pgMar w:left="320" w:top="112" w:right="399" w:bottom="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98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C.9. For debt securities</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For debt securities, also provide: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 Maturity date. 2028-12-31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840" w:type="dxa"/>
            <w:vAlign w:val="bottom"/>
          </w:tcPr>
          <w:p>
            <w:pPr>
              <w:spacing w:after="0"/>
              <w:rPr>
                <w:sz w:val="20"/>
                <w:szCs w:val="20"/>
                <w:color w:val="auto"/>
              </w:rPr>
            </w:pPr>
            <w:r>
              <w:rPr>
                <w:rFonts w:ascii="Times New Roman" w:cs="Times New Roman" w:eastAsia="Times New Roman" w:hAnsi="Times New Roman"/>
                <w:sz w:val="22"/>
                <w:szCs w:val="22"/>
                <w:color w:val="auto"/>
              </w:rPr>
              <w:t>b. Coupon.</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 Select the category that most closely reflects the coupon type among the following (fixed, floating, variable,</w:t>
            </w: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Fixed</w:t>
            </w:r>
          </w:p>
        </w:tc>
        <w:tc>
          <w:tcPr>
            <w:tcW w:w="0" w:type="dxa"/>
            <w:vAlign w:val="bottom"/>
          </w:tcPr>
          <w:p>
            <w:pPr>
              <w:spacing w:after="0"/>
              <w:rPr>
                <w:sz w:val="1"/>
                <w:szCs w:val="1"/>
                <w:color w:val="auto"/>
              </w:rPr>
            </w:pPr>
          </w:p>
        </w:tc>
      </w:tr>
      <w:tr>
        <w:trPr>
          <w:trHeight w:val="161"/>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none).</w:t>
            </w: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4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9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ii. Annualized rate.</w:t>
            </w:r>
          </w:p>
        </w:tc>
        <w:tc>
          <w:tcPr>
            <w:tcW w:w="13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6.37500000</w:t>
            </w:r>
          </w:p>
        </w:tc>
        <w:tc>
          <w:tcPr>
            <w:tcW w:w="0" w:type="dxa"/>
            <w:vAlign w:val="bottom"/>
          </w:tcPr>
          <w:p>
            <w:pPr>
              <w:spacing w:after="0"/>
              <w:rPr>
                <w:sz w:val="1"/>
                <w:szCs w:val="1"/>
                <w:color w:val="auto"/>
              </w:rPr>
            </w:pPr>
          </w:p>
        </w:tc>
      </w:tr>
      <w:tr>
        <w:trPr>
          <w:trHeight w:val="285"/>
        </w:trPr>
        <w:tc>
          <w:tcPr>
            <w:tcW w:w="98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 Currently in default? [Y/N]</w:t>
            </w:r>
          </w:p>
        </w:tc>
        <w:tc>
          <w:tcPr>
            <w:tcW w:w="130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Yes</w:t>
            </w:r>
          </w:p>
        </w:tc>
        <w:tc>
          <w:tcPr>
            <w:tcW w:w="0" w:type="dxa"/>
            <w:vAlign w:val="bottom"/>
          </w:tcPr>
          <w:p>
            <w:pPr>
              <w:spacing w:after="0"/>
              <w:rPr>
                <w:sz w:val="1"/>
                <w:szCs w:val="1"/>
                <w:color w:val="auto"/>
              </w:rPr>
            </w:pPr>
          </w:p>
        </w:tc>
      </w:tr>
      <w:tr>
        <w:trPr>
          <w:trHeight w:val="147"/>
        </w:trPr>
        <w:tc>
          <w:tcPr>
            <w:tcW w:w="9840" w:type="dxa"/>
            <w:vAlign w:val="bottom"/>
            <w:vMerge w:val="continue"/>
          </w:tcPr>
          <w:p>
            <w:pPr>
              <w:spacing w:after="0"/>
              <w:rPr>
                <w:sz w:val="12"/>
                <w:szCs w:val="12"/>
                <w:color w:val="auto"/>
              </w:rPr>
            </w:pPr>
          </w:p>
        </w:tc>
        <w:tc>
          <w:tcPr>
            <w:tcW w:w="13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No</w:t>
            </w:r>
          </w:p>
        </w:tc>
        <w:tc>
          <w:tcPr>
            <w:tcW w:w="0" w:type="dxa"/>
            <w:vAlign w:val="bottom"/>
          </w:tcPr>
          <w:p>
            <w:pPr>
              <w:spacing w:after="0"/>
              <w:rPr>
                <w:sz w:val="1"/>
                <w:szCs w:val="1"/>
                <w:color w:val="auto"/>
              </w:rPr>
            </w:pPr>
          </w:p>
        </w:tc>
      </w:tr>
      <w:tr>
        <w:trPr>
          <w:trHeight w:val="135"/>
        </w:trPr>
        <w:tc>
          <w:tcPr>
            <w:tcW w:w="984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6425565</wp:posOffset>
            </wp:positionH>
            <wp:positionV relativeFrom="paragraph">
              <wp:posOffset>-332740</wp:posOffset>
            </wp:positionV>
            <wp:extent cx="137160" cy="13716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-332740</wp:posOffset>
            </wp:positionV>
            <wp:extent cx="137160" cy="13716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ectPr>
          <w:pgSz w:w="11900" w:h="16838" w:orient="portrait"/>
          <w:cols w:equalWidth="0" w:num="1">
            <w:col w:w="11180"/>
          </w:cols>
          <w:pgMar w:left="320" w:top="112" w:right="399" w:bottom="0" w:gutter="0" w:footer="0" w:header="0"/>
          <w:type w:val="continuous"/>
        </w:sectPr>
      </w:pPr>
    </w:p>
    <w:p>
      <w:pPr>
        <w:spacing w:after="0" w:line="28" w:lineRule="exact"/>
        <w:rPr>
          <w:sz w:val="20"/>
          <w:szCs w:val="20"/>
          <w:color w:val="auto"/>
        </w:rPr>
      </w:pPr>
    </w:p>
    <w:p>
      <w:pPr>
        <w:ind w:left="40" w:right="300"/>
        <w:spacing w:after="0" w:line="258" w:lineRule="auto"/>
        <w:rPr>
          <w:sz w:val="20"/>
          <w:szCs w:val="20"/>
          <w:color w:val="auto"/>
        </w:rPr>
      </w:pPr>
      <w:r>
        <w:rPr>
          <w:rFonts w:ascii="Times New Roman" w:cs="Times New Roman" w:eastAsia="Times New Roman" w:hAnsi="Times New Roman"/>
          <w:sz w:val="22"/>
          <w:szCs w:val="22"/>
          <w:color w:val="auto"/>
        </w:rPr>
        <w:t>d. Are there any interest payments in arrears or have any coupon payments been legally deferred by the issuer? [Y/N]</w:t>
      </w:r>
    </w:p>
    <w:p>
      <w:pPr>
        <w:spacing w:after="0" w:line="23"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e. Is any portion of the interest paid in kind? [Y/N] Enter "N" if the interest may be paid in kind but is not actually paid in kind or if the Fund has the option of electing in-kind payment and has elected to be paid in-kind.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 For convertible securities, also provide: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23" w:lineRule="exact"/>
        <w:rPr>
          <w:sz w:val="20"/>
          <w:szCs w:val="20"/>
          <w:color w:val="auto"/>
        </w:rPr>
      </w:pPr>
    </w:p>
    <w:p>
      <w:pPr>
        <w:ind w:right="220"/>
        <w:spacing w:after="0" w:line="258" w:lineRule="auto"/>
        <w:rPr>
          <w:sz w:val="20"/>
          <w:szCs w:val="20"/>
          <w:color w:val="auto"/>
        </w:rPr>
      </w:pPr>
      <w:r>
        <w:rPr>
          <w:sz w:val="1"/>
          <w:szCs w:val="1"/>
          <w:color w:val="auto"/>
        </w:rPr>
        <w:drawing>
          <wp:inline distT="0" distB="0" distL="0" distR="0">
            <wp:extent cx="137160" cy="123825"/>
            <wp:effectExtent l="0" t="0" r="0" b="0"/>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23825"/>
            <wp:effectExtent l="0" t="0" r="0" b="0"/>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37160" cy="12382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ectPr>
          <w:pgSz w:w="11900" w:h="16838" w:orient="portrait"/>
          <w:cols w:equalWidth="0" w:num="2">
            <w:col w:w="9920" w:space="200"/>
            <w:col w:w="1060"/>
          </w:cols>
          <w:pgMar w:left="320" w:top="112" w:right="399" w:bottom="0" w:gutter="0" w:footer="0" w:header="0"/>
          <w:type w:val="continuous"/>
        </w:sectPr>
      </w:pPr>
    </w:p>
    <w:bookmarkStart w:id="195" w:name="page196"/>
    <w:bookmarkEnd w:id="195"/>
    <w:p>
      <w:pPr>
        <w:ind w:left="40"/>
        <w:spacing w:after="0"/>
        <w:rPr>
          <w:sz w:val="20"/>
          <w:szCs w:val="20"/>
          <w:color w:val="auto"/>
        </w:rPr>
      </w:pPr>
      <w:r>
        <w:rPr>
          <w:rFonts w:ascii="Times New Roman" w:cs="Times New Roman" w:eastAsia="Times New Roman" w:hAnsi="Times New Roman"/>
          <w:sz w:val="22"/>
          <w:szCs w:val="22"/>
          <w:color w:val="auto"/>
        </w:rPr>
        <w:t xml:space="preserve">i. Mandatory convertible? [Y/N] </w:t>
      </w:r>
      <w:r>
        <w:rPr>
          <w:sz w:val="1"/>
          <w:szCs w:val="1"/>
          <w:color w:val="auto"/>
        </w:rPr>
        <w:drawing>
          <wp:inline distT="0" distB="0" distL="0" distR="0">
            <wp:extent cx="137160" cy="137160"/>
            <wp:effectExtent l="0" t="0" r="0" b="0"/>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60" w:lineRule="exact"/>
        <w:rPr>
          <w:sz w:val="20"/>
          <w:szCs w:val="20"/>
          <w:color w:val="auto"/>
        </w:rPr>
      </w:pPr>
    </w:p>
    <w:p>
      <w:pPr>
        <w:ind w:left="40"/>
        <w:spacing w:after="0"/>
        <w:tabs>
          <w:tab w:leader="none" w:pos="3240" w:val="left"/>
          <w:tab w:leader="none" w:pos="3880" w:val="left"/>
        </w:tabs>
        <w:rPr>
          <w:sz w:val="20"/>
          <w:szCs w:val="20"/>
          <w:color w:val="auto"/>
        </w:rPr>
      </w:pPr>
      <w:r>
        <w:rPr>
          <w:rFonts w:ascii="Times New Roman" w:cs="Times New Roman" w:eastAsia="Times New Roman" w:hAnsi="Times New Roman"/>
          <w:sz w:val="22"/>
          <w:szCs w:val="22"/>
          <w:color w:val="auto"/>
        </w:rPr>
        <w:t>ii. Contingent convertible? [Y/N]</w:t>
      </w:r>
      <w:r>
        <w:rPr>
          <w:sz w:val="20"/>
          <w:szCs w:val="20"/>
          <w:color w:val="auto"/>
        </w:rPr>
        <w:tab/>
      </w: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1"/>
          <w:szCs w:val="21"/>
          <w:color w:val="auto"/>
        </w:rPr>
        <w:t>No</w:t>
      </w:r>
    </w:p>
    <w:p>
      <w:pPr>
        <w:spacing w:after="0" w:line="260" w:lineRule="exact"/>
        <w:rPr>
          <w:sz w:val="20"/>
          <w:szCs w:val="20"/>
          <w:color w:val="auto"/>
        </w:rPr>
      </w:pPr>
    </w:p>
    <w:p>
      <w:pPr>
        <w:jc w:val="both"/>
        <w:ind w:right="300" w:firstLine="8"/>
        <w:spacing w:after="0" w:line="238" w:lineRule="auto"/>
        <w:tabs>
          <w:tab w:leader="none" w:pos="288"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Description of the reference instrument, including the name of issuer, title of issue, and currency in which denominated, as well as CUSIP of reference instrument, ISIN (if CUSIP is not available), ticker (if CUSIP and ISIN are not available), or other identifier (if CUSIP, ISIN, and ticker are not available).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other identifier provided, indicate the type of identifier used.</w:t>
      </w:r>
    </w:p>
    <w:p>
      <w:pPr>
        <w:sectPr>
          <w:pgSz w:w="11900" w:h="16838" w:orient="portrait"/>
          <w:cols w:equalWidth="0" w:num="1">
            <w:col w:w="11240"/>
          </w:cols>
          <w:pgMar w:left="320" w:top="153" w:right="339" w:bottom="977" w:gutter="0" w:footer="0" w:header="0"/>
        </w:sectPr>
      </w:pPr>
    </w:p>
    <w:p>
      <w:pPr>
        <w:spacing w:after="0" w:line="2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v. Delta (if applicable).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C.10. For repurchase and reverse repurchase agreements, also provide:</w:t>
      </w:r>
    </w:p>
    <w:p>
      <w:pPr>
        <w:spacing w:after="0" w:line="359"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a. Select the category that reflects the transaction (repurchase, reverse repurchase). Select "repurchase agreement" if the Fund is the cash lender and receives collateral. Select "reverse repurchase agreement" if the Fund is the cash borrower and posts collateral.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 Cleared by central counterparty? [Y/N] If Y, provide the name of the central counterparty. </w:t>
      </w:r>
      <w:r>
        <w:rPr>
          <w:sz w:val="1"/>
          <w:szCs w:val="1"/>
          <w:color w:val="auto"/>
        </w:rPr>
        <w:drawing>
          <wp:inline distT="0" distB="0" distL="0" distR="0">
            <wp:extent cx="137160" cy="137160"/>
            <wp:effectExtent l="0" t="0" r="0" b="0"/>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Yes </w:t>
      </w:r>
      <w:r>
        <w:rPr>
          <w:sz w:val="1"/>
          <w:szCs w:val="1"/>
          <w:color w:val="auto"/>
        </w:rPr>
        <w:drawing>
          <wp:inline distT="0" distB="0" distL="0" distR="0">
            <wp:extent cx="137160" cy="137160"/>
            <wp:effectExtent l="0" t="0" r="0" b="0"/>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No</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If N, provide the name and LEI (if any) of counterparty.</w:t>
      </w:r>
    </w:p>
    <w:p>
      <w:pPr>
        <w:spacing w:after="0" w:line="2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c. Tri-party?      </w:t>
      </w:r>
      <w:r>
        <w:rPr>
          <w:sz w:val="1"/>
          <w:szCs w:val="1"/>
          <w:color w:val="auto"/>
        </w:rPr>
        <w:drawing>
          <wp:inline distT="0" distB="0" distL="0" distR="0">
            <wp:extent cx="137160" cy="137160"/>
            <wp:effectExtent l="0" t="0" r="0" b="0"/>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 Repurchase rate.</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 Maturity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137160" cy="137160"/>
            <wp:effectExtent l="0" t="0" r="0" b="0"/>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Repurchase</w:t>
      </w:r>
    </w:p>
    <w:p>
      <w:pPr>
        <w:spacing w:after="0" w:line="13" w:lineRule="exact"/>
        <w:rPr>
          <w:sz w:val="20"/>
          <w:szCs w:val="20"/>
          <w:color w:val="auto"/>
        </w:rPr>
      </w:pPr>
    </w:p>
    <w:p>
      <w:pPr>
        <w:ind w:right="500"/>
        <w:spacing w:after="0" w:line="299" w:lineRule="auto"/>
        <w:rPr>
          <w:sz w:val="20"/>
          <w:szCs w:val="20"/>
          <w:color w:val="auto"/>
        </w:rPr>
      </w:pPr>
      <w:r>
        <w:rPr>
          <w:sz w:val="1"/>
          <w:szCs w:val="1"/>
          <w:color w:val="auto"/>
        </w:rPr>
        <w:drawing>
          <wp:inline distT="0" distB="0" distL="0" distR="0">
            <wp:extent cx="137160" cy="137160"/>
            <wp:effectExtent l="0" t="0" r="0" b="0"/>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Reverse repurchase</w:t>
      </w:r>
    </w:p>
    <w:p>
      <w:pPr>
        <w:spacing w:after="0" w:line="2758" w:lineRule="exact"/>
        <w:rPr>
          <w:sz w:val="20"/>
          <w:szCs w:val="20"/>
          <w:color w:val="auto"/>
        </w:rPr>
      </w:pPr>
    </w:p>
    <w:p>
      <w:pPr>
        <w:sectPr>
          <w:pgSz w:w="11900" w:h="16838" w:orient="portrait"/>
          <w:cols w:equalWidth="0" w:num="2">
            <w:col w:w="9500" w:space="280"/>
            <w:col w:w="1460"/>
          </w:cols>
          <w:pgMar w:left="320" w:top="153" w:right="339" w:bottom="977" w:gutter="0" w:footer="0" w:header="0"/>
          <w:type w:val="continuous"/>
        </w:sectPr>
      </w:pP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f. Provide the following information concerning the securities subject to the repurchase agreement (i.e., collateral). If multiple securities of an issuer are subject to the repurchase agreement, those securities may be aggregated in responding to Items C.10.f.i-iii.</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C.11. For derivatives, also provide: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C.12. Securities lending.</w:t>
      </w:r>
    </w:p>
    <w:p>
      <w:pPr>
        <w:spacing w:after="0" w:line="345" w:lineRule="exact"/>
        <w:rPr>
          <w:sz w:val="20"/>
          <w:szCs w:val="20"/>
          <w:color w:val="auto"/>
        </w:rPr>
      </w:pPr>
    </w:p>
    <w:p>
      <w:pPr>
        <w:ind w:left="40" w:right="180"/>
        <w:spacing w:after="0" w:line="338" w:lineRule="auto"/>
        <w:rPr>
          <w:sz w:val="20"/>
          <w:szCs w:val="20"/>
          <w:color w:val="auto"/>
        </w:rPr>
      </w:pPr>
      <w:r>
        <w:rPr>
          <w:rFonts w:ascii="Times New Roman" w:cs="Times New Roman" w:eastAsia="Times New Roman" w:hAnsi="Times New Roman"/>
          <w:sz w:val="22"/>
          <w:szCs w:val="22"/>
          <w:color w:val="auto"/>
        </w:rPr>
        <w:t xml:space="preserve">a. Does any amount of this investment represent reinvestment of cash collateral received for loaned securities? </w:t>
      </w:r>
      <w:r>
        <w:rPr>
          <w:sz w:val="1"/>
          <w:szCs w:val="1"/>
          <w:color w:val="auto"/>
        </w:rPr>
        <w:drawing>
          <wp:inline distT="0" distB="0" distL="0" distR="0">
            <wp:extent cx="137160" cy="137160"/>
            <wp:effectExtent l="0" t="0" r="0" b="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b. Does any portion of this investment represent that is treated as a Fund asset and received for loaned securities? </w:t>
      </w:r>
      <w:r>
        <w:rPr>
          <w:sz w:val="1"/>
          <w:szCs w:val="1"/>
          <w:color w:val="auto"/>
        </w:rPr>
        <w:drawing>
          <wp:inline distT="0" distB="0" distL="0" distR="0">
            <wp:extent cx="137160" cy="137160"/>
            <wp:effectExtent l="0" t="0" r="0" b="0"/>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 c. Is any portion of this investment on loan by the Fund? </w:t>
      </w:r>
      <w:r>
        <w:rPr>
          <w:sz w:val="1"/>
          <w:szCs w:val="1"/>
          <w:color w:val="auto"/>
        </w:rPr>
        <w:drawing>
          <wp:inline distT="0" distB="0" distL="0" distR="0">
            <wp:extent cx="137160" cy="137160"/>
            <wp:effectExtent l="0" t="0" r="0" b="0"/>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Yes </w:t>
      </w:r>
      <w:r>
        <w:rPr>
          <w:sz w:val="1"/>
          <w:szCs w:val="1"/>
          <w:color w:val="auto"/>
        </w:rPr>
        <w:drawing>
          <wp:inline distT="0" distB="0" distL="0" distR="0">
            <wp:extent cx="137160" cy="13716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Part E: Explanatory Notes (if any)</w:t>
      </w:r>
    </w:p>
    <w:p>
      <w:pPr>
        <w:spacing w:after="0" w:line="353" w:lineRule="exact"/>
        <w:rPr>
          <w:sz w:val="20"/>
          <w:szCs w:val="20"/>
          <w:color w:val="auto"/>
        </w:rPr>
      </w:pPr>
    </w:p>
    <w:p>
      <w:pPr>
        <w:ind w:left="40" w:right="240"/>
        <w:spacing w:after="0" w:line="244" w:lineRule="auto"/>
        <w:rPr>
          <w:sz w:val="20"/>
          <w:szCs w:val="20"/>
          <w:color w:val="auto"/>
        </w:rPr>
      </w:pPr>
      <w:r>
        <w:rPr>
          <w:rFonts w:ascii="Times New Roman" w:cs="Times New Roman" w:eastAsia="Times New Roman" w:hAnsi="Times New Roman"/>
          <w:sz w:val="22"/>
          <w:szCs w:val="22"/>
          <w:color w:val="auto"/>
        </w:rPr>
        <w:t>The Fund may provide any information it believes would be helpful in understanding the information reported in response to any Item of this Form. The Fund may also explain any assumptions that it made in responding to any Item of this Form. To the extent responses relate to a particular Item, provide the Item number(s), as applicable.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NPORT-P: Signatures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Registrant has duly caused this report to be signed on its behalf by the undersigned hereunto duly authorized.</w:t>
      </w:r>
    </w:p>
    <w:p>
      <w:pPr>
        <w:spacing w:after="0" w:line="247"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Registrant:</w:t>
      </w:r>
      <w:r>
        <w:rPr>
          <w:sz w:val="20"/>
          <w:szCs w:val="20"/>
          <w:color w:val="auto"/>
        </w:rPr>
        <w:tab/>
      </w:r>
      <w:r>
        <w:rPr>
          <w:rFonts w:ascii="Times New Roman" w:cs="Times New Roman" w:eastAsia="Times New Roman" w:hAnsi="Times New Roman"/>
          <w:sz w:val="22"/>
          <w:szCs w:val="22"/>
          <w:color w:val="auto"/>
        </w:rPr>
        <w:t>ArrowMark Financial Corp.</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By (Signature): Patrick J. Farrell</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Patrick J. Farrell</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Financial Officer</w:t>
      </w:r>
    </w:p>
    <w:p>
      <w:pPr>
        <w:spacing w:after="0" w:line="44"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2025-11-26</w:t>
      </w:r>
    </w:p>
    <w:p>
      <w:pPr>
        <w:sectPr>
          <w:pgSz w:w="11900" w:h="16838" w:orient="portrait"/>
          <w:cols w:equalWidth="0" w:num="1">
            <w:col w:w="11240"/>
          </w:cols>
          <w:pgMar w:left="320" w:top="153" w:right="339" w:bottom="977" w:gutter="0" w:footer="0" w:header="0"/>
          <w:type w:val="continuous"/>
        </w:sectPr>
      </w:pPr>
    </w:p>
    <w:bookmarkStart w:id="196" w:name="page197"/>
    <w:bookmarkEnd w:id="19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296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40"/>
          <w:szCs w:val="40"/>
          <w:color w:val="FFFFFF"/>
        </w:rPr>
        <w:t>ArrowMark Financial Corp.</w:t>
      </w:r>
    </w:p>
    <w:p>
      <w:pPr>
        <w:ind w:left="1020"/>
        <w:spacing w:after="0"/>
        <w:rPr>
          <w:sz w:val="20"/>
          <w:szCs w:val="20"/>
          <w:color w:val="auto"/>
        </w:rPr>
      </w:pPr>
      <w:r>
        <w:rPr>
          <w:rFonts w:ascii="Arial" w:cs="Arial" w:eastAsia="Arial" w:hAnsi="Arial"/>
          <w:sz w:val="27"/>
          <w:szCs w:val="27"/>
          <w:color w:val="FFFFFF"/>
        </w:rPr>
        <w:t>Consolidated Schedule of Investments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6094730" cy="825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609473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color w:val="296B38"/>
        </w:rPr>
        <w:t>As of September 30, 2025</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center"/>
              <w:ind w:right="689"/>
              <w:spacing w:after="0"/>
              <w:rPr>
                <w:sz w:val="20"/>
                <w:szCs w:val="20"/>
                <w:color w:val="auto"/>
              </w:rPr>
            </w:pPr>
            <w:r>
              <w:rPr>
                <w:rFonts w:ascii="Arial" w:cs="Arial" w:eastAsia="Arial" w:hAnsi="Arial"/>
                <w:sz w:val="13"/>
                <w:szCs w:val="13"/>
                <w:b w:val="1"/>
                <w:bCs w:val="1"/>
                <w:color w:val="auto"/>
              </w:rPr>
              <w:t># of</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gridSpan w:val="2"/>
          </w:tcPr>
          <w:p>
            <w:pPr>
              <w:jc w:val="center"/>
              <w:ind w:right="189"/>
              <w:spacing w:after="0"/>
              <w:rPr>
                <w:sz w:val="20"/>
                <w:szCs w:val="20"/>
                <w:color w:val="auto"/>
              </w:rPr>
            </w:pPr>
            <w:r>
              <w:rPr>
                <w:rFonts w:ascii="Arial" w:cs="Arial" w:eastAsia="Arial" w:hAnsi="Arial"/>
                <w:sz w:val="13"/>
                <w:szCs w:val="13"/>
                <w:b w:val="1"/>
                <w:bCs w:val="1"/>
                <w:color w:val="auto"/>
                <w:w w:val="97"/>
              </w:rPr>
              <w:t>Shares/Par</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080" w:type="dxa"/>
            <w:vAlign w:val="bottom"/>
            <w:tcBorders>
              <w:bottom w:val="single" w:sz="8" w:color="auto"/>
            </w:tcBorders>
          </w:tcPr>
          <w:p>
            <w:pPr>
              <w:ind w:left="1740"/>
              <w:spacing w:after="0"/>
              <w:rPr>
                <w:sz w:val="20"/>
                <w:szCs w:val="20"/>
                <w:color w:val="auto"/>
              </w:rPr>
            </w:pPr>
            <w:r>
              <w:rPr>
                <w:rFonts w:ascii="Arial" w:cs="Arial" w:eastAsia="Arial" w:hAnsi="Arial"/>
                <w:sz w:val="13"/>
                <w:szCs w:val="13"/>
                <w:b w:val="1"/>
                <w:bCs w:val="1"/>
                <w:color w:val="auto"/>
              </w:rPr>
              <w:t>Investment</w:t>
            </w:r>
          </w:p>
        </w:tc>
        <w:tc>
          <w:tcPr>
            <w:tcW w:w="1520" w:type="dxa"/>
            <w:vAlign w:val="bottom"/>
            <w:tcBorders>
              <w:bottom w:val="single" w:sz="8" w:color="auto"/>
            </w:tcBorders>
            <w:gridSpan w:val="2"/>
          </w:tcPr>
          <w:p>
            <w:pPr>
              <w:jc w:val="center"/>
              <w:ind w:right="169"/>
              <w:spacing w:after="0"/>
              <w:rPr>
                <w:sz w:val="20"/>
                <w:szCs w:val="20"/>
                <w:color w:val="auto"/>
              </w:rPr>
            </w:pPr>
            <w:r>
              <w:rPr>
                <w:rFonts w:ascii="Arial" w:cs="Arial" w:eastAsia="Arial" w:hAnsi="Arial"/>
                <w:sz w:val="13"/>
                <w:szCs w:val="13"/>
                <w:b w:val="1"/>
                <w:bCs w:val="1"/>
                <w:color w:val="auto"/>
                <w:w w:val="90"/>
              </w:rPr>
              <w:t>Amount</w:t>
            </w:r>
            <w:r>
              <w:rPr>
                <w:rFonts w:ascii="Arial" w:cs="Arial" w:eastAsia="Arial" w:hAnsi="Arial"/>
                <w:sz w:val="21"/>
                <w:szCs w:val="21"/>
                <w:b w:val="1"/>
                <w:bCs w:val="1"/>
                <w:color w:val="auto"/>
                <w:w w:val="90"/>
                <w:vertAlign w:val="superscript"/>
              </w:rPr>
              <w:t>(2)</w:t>
            </w:r>
          </w:p>
        </w:tc>
        <w:tc>
          <w:tcPr>
            <w:tcW w:w="13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6"/>
                <w:szCs w:val="16"/>
                <w:b w:val="1"/>
                <w:bCs w:val="1"/>
                <w:color w:val="auto"/>
              </w:rPr>
              <w:t>Term Loans – 4.8%</w:t>
            </w: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6"/>
                <w:szCs w:val="16"/>
                <w:b w:val="1"/>
                <w:bCs w:val="1"/>
                <w:color w:val="auto"/>
              </w:rPr>
              <w:t>Banking – 4.8%</w:t>
            </w: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620" w:type="dxa"/>
            <w:vAlign w:val="bottom"/>
          </w:tcPr>
          <w:p>
            <w:pPr>
              <w:spacing w:after="0"/>
              <w:rPr>
                <w:sz w:val="20"/>
                <w:szCs w:val="20"/>
                <w:color w:val="auto"/>
              </w:rPr>
            </w:pPr>
            <w:r>
              <w:rPr>
                <w:rFonts w:ascii="Arial" w:cs="Arial" w:eastAsia="Arial" w:hAnsi="Arial"/>
                <w:sz w:val="14"/>
                <w:szCs w:val="14"/>
                <w:color w:val="auto"/>
              </w:rPr>
              <w:t>EverBank Financial Corp.</w:t>
            </w:r>
          </w:p>
        </w:tc>
        <w:tc>
          <w:tcPr>
            <w:tcW w:w="4080" w:type="dxa"/>
            <w:vAlign w:val="bottom"/>
          </w:tcPr>
          <w:p>
            <w:pPr>
              <w:ind w:left="140"/>
              <w:spacing w:after="0"/>
              <w:rPr>
                <w:sz w:val="20"/>
                <w:szCs w:val="20"/>
                <w:color w:val="auto"/>
              </w:rPr>
            </w:pPr>
            <w:r>
              <w:rPr>
                <w:rFonts w:ascii="Arial" w:cs="Arial" w:eastAsia="Arial" w:hAnsi="Arial"/>
                <w:sz w:val="14"/>
                <w:szCs w:val="14"/>
                <w:color w:val="auto"/>
              </w:rPr>
              <w:t>Subordinated Term Loan, 7.50%, 9/01/2035, 144A</w:t>
            </w:r>
            <w:r>
              <w:rPr>
                <w:rFonts w:ascii="Arial" w:cs="Arial" w:eastAsia="Arial" w:hAnsi="Arial"/>
                <w:sz w:val="24"/>
                <w:szCs w:val="24"/>
                <w:color w:val="auto"/>
                <w:vertAlign w:val="superscript"/>
              </w:rPr>
              <w:t>(4)(5)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2,000,000</w:t>
            </w:r>
          </w:p>
        </w:tc>
        <w:tc>
          <w:tcPr>
            <w:tcW w:w="13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2,060,000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F.N.B.C. of La Grange, Inc.</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Subordinated Term Loan, 6.38%, 1/01/2030</w:t>
            </w:r>
            <w:r>
              <w:rPr>
                <w:rFonts w:ascii="Arial" w:cs="Arial" w:eastAsia="Arial" w:hAnsi="Arial"/>
                <w:sz w:val="24"/>
                <w:szCs w:val="24"/>
                <w:color w:val="auto"/>
                <w:vertAlign w:val="superscript"/>
              </w:rPr>
              <w:t>(6)</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700,000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612,500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TransPecos Financial Corp.</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Senior Term Loan, 9.00%, 10/01/2028</w:t>
            </w:r>
            <w:r>
              <w:rPr>
                <w:rFonts w:ascii="Arial" w:cs="Arial" w:eastAsia="Arial" w:hAnsi="Arial"/>
                <w:sz w:val="24"/>
                <w:szCs w:val="24"/>
                <w:color w:val="auto"/>
                <w:vertAlign w:val="superscript"/>
              </w:rPr>
              <w:t>(5)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4,000,000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3,500,000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Tulsa Valley Bancshares</w:t>
            </w:r>
          </w:p>
        </w:tc>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Subordinated Term Loan, 6.38%, 12/31/2028</w:t>
            </w:r>
            <w:r>
              <w:rPr>
                <w:rFonts w:ascii="Arial" w:cs="Arial" w:eastAsia="Arial" w:hAnsi="Arial"/>
                <w:sz w:val="24"/>
                <w:szCs w:val="24"/>
                <w:color w:val="auto"/>
                <w:vertAlign w:val="superscript"/>
              </w:rPr>
              <w:t>(6)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1,700,000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1,530,000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620" w:type="dxa"/>
            <w:vAlign w:val="bottom"/>
          </w:tcPr>
          <w:p>
            <w:pPr>
              <w:spacing w:after="0"/>
              <w:rPr>
                <w:sz w:val="20"/>
                <w:szCs w:val="20"/>
                <w:color w:val="auto"/>
              </w:rPr>
            </w:pPr>
          </w:p>
        </w:tc>
        <w:tc>
          <w:tcPr>
            <w:tcW w:w="4080" w:type="dxa"/>
            <w:vAlign w:val="bottom"/>
          </w:tcPr>
          <w:p>
            <w:pPr>
              <w:ind w:left="140"/>
              <w:spacing w:after="0"/>
              <w:rPr>
                <w:sz w:val="20"/>
                <w:szCs w:val="20"/>
                <w:color w:val="auto"/>
              </w:rPr>
            </w:pPr>
            <w:r>
              <w:rPr>
                <w:rFonts w:ascii="Arial" w:cs="Arial" w:eastAsia="Arial" w:hAnsi="Arial"/>
                <w:sz w:val="14"/>
                <w:szCs w:val="14"/>
                <w:b w:val="1"/>
                <w:bCs w:val="1"/>
                <w:color w:val="auto"/>
              </w:rPr>
              <w:t>Total Term Loans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7,702,500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 $8,400,000)</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620" w:type="dxa"/>
            <w:vAlign w:val="bottom"/>
          </w:tcPr>
          <w:p>
            <w:pPr>
              <w:spacing w:after="0"/>
              <w:rPr>
                <w:sz w:val="20"/>
                <w:szCs w:val="20"/>
                <w:color w:val="auto"/>
              </w:rPr>
            </w:pPr>
            <w:r>
              <w:rPr>
                <w:rFonts w:ascii="Arial" w:cs="Arial" w:eastAsia="Arial" w:hAnsi="Arial"/>
                <w:sz w:val="16"/>
                <w:szCs w:val="16"/>
                <w:b w:val="1"/>
                <w:bCs w:val="1"/>
                <w:color w:val="auto"/>
              </w:rPr>
              <w:t>Structured Debt Security – 7.3%</w:t>
            </w: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6"/>
                <w:szCs w:val="16"/>
                <w:b w:val="1"/>
                <w:bCs w:val="1"/>
                <w:color w:val="auto"/>
              </w:rPr>
              <w:t>Banking – 7.3%</w:t>
            </w: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4"/>
                <w:szCs w:val="14"/>
                <w:color w:val="auto"/>
              </w:rPr>
              <w:t>Community Funding 2018, LLC.</w:t>
            </w:r>
          </w:p>
        </w:tc>
        <w:tc>
          <w:tcPr>
            <w:tcW w:w="4080" w:type="dxa"/>
            <w:vAlign w:val="bottom"/>
          </w:tcPr>
          <w:p>
            <w:pPr>
              <w:ind w:left="140"/>
              <w:spacing w:after="0"/>
              <w:rPr>
                <w:sz w:val="20"/>
                <w:szCs w:val="20"/>
                <w:color w:val="auto"/>
              </w:rPr>
            </w:pPr>
            <w:r>
              <w:rPr>
                <w:rFonts w:ascii="Arial" w:cs="Arial" w:eastAsia="Arial" w:hAnsi="Arial"/>
                <w:sz w:val="14"/>
                <w:szCs w:val="14"/>
                <w:color w:val="auto"/>
              </w:rPr>
              <w:t>Preferred Shares (Estimated effective yield 10.87%), 144A</w:t>
            </w:r>
            <w:r>
              <w:rPr>
                <w:rFonts w:ascii="Arial" w:cs="Arial" w:eastAsia="Arial" w:hAnsi="Arial"/>
                <w:sz w:val="24"/>
                <w:szCs w:val="24"/>
                <w:color w:val="auto"/>
                <w:vertAlign w:val="superscript"/>
              </w:rPr>
              <w:t>(4)</w:t>
            </w:r>
          </w:p>
        </w:tc>
        <w:tc>
          <w:tcPr>
            <w:tcW w:w="1520" w:type="dxa"/>
            <w:vAlign w:val="bottom"/>
            <w:gridSpan w:val="2"/>
            <w:vMerge w:val="restart"/>
          </w:tcPr>
          <w:p>
            <w:pPr>
              <w:jc w:val="right"/>
              <w:ind w:right="209"/>
              <w:spacing w:after="0"/>
              <w:rPr>
                <w:sz w:val="20"/>
                <w:szCs w:val="20"/>
                <w:color w:val="auto"/>
              </w:rPr>
            </w:pPr>
            <w:r>
              <w:rPr>
                <w:rFonts w:ascii="Arial" w:cs="Arial" w:eastAsia="Arial" w:hAnsi="Arial"/>
                <w:sz w:val="14"/>
                <w:szCs w:val="14"/>
                <w:color w:val="auto"/>
              </w:rPr>
              <w:t>$14,860,000</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11,568,510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4080" w:type="dxa"/>
            <w:vAlign w:val="bottom"/>
          </w:tcPr>
          <w:p>
            <w:pPr>
              <w:ind w:left="140"/>
              <w:spacing w:after="0"/>
              <w:rPr>
                <w:sz w:val="20"/>
                <w:szCs w:val="20"/>
                <w:color w:val="auto"/>
              </w:rPr>
            </w:pPr>
            <w:r>
              <w:rPr>
                <w:rFonts w:ascii="Arial" w:cs="Arial" w:eastAsia="Arial" w:hAnsi="Arial"/>
                <w:sz w:val="12"/>
                <w:szCs w:val="12"/>
                <w:color w:val="auto"/>
              </w:rPr>
              <w:t>(7)</w:t>
            </w:r>
          </w:p>
        </w:tc>
        <w:tc>
          <w:tcPr>
            <w:tcW w:w="152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62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p>
        </w:tc>
        <w:tc>
          <w:tcPr>
            <w:tcW w:w="4080" w:type="dxa"/>
            <w:vAlign w:val="bottom"/>
          </w:tcPr>
          <w:p>
            <w:pPr>
              <w:ind w:left="140"/>
              <w:spacing w:after="0"/>
              <w:rPr>
                <w:sz w:val="20"/>
                <w:szCs w:val="20"/>
                <w:color w:val="auto"/>
              </w:rPr>
            </w:pPr>
            <w:r>
              <w:rPr>
                <w:rFonts w:ascii="Arial" w:cs="Arial" w:eastAsia="Arial" w:hAnsi="Arial"/>
                <w:sz w:val="14"/>
                <w:szCs w:val="14"/>
                <w:b w:val="1"/>
                <w:bCs w:val="1"/>
                <w:color w:val="auto"/>
              </w:rPr>
              <w:t>Total Structured Debt Securities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11,568,510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6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(Cost $14,748,427)</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Relief Securities – 105.9%</w:t>
            </w: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6"/>
                <w:szCs w:val="16"/>
                <w:b w:val="1"/>
                <w:bCs w:val="1"/>
                <w:color w:val="auto"/>
              </w:rPr>
              <w:t>Banking – 105.9%</w:t>
            </w: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620" w:type="dxa"/>
            <w:vAlign w:val="bottom"/>
          </w:tcPr>
          <w:p>
            <w:pPr>
              <w:spacing w:after="0"/>
              <w:rPr>
                <w:sz w:val="20"/>
                <w:szCs w:val="20"/>
                <w:color w:val="auto"/>
              </w:rPr>
            </w:pPr>
            <w:r>
              <w:rPr>
                <w:rFonts w:ascii="Arial" w:cs="Arial" w:eastAsia="Arial" w:hAnsi="Arial"/>
                <w:sz w:val="14"/>
                <w:szCs w:val="14"/>
                <w:color w:val="auto"/>
              </w:rPr>
              <w:t>Absolute</w:t>
            </w:r>
          </w:p>
        </w:tc>
        <w:tc>
          <w:tcPr>
            <w:tcW w:w="4080" w:type="dxa"/>
            <w:vAlign w:val="bottom"/>
          </w:tcPr>
          <w:p>
            <w:pPr>
              <w:ind w:left="140"/>
              <w:spacing w:after="0"/>
              <w:rPr>
                <w:sz w:val="20"/>
                <w:szCs w:val="20"/>
                <w:color w:val="auto"/>
              </w:rPr>
            </w:pPr>
            <w:r>
              <w:rPr>
                <w:rFonts w:ascii="Arial" w:cs="Arial" w:eastAsia="Arial" w:hAnsi="Arial"/>
                <w:sz w:val="14"/>
                <w:szCs w:val="14"/>
                <w:color w:val="auto"/>
              </w:rPr>
              <w:t>Credit Linked Note, 16.84%, 10/10/2027</w:t>
            </w:r>
            <w:r>
              <w:rPr>
                <w:rFonts w:ascii="Arial" w:cs="Arial" w:eastAsia="Arial" w:hAnsi="Arial"/>
                <w:sz w:val="24"/>
                <w:szCs w:val="24"/>
                <w:color w:val="auto"/>
                <w:vertAlign w:val="superscript"/>
              </w:rPr>
              <w:t>(8)</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1,308,971</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1,310,742</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Algonquin</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13.85%, 11/01/2027</w:t>
            </w:r>
            <w:r>
              <w:rPr>
                <w:rFonts w:ascii="Arial" w:cs="Arial" w:eastAsia="Arial" w:hAnsi="Arial"/>
                <w:sz w:val="24"/>
                <w:szCs w:val="24"/>
                <w:color w:val="auto"/>
                <w:vertAlign w:val="superscript"/>
              </w:rPr>
              <w:t>(9)+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2,788,758</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2,628,537</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Algonquin</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14.60%, 11/01/2028</w:t>
            </w:r>
            <w:r>
              <w:rPr>
                <w:rFonts w:ascii="Arial" w:cs="Arial" w:eastAsia="Arial" w:hAnsi="Arial"/>
                <w:sz w:val="24"/>
                <w:szCs w:val="24"/>
                <w:color w:val="auto"/>
                <w:vertAlign w:val="superscript"/>
              </w:rPr>
              <w:t>(9)+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1,965,343</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1,896,072</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Algonquin</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Guarantee Linked Note, 0.00%, 05/01/2027</w:t>
            </w:r>
            <w:r>
              <w:rPr>
                <w:rFonts w:ascii="Arial" w:cs="Arial" w:eastAsia="Arial" w:hAnsi="Arial"/>
                <w:sz w:val="24"/>
                <w:szCs w:val="24"/>
                <w:color w:val="auto"/>
                <w:vertAlign w:val="superscript"/>
              </w:rPr>
              <w:t>(5)+</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526,153</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473,538</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1 - Series 1</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17.88%, 06/30/2031</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6,998,551</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7,412,166</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1 - Series 2</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11.59%, 12/15/2029</w:t>
            </w:r>
            <w:r>
              <w:rPr>
                <w:rFonts w:ascii="Arial" w:cs="Arial" w:eastAsia="Arial" w:hAnsi="Arial"/>
                <w:sz w:val="24"/>
                <w:szCs w:val="24"/>
                <w:color w:val="auto"/>
                <w:vertAlign w:val="superscript"/>
              </w:rPr>
              <w:t>(5)(8)</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836,044</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837,717</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1 - Series 2</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11.80%, 05/31/2033</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3,000,000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3,000,000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2 - Series 2</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15.09%, 04/19/2032</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3,000,000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3,068,700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2 - Series 3</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9.62%, 05/09/2033</w:t>
            </w:r>
            <w:r>
              <w:rPr>
                <w:rFonts w:ascii="Arial" w:cs="Arial" w:eastAsia="Arial" w:hAnsi="Arial"/>
                <w:sz w:val="24"/>
                <w:szCs w:val="24"/>
                <w:color w:val="auto"/>
                <w:vertAlign w:val="superscript"/>
              </w:rPr>
              <w:t>(5)(10)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5,000,000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5,849,704</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3 - Series 1</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10.84%, 06/30/2030</w:t>
            </w:r>
            <w:r>
              <w:rPr>
                <w:rFonts w:ascii="Arial" w:cs="Arial" w:eastAsia="Arial" w:hAnsi="Arial"/>
                <w:sz w:val="24"/>
                <w:szCs w:val="24"/>
                <w:color w:val="auto"/>
                <w:vertAlign w:val="superscript"/>
              </w:rPr>
              <w:t>(5)(8)</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2,284,866</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2,285,713</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3 - Series 2</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10.22%, 12/31/2034</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2,880,333</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3,398,594</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3 - Series 3</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14.03% 07/08/2032</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1,963,800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3 - Series 4</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7.97%, 09/30/2039</w:t>
            </w:r>
            <w:r>
              <w:rPr>
                <w:rFonts w:ascii="Arial" w:cs="Arial" w:eastAsia="Arial" w:hAnsi="Arial"/>
                <w:sz w:val="24"/>
                <w:szCs w:val="24"/>
                <w:color w:val="auto"/>
                <w:vertAlign w:val="superscript"/>
              </w:rPr>
              <w:t>(5)(10)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4,700,000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5,539,004</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4 - Series 1</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12.87%, 10/10/2030</w:t>
            </w:r>
            <w:r>
              <w:rPr>
                <w:rFonts w:ascii="Arial" w:cs="Arial" w:eastAsia="Arial" w:hAnsi="Arial"/>
                <w:sz w:val="24"/>
                <w:szCs w:val="24"/>
                <w:color w:val="auto"/>
                <w:vertAlign w:val="superscript"/>
              </w:rPr>
              <w:t>(5)(9)</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2,500,000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2,532,000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4 - Series 2</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8.94%, 12/12/2033</w:t>
            </w:r>
            <w:r>
              <w:rPr>
                <w:rFonts w:ascii="Arial" w:cs="Arial" w:eastAsia="Arial" w:hAnsi="Arial"/>
                <w:sz w:val="24"/>
                <w:szCs w:val="24"/>
                <w:color w:val="auto"/>
                <w:vertAlign w:val="superscript"/>
              </w:rPr>
              <w:t>(5)(10)</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1,331,912</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1,571,550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4 - Series 3</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11.17%, 06/30/2033</w:t>
            </w:r>
            <w:r>
              <w:rPr>
                <w:rFonts w:ascii="Arial" w:cs="Arial" w:eastAsia="Arial" w:hAnsi="Arial"/>
                <w:sz w:val="24"/>
                <w:szCs w:val="24"/>
                <w:color w:val="auto"/>
                <w:vertAlign w:val="superscript"/>
              </w:rPr>
              <w:t>(5)(11)</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2,500,000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3,380,522</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AMF Ireland Finance 4 - Series 4</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Profit Participating Note, 8.52%, 11/28/2039</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1,594,851</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1,879,727</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2620" w:type="dxa"/>
            <w:vAlign w:val="bottom"/>
          </w:tcPr>
          <w:p>
            <w:pPr>
              <w:spacing w:after="0"/>
              <w:rPr>
                <w:sz w:val="20"/>
                <w:szCs w:val="20"/>
                <w:color w:val="auto"/>
              </w:rPr>
            </w:pPr>
            <w:r>
              <w:rPr>
                <w:rFonts w:ascii="Arial" w:cs="Arial" w:eastAsia="Arial" w:hAnsi="Arial"/>
                <w:sz w:val="14"/>
                <w:szCs w:val="14"/>
                <w:color w:val="auto"/>
              </w:rPr>
              <w:t>AMF Ireland Finance 4 - Series 5</w:t>
            </w:r>
          </w:p>
        </w:tc>
        <w:tc>
          <w:tcPr>
            <w:tcW w:w="4080" w:type="dxa"/>
            <w:vAlign w:val="bottom"/>
          </w:tcPr>
          <w:p>
            <w:pPr>
              <w:ind w:left="140"/>
              <w:spacing w:after="0"/>
              <w:rPr>
                <w:sz w:val="20"/>
                <w:szCs w:val="20"/>
                <w:color w:val="auto"/>
              </w:rPr>
            </w:pPr>
            <w:r>
              <w:rPr>
                <w:rFonts w:ascii="Arial" w:cs="Arial" w:eastAsia="Arial" w:hAnsi="Arial"/>
                <w:sz w:val="14"/>
                <w:szCs w:val="14"/>
                <w:color w:val="auto"/>
              </w:rPr>
              <w:t>Profit Participating Note, 10.85%, 02/15/2030</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3,000,000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3,004,200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8"/>
        </w:trPr>
        <w:tc>
          <w:tcPr>
            <w:tcW w:w="2620" w:type="dxa"/>
            <w:vAlign w:val="bottom"/>
          </w:tcPr>
          <w:p>
            <w:pPr>
              <w:spacing w:after="0"/>
              <w:rPr>
                <w:sz w:val="20"/>
                <w:szCs w:val="20"/>
                <w:color w:val="auto"/>
              </w:rPr>
            </w:pPr>
            <w:r>
              <w:rPr>
                <w:rFonts w:ascii="Arial" w:cs="Arial" w:eastAsia="Arial" w:hAnsi="Arial"/>
                <w:sz w:val="14"/>
                <w:szCs w:val="14"/>
                <w:color w:val="296B38"/>
              </w:rPr>
              <w:t>See Notes to Schedule of Investments</w:t>
            </w:r>
          </w:p>
        </w:tc>
        <w:tc>
          <w:tcPr>
            <w:tcW w:w="4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900" w:type="dxa"/>
            <w:vAlign w:val="bottom"/>
            <w:gridSpan w:val="3"/>
          </w:tcPr>
          <w:p>
            <w:pPr>
              <w:jc w:val="right"/>
              <w:ind w:right="489"/>
              <w:spacing w:after="0"/>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rFonts w:ascii="Arial" w:cs="Arial" w:eastAsia="Arial" w:hAnsi="Arial"/>
                <w:sz w:val="13"/>
                <w:szCs w:val="13"/>
                <w:b w:val="1"/>
                <w:bCs w:val="1"/>
                <w:color w:val="296B38"/>
              </w:rPr>
              <w:t xml:space="preserve">  </w:t>
            </w:r>
            <w:r>
              <w:rPr>
                <w:rFonts w:ascii="Arial" w:cs="Arial" w:eastAsia="Arial" w:hAnsi="Arial"/>
                <w:sz w:val="16"/>
                <w:szCs w:val="16"/>
                <w:color w:val="296B38"/>
              </w:rPr>
              <w:t>1</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62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center"/>
              <w:ind w:right="689"/>
              <w:spacing w:after="0"/>
              <w:rPr>
                <w:sz w:val="20"/>
                <w:szCs w:val="20"/>
                <w:color w:val="auto"/>
              </w:rPr>
            </w:pPr>
            <w:r>
              <w:rPr>
                <w:rFonts w:ascii="Arial" w:cs="Arial" w:eastAsia="Arial" w:hAnsi="Arial"/>
                <w:sz w:val="13"/>
                <w:szCs w:val="13"/>
                <w:b w:val="1"/>
                <w:bCs w:val="1"/>
                <w:color w:val="auto"/>
              </w:rPr>
              <w:t># of</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gridSpan w:val="2"/>
          </w:tcPr>
          <w:p>
            <w:pPr>
              <w:jc w:val="center"/>
              <w:ind w:right="189"/>
              <w:spacing w:after="0"/>
              <w:rPr>
                <w:sz w:val="20"/>
                <w:szCs w:val="20"/>
                <w:color w:val="auto"/>
              </w:rPr>
            </w:pPr>
            <w:r>
              <w:rPr>
                <w:rFonts w:ascii="Arial" w:cs="Arial" w:eastAsia="Arial" w:hAnsi="Arial"/>
                <w:sz w:val="13"/>
                <w:szCs w:val="13"/>
                <w:b w:val="1"/>
                <w:bCs w:val="1"/>
                <w:color w:val="auto"/>
                <w:w w:val="97"/>
              </w:rPr>
              <w:t>Shares/Par</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6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080" w:type="dxa"/>
            <w:vAlign w:val="bottom"/>
            <w:tcBorders>
              <w:bottom w:val="single" w:sz="8" w:color="auto"/>
            </w:tcBorders>
          </w:tcPr>
          <w:p>
            <w:pPr>
              <w:ind w:left="1740"/>
              <w:spacing w:after="0"/>
              <w:rPr>
                <w:sz w:val="20"/>
                <w:szCs w:val="20"/>
                <w:color w:val="auto"/>
              </w:rPr>
            </w:pPr>
            <w:r>
              <w:rPr>
                <w:rFonts w:ascii="Arial" w:cs="Arial" w:eastAsia="Arial" w:hAnsi="Arial"/>
                <w:sz w:val="13"/>
                <w:szCs w:val="13"/>
                <w:b w:val="1"/>
                <w:bCs w:val="1"/>
                <w:color w:val="auto"/>
              </w:rPr>
              <w:t>Investment</w:t>
            </w:r>
          </w:p>
        </w:tc>
        <w:tc>
          <w:tcPr>
            <w:tcW w:w="1520" w:type="dxa"/>
            <w:vAlign w:val="bottom"/>
            <w:tcBorders>
              <w:bottom w:val="single" w:sz="8" w:color="auto"/>
            </w:tcBorders>
            <w:gridSpan w:val="2"/>
          </w:tcPr>
          <w:p>
            <w:pPr>
              <w:jc w:val="center"/>
              <w:ind w:right="169"/>
              <w:spacing w:after="0"/>
              <w:rPr>
                <w:sz w:val="20"/>
                <w:szCs w:val="20"/>
                <w:color w:val="auto"/>
              </w:rPr>
            </w:pPr>
            <w:r>
              <w:rPr>
                <w:rFonts w:ascii="Arial" w:cs="Arial" w:eastAsia="Arial" w:hAnsi="Arial"/>
                <w:sz w:val="13"/>
                <w:szCs w:val="13"/>
                <w:b w:val="1"/>
                <w:bCs w:val="1"/>
                <w:color w:val="auto"/>
                <w:w w:val="90"/>
              </w:rPr>
              <w:t>Amount</w:t>
            </w:r>
            <w:r>
              <w:rPr>
                <w:rFonts w:ascii="Arial" w:cs="Arial" w:eastAsia="Arial" w:hAnsi="Arial"/>
                <w:sz w:val="21"/>
                <w:szCs w:val="21"/>
                <w:b w:val="1"/>
                <w:bCs w:val="1"/>
                <w:color w:val="auto"/>
                <w:w w:val="90"/>
                <w:vertAlign w:val="superscript"/>
              </w:rPr>
              <w:t>(2)</w:t>
            </w:r>
          </w:p>
        </w:tc>
        <w:tc>
          <w:tcPr>
            <w:tcW w:w="138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Regulatory Capital Relief Securities (continued)</w:t>
            </w: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620" w:type="dxa"/>
            <w:vAlign w:val="bottom"/>
          </w:tcPr>
          <w:p>
            <w:pPr>
              <w:spacing w:after="0"/>
              <w:rPr>
                <w:sz w:val="20"/>
                <w:szCs w:val="20"/>
                <w:color w:val="auto"/>
              </w:rPr>
            </w:pPr>
            <w:r>
              <w:rPr>
                <w:rFonts w:ascii="Arial" w:cs="Arial" w:eastAsia="Arial" w:hAnsi="Arial"/>
                <w:sz w:val="16"/>
                <w:szCs w:val="16"/>
                <w:b w:val="1"/>
                <w:bCs w:val="1"/>
                <w:color w:val="auto"/>
              </w:rPr>
              <w:t>Banking (continued)</w:t>
            </w:r>
          </w:p>
        </w:tc>
        <w:tc>
          <w:tcPr>
            <w:tcW w:w="4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2620" w:type="dxa"/>
            <w:vAlign w:val="bottom"/>
          </w:tcPr>
          <w:p>
            <w:pPr>
              <w:spacing w:after="0"/>
              <w:rPr>
                <w:sz w:val="20"/>
                <w:szCs w:val="20"/>
                <w:color w:val="auto"/>
              </w:rPr>
            </w:pPr>
            <w:r>
              <w:rPr>
                <w:rFonts w:ascii="Arial" w:cs="Arial" w:eastAsia="Arial" w:hAnsi="Arial"/>
                <w:sz w:val="14"/>
                <w:szCs w:val="14"/>
                <w:color w:val="auto"/>
              </w:rPr>
              <w:t>AMF Ireland Finance 5 - Series 1</w:t>
            </w:r>
          </w:p>
        </w:tc>
        <w:tc>
          <w:tcPr>
            <w:tcW w:w="4080" w:type="dxa"/>
            <w:vAlign w:val="bottom"/>
          </w:tcPr>
          <w:p>
            <w:pPr>
              <w:ind w:left="140"/>
              <w:spacing w:after="0"/>
              <w:rPr>
                <w:sz w:val="20"/>
                <w:szCs w:val="20"/>
                <w:color w:val="auto"/>
              </w:rPr>
            </w:pPr>
            <w:r>
              <w:rPr>
                <w:rFonts w:ascii="Arial" w:cs="Arial" w:eastAsia="Arial" w:hAnsi="Arial"/>
                <w:sz w:val="14"/>
                <w:szCs w:val="14"/>
                <w:color w:val="auto"/>
              </w:rPr>
              <w:t>Profit Participating Note, 11.84%, 10/21/2034</w:t>
            </w:r>
            <w:r>
              <w:rPr>
                <w:rFonts w:ascii="Arial" w:cs="Arial" w:eastAsia="Arial" w:hAnsi="Arial"/>
                <w:sz w:val="24"/>
                <w:szCs w:val="24"/>
                <w:color w:val="auto"/>
                <w:vertAlign w:val="superscript"/>
              </w:rPr>
              <w:t>(5)(9)</w:t>
            </w:r>
          </w:p>
        </w:tc>
        <w:tc>
          <w:tcPr>
            <w:tcW w:w="1520" w:type="dxa"/>
            <w:vAlign w:val="bottom"/>
            <w:gridSpan w:val="2"/>
          </w:tcPr>
          <w:p>
            <w:pPr>
              <w:jc w:val="right"/>
              <w:ind w:right="209"/>
              <w:spacing w:after="0"/>
              <w:rPr>
                <w:sz w:val="20"/>
                <w:szCs w:val="20"/>
                <w:color w:val="auto"/>
              </w:rPr>
            </w:pPr>
            <w:r>
              <w:rPr>
                <w:rFonts w:ascii="Arial" w:cs="Arial" w:eastAsia="Arial" w:hAnsi="Arial"/>
                <w:sz w:val="14"/>
                <w:szCs w:val="14"/>
                <w:color w:val="auto"/>
              </w:rPr>
              <w:t>$10,000,000</w:t>
            </w:r>
          </w:p>
        </w:tc>
        <w:tc>
          <w:tcPr>
            <w:tcW w:w="138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10,118,604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Auto ABS Synthetic French Loans</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14.40%, 12/27/2030</w:t>
            </w:r>
            <w:r>
              <w:rPr>
                <w:rFonts w:ascii="Arial" w:cs="Arial" w:eastAsia="Arial" w:hAnsi="Arial"/>
                <w:sz w:val="24"/>
                <w:szCs w:val="24"/>
                <w:color w:val="auto"/>
                <w:vertAlign w:val="superscript"/>
              </w:rPr>
              <w:t>(12)</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1,146,030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1,350,880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Boa Vista</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11.03%, 05/02/2043</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1,191,941</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1,404,996</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Castelo</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10.97%, 05/05/2025</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1,096,212</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1,288,617</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Cedar</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12.52%, 12/15/2027</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2,079,484</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2,498,557</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Cedar</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13.02%, 03/30/2030</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2,612,639</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3,193,646</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CHAKRA</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13.76%, 11/21/2027</w:t>
            </w:r>
            <w:r>
              <w:rPr>
                <w:rFonts w:ascii="Arial" w:cs="Arial" w:eastAsia="Arial" w:hAnsi="Arial"/>
                <w:sz w:val="24"/>
                <w:szCs w:val="24"/>
                <w:color w:val="auto"/>
                <w:vertAlign w:val="superscript"/>
              </w:rPr>
              <w:t>(9)+</w:t>
            </w:r>
          </w:p>
        </w:tc>
        <w:tc>
          <w:tcPr>
            <w:tcW w:w="1520" w:type="dxa"/>
            <w:vAlign w:val="bottom"/>
            <w:gridSpan w:val="2"/>
          </w:tcPr>
          <w:p>
            <w:pPr>
              <w:jc w:val="right"/>
              <w:ind w:right="209"/>
              <w:spacing w:after="0"/>
              <w:rPr>
                <w:sz w:val="20"/>
                <w:szCs w:val="20"/>
                <w:color w:val="auto"/>
              </w:rPr>
            </w:pPr>
            <w:r>
              <w:rPr>
                <w:rFonts w:ascii="Arial" w:cs="Arial" w:eastAsia="Arial" w:hAnsi="Arial"/>
                <w:sz w:val="14"/>
                <w:szCs w:val="14"/>
                <w:color w:val="auto"/>
              </w:rPr>
              <w:t>$ 4,000,000</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3,980,600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0"/>
                <w:szCs w:val="20"/>
                <w:color w:val="auto"/>
              </w:rPr>
            </w:pPr>
            <w:r>
              <w:rPr>
                <w:rFonts w:ascii="Arial" w:cs="Arial" w:eastAsia="Arial" w:hAnsi="Arial"/>
                <w:sz w:val="14"/>
                <w:szCs w:val="14"/>
                <w:color w:val="auto"/>
              </w:rPr>
              <w:t>Colonnade</w:t>
            </w:r>
          </w:p>
        </w:tc>
        <w:tc>
          <w:tcPr>
            <w:tcW w:w="4080" w:type="dxa"/>
            <w:vAlign w:val="bottom"/>
          </w:tcPr>
          <w:p>
            <w:pPr>
              <w:ind w:left="140"/>
              <w:spacing w:after="0" w:line="270" w:lineRule="exact"/>
              <w:rPr>
                <w:sz w:val="20"/>
                <w:szCs w:val="20"/>
                <w:color w:val="auto"/>
              </w:rPr>
            </w:pPr>
            <w:r>
              <w:rPr>
                <w:rFonts w:ascii="Arial" w:cs="Arial" w:eastAsia="Arial" w:hAnsi="Arial"/>
                <w:sz w:val="14"/>
                <w:szCs w:val="14"/>
                <w:color w:val="auto"/>
              </w:rPr>
              <w:t>Credit Linked Note, 16.48%, 04/30/2028</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5,083,376</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5,318,934</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5"/>
        </w:trPr>
        <w:tc>
          <w:tcPr>
            <w:tcW w:w="2620" w:type="dxa"/>
            <w:vAlign w:val="bottom"/>
          </w:tcPr>
          <w:p>
            <w:pPr>
              <w:spacing w:after="0"/>
              <w:rPr>
                <w:sz w:val="20"/>
                <w:szCs w:val="20"/>
                <w:color w:val="auto"/>
              </w:rPr>
            </w:pPr>
            <w:r>
              <w:rPr>
                <w:rFonts w:ascii="Arial" w:cs="Arial" w:eastAsia="Arial" w:hAnsi="Arial"/>
                <w:sz w:val="14"/>
                <w:szCs w:val="14"/>
                <w:color w:val="auto"/>
              </w:rPr>
              <w:t>Colonnade</w:t>
            </w:r>
          </w:p>
        </w:tc>
        <w:tc>
          <w:tcPr>
            <w:tcW w:w="4080" w:type="dxa"/>
            <w:vAlign w:val="bottom"/>
          </w:tcPr>
          <w:p>
            <w:pPr>
              <w:ind w:left="140"/>
              <w:spacing w:after="0"/>
              <w:rPr>
                <w:sz w:val="20"/>
                <w:szCs w:val="20"/>
                <w:color w:val="auto"/>
              </w:rPr>
            </w:pPr>
            <w:r>
              <w:rPr>
                <w:rFonts w:ascii="Arial" w:cs="Arial" w:eastAsia="Arial" w:hAnsi="Arial"/>
                <w:sz w:val="14"/>
                <w:szCs w:val="14"/>
                <w:color w:val="auto"/>
              </w:rPr>
              <w:t>Credit Linked Note, 16.20%, 11/30/2029</w:t>
            </w:r>
            <w:r>
              <w:rPr>
                <w:rFonts w:ascii="Arial" w:cs="Arial" w:eastAsia="Arial" w:hAnsi="Arial"/>
                <w:sz w:val="24"/>
                <w:szCs w:val="24"/>
                <w:color w:val="auto"/>
                <w:vertAlign w:val="superscript"/>
              </w:rPr>
              <w:t>(5)(9)</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9"/>
              <w:spacing w:after="0"/>
              <w:rPr>
                <w:sz w:val="20"/>
                <w:szCs w:val="20"/>
                <w:color w:val="auto"/>
              </w:rPr>
            </w:pPr>
            <w:r>
              <w:rPr>
                <w:rFonts w:ascii="Arial" w:cs="Arial" w:eastAsia="Arial" w:hAnsi="Arial"/>
                <w:sz w:val="14"/>
                <w:szCs w:val="14"/>
                <w:color w:val="auto"/>
              </w:rPr>
              <w:t>7,009,854</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7,543,304</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-2370455</wp:posOffset>
            </wp:positionV>
            <wp:extent cx="33655" cy="4254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-2370455</wp:posOffset>
            </wp:positionV>
            <wp:extent cx="34290" cy="4254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6" w:orient="portrait"/>
          <w:cols w:equalWidth="0" w:num="1">
            <w:col w:w="11240"/>
          </w:cols>
          <w:pgMar w:left="320" w:top="542" w:right="339" w:bottom="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276"/>
        </w:trPr>
        <w:tc>
          <w:tcPr>
            <w:tcW w:w="2080" w:type="dxa"/>
            <w:vAlign w:val="bottom"/>
          </w:tcPr>
          <w:p>
            <w:pPr>
              <w:spacing w:after="0"/>
              <w:rPr>
                <w:sz w:val="20"/>
                <w:szCs w:val="20"/>
                <w:color w:val="auto"/>
              </w:rPr>
            </w:pPr>
            <w:r>
              <w:rPr>
                <w:rFonts w:ascii="Arial" w:cs="Arial" w:eastAsia="Arial" w:hAnsi="Arial"/>
                <w:sz w:val="14"/>
                <w:szCs w:val="14"/>
                <w:color w:val="auto"/>
              </w:rPr>
              <w:t>Colonnade</w:t>
            </w:r>
          </w:p>
        </w:tc>
        <w:tc>
          <w:tcPr>
            <w:tcW w:w="4580" w:type="dxa"/>
            <w:vAlign w:val="bottom"/>
          </w:tcPr>
          <w:p>
            <w:pPr>
              <w:ind w:left="680"/>
              <w:spacing w:after="0"/>
              <w:rPr>
                <w:sz w:val="20"/>
                <w:szCs w:val="20"/>
                <w:color w:val="auto"/>
              </w:rPr>
            </w:pPr>
            <w:r>
              <w:rPr>
                <w:rFonts w:ascii="Arial" w:cs="Arial" w:eastAsia="Arial" w:hAnsi="Arial"/>
                <w:sz w:val="14"/>
                <w:szCs w:val="14"/>
                <w:color w:val="auto"/>
              </w:rPr>
              <w:t>Credit Linked Note, 17.00%, 12/15/2029</w:t>
            </w:r>
            <w:r>
              <w:rPr>
                <w:rFonts w:ascii="Arial" w:cs="Arial" w:eastAsia="Arial" w:hAnsi="Arial"/>
                <w:sz w:val="24"/>
                <w:szCs w:val="24"/>
                <w:color w:val="auto"/>
                <w:vertAlign w:val="superscript"/>
              </w:rPr>
              <w:t>(5)(9)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4,590,913</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4,865,037</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Colonnade</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16.34%, 04/30/2030</w:t>
            </w:r>
            <w:r>
              <w:rPr>
                <w:rFonts w:ascii="Arial" w:cs="Arial" w:eastAsia="Arial" w:hAnsi="Arial"/>
                <w:sz w:val="24"/>
                <w:szCs w:val="24"/>
                <w:color w:val="auto"/>
                <w:vertAlign w:val="superscript"/>
              </w:rPr>
              <w:t>(5)(9)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9,288,487</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9,592,517</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16.11%, 11/28/2030, 144A</w:t>
            </w:r>
            <w:r>
              <w:rPr>
                <w:rFonts w:ascii="Arial" w:cs="Arial" w:eastAsia="Arial" w:hAnsi="Arial"/>
                <w:sz w:val="24"/>
                <w:szCs w:val="24"/>
                <w:color w:val="auto"/>
                <w:vertAlign w:val="superscript"/>
              </w:rPr>
              <w:t>(4)(9)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4,962,156</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5,158,658</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13.60%, 11/21/2031, 144A</w:t>
            </w:r>
            <w:r>
              <w:rPr>
                <w:rFonts w:ascii="Arial" w:cs="Arial" w:eastAsia="Arial" w:hAnsi="Arial"/>
                <w:sz w:val="24"/>
                <w:szCs w:val="24"/>
                <w:color w:val="auto"/>
                <w:vertAlign w:val="superscript"/>
              </w:rPr>
              <w:t>(4)(5)(9)</w:t>
            </w:r>
          </w:p>
        </w:tc>
        <w:tc>
          <w:tcPr>
            <w:tcW w:w="1660" w:type="dxa"/>
            <w:vAlign w:val="bottom"/>
            <w:gridSpan w:val="2"/>
          </w:tcPr>
          <w:p>
            <w:pPr>
              <w:jc w:val="right"/>
              <w:ind w:right="308"/>
              <w:spacing w:after="0"/>
              <w:rPr>
                <w:sz w:val="20"/>
                <w:szCs w:val="20"/>
                <w:color w:val="auto"/>
              </w:rPr>
            </w:pPr>
            <w:r>
              <w:rPr>
                <w:rFonts w:ascii="Arial" w:cs="Arial" w:eastAsia="Arial" w:hAnsi="Arial"/>
                <w:sz w:val="14"/>
                <w:szCs w:val="14"/>
                <w:color w:val="auto"/>
              </w:rPr>
              <w:t>$10,000,000</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10,300,000</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0.00%, 04/30/2028, 144A</w:t>
            </w:r>
            <w:r>
              <w:rPr>
                <w:rFonts w:ascii="Arial" w:cs="Arial" w:eastAsia="Arial" w:hAnsi="Arial"/>
                <w:sz w:val="24"/>
                <w:szCs w:val="24"/>
                <w:color w:val="auto"/>
                <w:vertAlign w:val="superscript"/>
              </w:rPr>
              <w:t>(4)(5)</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270,544</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243,489</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CRAFT</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12.96%, 02/21/2031, 144A</w:t>
            </w:r>
            <w:r>
              <w:rPr>
                <w:rFonts w:ascii="Arial" w:cs="Arial" w:eastAsia="Arial" w:hAnsi="Arial"/>
                <w:sz w:val="24"/>
                <w:szCs w:val="24"/>
                <w:color w:val="auto"/>
                <w:vertAlign w:val="superscript"/>
              </w:rPr>
              <w:t>(4)(5)(13)</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2,478,103</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2,849,818</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Elvetia</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9.37%, 10/20/2030</w:t>
            </w:r>
            <w:r>
              <w:rPr>
                <w:rFonts w:ascii="Arial" w:cs="Arial" w:eastAsia="Arial" w:hAnsi="Arial"/>
                <w:sz w:val="24"/>
                <w:szCs w:val="24"/>
                <w:color w:val="auto"/>
                <w:vertAlign w:val="superscript"/>
              </w:rPr>
              <w:t>(5)(14)+</w:t>
            </w:r>
          </w:p>
        </w:tc>
        <w:tc>
          <w:tcPr>
            <w:tcW w:w="1660" w:type="dxa"/>
            <w:vAlign w:val="bottom"/>
            <w:gridSpan w:val="2"/>
          </w:tcPr>
          <w:p>
            <w:pPr>
              <w:jc w:val="right"/>
              <w:ind w:right="308"/>
              <w:spacing w:after="0"/>
              <w:rPr>
                <w:sz w:val="20"/>
                <w:szCs w:val="20"/>
                <w:color w:val="auto"/>
              </w:rPr>
            </w:pPr>
            <w:r>
              <w:rPr>
                <w:rFonts w:ascii="Arial" w:cs="Arial" w:eastAsia="Arial" w:hAnsi="Arial"/>
                <w:sz w:val="14"/>
                <w:szCs w:val="14"/>
                <w:color w:val="auto"/>
              </w:rPr>
              <w:t>CHF2,615,080</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2,920,316</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FCT Colisee</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9.97%, 07/07/2033</w:t>
            </w:r>
            <w:r>
              <w:rPr>
                <w:rFonts w:ascii="Arial" w:cs="Arial" w:eastAsia="Arial" w:hAnsi="Arial"/>
                <w:sz w:val="24"/>
                <w:szCs w:val="24"/>
                <w:color w:val="auto"/>
                <w:vertAlign w:val="superscript"/>
              </w:rPr>
              <w:t>(10)+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1,035,018</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1,210,876</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Future Ready Chakra</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12.37%, 12/15/2029</w:t>
            </w:r>
            <w:r>
              <w:rPr>
                <w:rFonts w:ascii="Arial" w:cs="Arial" w:eastAsia="Arial" w:hAnsi="Arial"/>
                <w:sz w:val="24"/>
                <w:szCs w:val="24"/>
                <w:color w:val="auto"/>
                <w:vertAlign w:val="superscript"/>
              </w:rPr>
              <w:t>(9)+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4,583,333</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4,616,104</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LOFT</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11.86%, 02/28/2030, 144A</w:t>
            </w:r>
            <w:r>
              <w:rPr>
                <w:rFonts w:ascii="Arial" w:cs="Arial" w:eastAsia="Arial" w:hAnsi="Arial"/>
                <w:sz w:val="24"/>
                <w:szCs w:val="24"/>
                <w:color w:val="auto"/>
                <w:vertAlign w:val="superscript"/>
              </w:rPr>
              <w:t>(4)(5)(9)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2,726,486</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2,843,104</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LOFT</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23.36%, 02/28/2030, 144A</w:t>
            </w:r>
            <w:r>
              <w:rPr>
                <w:rFonts w:ascii="Arial" w:cs="Arial" w:eastAsia="Arial" w:hAnsi="Arial"/>
                <w:sz w:val="24"/>
                <w:szCs w:val="24"/>
                <w:color w:val="auto"/>
                <w:vertAlign w:val="superscript"/>
              </w:rPr>
              <w:t>(4)(5)(9)</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6,068,815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6,839,434</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Mespil</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14.34%, 12/08/2031</w:t>
            </w:r>
            <w:r>
              <w:rPr>
                <w:rFonts w:ascii="Arial" w:cs="Arial" w:eastAsia="Arial" w:hAnsi="Arial"/>
                <w:sz w:val="24"/>
                <w:szCs w:val="24"/>
                <w:color w:val="auto"/>
                <w:vertAlign w:val="superscript"/>
              </w:rPr>
              <w:t>(5)(9)</w:t>
            </w: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2,583,115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1,909,955</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Muskoka</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0.00%, 11/01/2027</w:t>
            </w:r>
            <w:r>
              <w:rPr>
                <w:rFonts w:ascii="Arial" w:cs="Arial" w:eastAsia="Arial" w:hAnsi="Arial"/>
                <w:sz w:val="24"/>
                <w:szCs w:val="24"/>
                <w:color w:val="auto"/>
                <w:vertAlign w:val="superscript"/>
              </w:rPr>
              <w:t>(5)+</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15,438</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13,894</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Nansa</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0.00%, 04/05/2026</w:t>
            </w:r>
            <w:r>
              <w:rPr>
                <w:rFonts w:ascii="Arial" w:cs="Arial" w:eastAsia="Arial" w:hAnsi="Arial"/>
                <w:sz w:val="24"/>
                <w:szCs w:val="24"/>
                <w:color w:val="auto"/>
                <w:vertAlign w:val="superscript"/>
              </w:rPr>
              <w:t>(5)</w:t>
            </w: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307,685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344,693</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Nightingale LF</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14.97%, 04/01/2028</w:t>
            </w:r>
            <w:r>
              <w:rPr>
                <w:rFonts w:ascii="Arial" w:cs="Arial" w:eastAsia="Arial" w:hAnsi="Arial"/>
                <w:sz w:val="24"/>
                <w:szCs w:val="24"/>
                <w:color w:val="auto"/>
                <w:vertAlign w:val="superscript"/>
              </w:rPr>
              <w:t>(5)(11)</w:t>
            </w: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2,000,000</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2,689,800</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20"/>
                <w:szCs w:val="20"/>
                <w:color w:val="auto"/>
              </w:rPr>
            </w:pPr>
            <w:r>
              <w:rPr>
                <w:rFonts w:ascii="Arial" w:cs="Arial" w:eastAsia="Arial" w:hAnsi="Arial"/>
                <w:sz w:val="14"/>
                <w:szCs w:val="14"/>
                <w:color w:val="auto"/>
              </w:rPr>
              <w:t>Premium Green PLC</w:t>
            </w:r>
          </w:p>
        </w:tc>
        <w:tc>
          <w:tcPr>
            <w:tcW w:w="4580" w:type="dxa"/>
            <w:vAlign w:val="bottom"/>
          </w:tcPr>
          <w:p>
            <w:pPr>
              <w:ind w:left="680"/>
              <w:spacing w:after="0"/>
              <w:rPr>
                <w:sz w:val="20"/>
                <w:szCs w:val="20"/>
                <w:color w:val="auto"/>
              </w:rPr>
            </w:pPr>
            <w:r>
              <w:rPr>
                <w:rFonts w:ascii="Arial" w:cs="Arial" w:eastAsia="Arial" w:hAnsi="Arial"/>
                <w:sz w:val="14"/>
                <w:szCs w:val="14"/>
                <w:color w:val="auto"/>
              </w:rPr>
              <w:t>5 Year Secured Amortizing Floating Rate Note, 11.52%,</w:t>
            </w:r>
          </w:p>
        </w:tc>
        <w:tc>
          <w:tcPr>
            <w:tcW w:w="6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80" w:type="dxa"/>
            <w:vAlign w:val="bottom"/>
          </w:tcPr>
          <w:p>
            <w:pPr>
              <w:spacing w:after="0"/>
              <w:rPr>
                <w:sz w:val="23"/>
                <w:szCs w:val="23"/>
                <w:color w:val="auto"/>
              </w:rPr>
            </w:pPr>
          </w:p>
        </w:tc>
        <w:tc>
          <w:tcPr>
            <w:tcW w:w="4580" w:type="dxa"/>
            <w:vAlign w:val="bottom"/>
          </w:tcPr>
          <w:p>
            <w:pPr>
              <w:ind w:left="680"/>
              <w:spacing w:after="0" w:line="268" w:lineRule="exact"/>
              <w:rPr>
                <w:sz w:val="20"/>
                <w:szCs w:val="20"/>
                <w:color w:val="auto"/>
              </w:rPr>
            </w:pPr>
            <w:r>
              <w:rPr>
                <w:rFonts w:ascii="Arial" w:cs="Arial" w:eastAsia="Arial" w:hAnsi="Arial"/>
                <w:sz w:val="14"/>
                <w:szCs w:val="14"/>
                <w:color w:val="auto"/>
              </w:rPr>
              <w:t>11/10/2026</w:t>
            </w:r>
            <w:r>
              <w:rPr>
                <w:rFonts w:ascii="Arial" w:cs="Arial" w:eastAsia="Arial" w:hAnsi="Arial"/>
                <w:sz w:val="24"/>
                <w:szCs w:val="24"/>
                <w:color w:val="auto"/>
                <w:vertAlign w:val="superscript"/>
              </w:rPr>
              <w:t>(15)+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1,695,005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1,992,996</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Pymes Magdalena</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8.00%, 03/20/2050</w:t>
            </w:r>
            <w:r>
              <w:rPr>
                <w:rFonts w:ascii="Arial" w:cs="Arial" w:eastAsia="Arial" w:hAnsi="Arial"/>
                <w:sz w:val="24"/>
                <w:szCs w:val="24"/>
                <w:color w:val="auto"/>
                <w:vertAlign w:val="superscript"/>
              </w:rPr>
              <w:t>(10)</w:t>
            </w: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2,007,799</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2,299,268</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Resonance</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9.94%, 11/07/2025</w:t>
            </w:r>
            <w:r>
              <w:rPr>
                <w:rFonts w:ascii="Arial" w:cs="Arial" w:eastAsia="Arial" w:hAnsi="Arial"/>
                <w:sz w:val="24"/>
                <w:szCs w:val="24"/>
                <w:color w:val="auto"/>
                <w:vertAlign w:val="superscript"/>
              </w:rPr>
              <w:t>(5)(10)</w:t>
            </w: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287,443</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337,472</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14.47%, 06/16/2027</w:t>
            </w:r>
            <w:r>
              <w:rPr>
                <w:rFonts w:ascii="Arial" w:cs="Arial" w:eastAsia="Arial" w:hAnsi="Arial"/>
                <w:sz w:val="24"/>
                <w:szCs w:val="24"/>
                <w:color w:val="auto"/>
                <w:vertAlign w:val="superscript"/>
              </w:rPr>
              <w:t>(11)+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5,060,325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6,603,373</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13.72%, 03/20/2028</w:t>
            </w:r>
            <w:r>
              <w:rPr>
                <w:rFonts w:ascii="Arial" w:cs="Arial" w:eastAsia="Arial" w:hAnsi="Arial"/>
                <w:sz w:val="24"/>
                <w:szCs w:val="24"/>
                <w:color w:val="auto"/>
                <w:vertAlign w:val="superscript"/>
              </w:rPr>
              <w:t>(5)(11)+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606,899</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828,747</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14.22%, 04/17/2028</w:t>
            </w:r>
            <w:r>
              <w:rPr>
                <w:rFonts w:ascii="Arial" w:cs="Arial" w:eastAsia="Arial" w:hAnsi="Arial"/>
                <w:sz w:val="24"/>
                <w:szCs w:val="24"/>
                <w:color w:val="auto"/>
                <w:vertAlign w:val="superscript"/>
              </w:rPr>
              <w:t>(11)+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3,658,262</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5,050,829</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Salisbury</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0.00%, 04/17/2028</w:t>
            </w:r>
            <w:r>
              <w:rPr>
                <w:rFonts w:ascii="Arial" w:cs="Arial" w:eastAsia="Arial" w:hAnsi="Arial"/>
                <w:sz w:val="24"/>
                <w:szCs w:val="24"/>
                <w:color w:val="auto"/>
                <w:vertAlign w:val="superscript"/>
              </w:rPr>
              <w:t>(5)+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40,925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48,160</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4"/>
                <w:szCs w:val="14"/>
                <w:color w:val="auto"/>
              </w:rPr>
              <w:t>Terra</w:t>
            </w:r>
          </w:p>
        </w:tc>
        <w:tc>
          <w:tcPr>
            <w:tcW w:w="4580" w:type="dxa"/>
            <w:vAlign w:val="bottom"/>
          </w:tcPr>
          <w:p>
            <w:pPr>
              <w:ind w:left="680"/>
              <w:spacing w:after="0" w:line="270" w:lineRule="exact"/>
              <w:rPr>
                <w:sz w:val="20"/>
                <w:szCs w:val="20"/>
                <w:color w:val="auto"/>
              </w:rPr>
            </w:pPr>
            <w:r>
              <w:rPr>
                <w:rFonts w:ascii="Arial" w:cs="Arial" w:eastAsia="Arial" w:hAnsi="Arial"/>
                <w:sz w:val="14"/>
                <w:szCs w:val="14"/>
                <w:color w:val="auto"/>
              </w:rPr>
              <w:t>Credit Linked Note, 12.26%, 09/25/2029</w:t>
            </w:r>
            <w:r>
              <w:rPr>
                <w:rFonts w:ascii="Arial" w:cs="Arial" w:eastAsia="Arial" w:hAnsi="Arial"/>
                <w:sz w:val="24"/>
                <w:szCs w:val="24"/>
                <w:color w:val="auto"/>
                <w:vertAlign w:val="superscript"/>
              </w:rPr>
              <w:t>(9)</w:t>
            </w: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08"/>
              <w:spacing w:after="0"/>
              <w:rPr>
                <w:sz w:val="20"/>
                <w:szCs w:val="20"/>
                <w:color w:val="auto"/>
              </w:rPr>
            </w:pPr>
            <w:r>
              <w:rPr>
                <w:rFonts w:ascii="Arial" w:cs="Arial" w:eastAsia="Arial" w:hAnsi="Arial"/>
                <w:sz w:val="14"/>
                <w:szCs w:val="14"/>
                <w:color w:val="auto"/>
              </w:rPr>
              <w:t>4,119,955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4,082,670</w:t>
            </w:r>
          </w:p>
        </w:tc>
        <w:tc>
          <w:tcPr>
            <w:tcW w:w="0" w:type="dxa"/>
            <w:vAlign w:val="bottom"/>
          </w:tcPr>
          <w:p>
            <w:pPr>
              <w:spacing w:after="0"/>
              <w:rPr>
                <w:sz w:val="1"/>
                <w:szCs w:val="1"/>
                <w:color w:val="auto"/>
              </w:rPr>
            </w:pPr>
          </w:p>
        </w:tc>
      </w:tr>
      <w:tr>
        <w:trPr>
          <w:trHeight w:val="341"/>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Waterloo</w:t>
            </w:r>
          </w:p>
        </w:tc>
        <w:tc>
          <w:tcPr>
            <w:tcW w:w="45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Credit Linked Note, 14.10%, 05/25/2031</w:t>
            </w:r>
            <w:r>
              <w:rPr>
                <w:rFonts w:ascii="Arial" w:cs="Arial" w:eastAsia="Arial" w:hAnsi="Arial"/>
                <w:sz w:val="24"/>
                <w:szCs w:val="24"/>
                <w:color w:val="auto"/>
                <w:vertAlign w:val="superscript"/>
              </w:rPr>
              <w:t>(5)(9)</w:t>
            </w: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2,700,000</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2,767,500</w:t>
            </w:r>
          </w:p>
        </w:tc>
        <w:tc>
          <w:tcPr>
            <w:tcW w:w="0" w:type="dxa"/>
            <w:vAlign w:val="bottom"/>
          </w:tcPr>
          <w:p>
            <w:pPr>
              <w:spacing w:after="0"/>
              <w:rPr>
                <w:sz w:val="1"/>
                <w:szCs w:val="1"/>
                <w:color w:val="auto"/>
              </w:rPr>
            </w:pPr>
          </w:p>
        </w:tc>
      </w:tr>
      <w:tr>
        <w:trPr>
          <w:trHeight w:val="240"/>
        </w:trPr>
        <w:tc>
          <w:tcPr>
            <w:tcW w:w="2080" w:type="dxa"/>
            <w:vAlign w:val="bottom"/>
          </w:tcPr>
          <w:p>
            <w:pPr>
              <w:spacing w:after="0"/>
              <w:rPr>
                <w:sz w:val="20"/>
                <w:szCs w:val="20"/>
                <w:color w:val="auto"/>
              </w:rPr>
            </w:pPr>
          </w:p>
        </w:tc>
        <w:tc>
          <w:tcPr>
            <w:tcW w:w="4580" w:type="dxa"/>
            <w:vAlign w:val="bottom"/>
          </w:tcPr>
          <w:p>
            <w:pPr>
              <w:ind w:left="680"/>
              <w:spacing w:after="0"/>
              <w:rPr>
                <w:sz w:val="20"/>
                <w:szCs w:val="20"/>
                <w:color w:val="auto"/>
              </w:rPr>
            </w:pPr>
            <w:r>
              <w:rPr>
                <w:rFonts w:ascii="Arial" w:cs="Arial" w:eastAsia="Arial" w:hAnsi="Arial"/>
                <w:sz w:val="14"/>
                <w:szCs w:val="14"/>
                <w:b w:val="1"/>
                <w:bCs w:val="1"/>
                <w:color w:val="auto"/>
              </w:rPr>
              <w:t>Total Regulatory Capital Relief Securities</w:t>
            </w: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169,139,134</w:t>
            </w:r>
          </w:p>
        </w:tc>
        <w:tc>
          <w:tcPr>
            <w:tcW w:w="0" w:type="dxa"/>
            <w:vAlign w:val="bottom"/>
          </w:tcPr>
          <w:p>
            <w:pPr>
              <w:spacing w:after="0"/>
              <w:rPr>
                <w:sz w:val="1"/>
                <w:szCs w:val="1"/>
                <w:color w:val="auto"/>
              </w:rPr>
            </w:pPr>
          </w:p>
        </w:tc>
      </w:tr>
      <w:tr>
        <w:trPr>
          <w:trHeight w:val="212"/>
        </w:trPr>
        <w:tc>
          <w:tcPr>
            <w:tcW w:w="20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(Cost $162,938,696)</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hanging="272"/>
        <w:spacing w:after="0"/>
        <w:tabs>
          <w:tab w:leader="none" w:pos="440" w:val="left"/>
        </w:tabs>
        <w:numPr>
          <w:ilvl w:val="0"/>
          <w:numId w:val="127"/>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4"/>
          <w:szCs w:val="14"/>
          <w:color w:val="296B38"/>
        </w:rPr>
        <w:t>See Notes to Schedule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79375</wp:posOffset>
            </wp:positionV>
            <wp:extent cx="33655" cy="4254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79375</wp:posOffset>
            </wp:positionV>
            <wp:extent cx="34290" cy="4254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20" w:type="dxa"/>
            <w:vAlign w:val="bottom"/>
            <w:tcBorders>
              <w:top w:val="single" w:sz="8" w:color="9A9A9A"/>
            </w:tcBorders>
          </w:tcPr>
          <w:p>
            <w:pPr>
              <w:spacing w:after="0"/>
              <w:rPr>
                <w:sz w:val="17"/>
                <w:szCs w:val="17"/>
                <w:color w:val="auto"/>
              </w:rPr>
            </w:pPr>
          </w:p>
        </w:tc>
        <w:tc>
          <w:tcPr>
            <w:tcW w:w="3000" w:type="dxa"/>
            <w:vAlign w:val="bottom"/>
            <w:tcBorders>
              <w:top w:val="single" w:sz="8" w:color="9A9A9A"/>
            </w:tcBorders>
          </w:tcPr>
          <w:p>
            <w:pPr>
              <w:spacing w:after="0"/>
              <w:rPr>
                <w:sz w:val="17"/>
                <w:szCs w:val="17"/>
                <w:color w:val="auto"/>
              </w:rPr>
            </w:pPr>
          </w:p>
        </w:tc>
        <w:tc>
          <w:tcPr>
            <w:tcW w:w="2060" w:type="dxa"/>
            <w:vAlign w:val="bottom"/>
            <w:tcBorders>
              <w:top w:val="single" w:sz="8" w:color="9A9A9A"/>
            </w:tcBorders>
          </w:tcPr>
          <w:p>
            <w:pPr>
              <w:jc w:val="center"/>
              <w:ind w:left="517"/>
              <w:spacing w:after="0"/>
              <w:rPr>
                <w:sz w:val="20"/>
                <w:szCs w:val="20"/>
                <w:color w:val="auto"/>
              </w:rPr>
            </w:pPr>
            <w:r>
              <w:rPr>
                <w:rFonts w:ascii="Arial" w:cs="Arial" w:eastAsia="Arial" w:hAnsi="Arial"/>
                <w:sz w:val="13"/>
                <w:szCs w:val="13"/>
                <w:b w:val="1"/>
                <w:bCs w:val="1"/>
                <w:color w:val="auto"/>
              </w:rPr>
              <w:t># of</w:t>
            </w:r>
          </w:p>
        </w:tc>
        <w:tc>
          <w:tcPr>
            <w:tcW w:w="3160" w:type="dxa"/>
            <w:vAlign w:val="bottom"/>
            <w:tcBorders>
              <w:top w:val="single" w:sz="8" w:color="9A9A9A"/>
            </w:tcBorders>
          </w:tcPr>
          <w:p>
            <w:pPr>
              <w:spacing w:after="0"/>
              <w:rPr>
                <w:sz w:val="17"/>
                <w:szCs w:val="17"/>
                <w:color w:val="auto"/>
              </w:rPr>
            </w:pPr>
          </w:p>
        </w:tc>
      </w:tr>
      <w:tr>
        <w:trPr>
          <w:trHeight w:val="172"/>
        </w:trPr>
        <w:tc>
          <w:tcPr>
            <w:tcW w:w="30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060" w:type="dxa"/>
            <w:vAlign w:val="bottom"/>
          </w:tcPr>
          <w:p>
            <w:pPr>
              <w:jc w:val="center"/>
              <w:ind w:left="497"/>
              <w:spacing w:after="0"/>
              <w:rPr>
                <w:sz w:val="20"/>
                <w:szCs w:val="20"/>
                <w:color w:val="auto"/>
              </w:rPr>
            </w:pPr>
            <w:r>
              <w:rPr>
                <w:rFonts w:ascii="Arial" w:cs="Arial" w:eastAsia="Arial" w:hAnsi="Arial"/>
                <w:sz w:val="13"/>
                <w:szCs w:val="13"/>
                <w:b w:val="1"/>
                <w:bCs w:val="1"/>
                <w:color w:val="auto"/>
                <w:w w:val="97"/>
              </w:rPr>
              <w:t>Shares/Par</w:t>
            </w:r>
          </w:p>
        </w:tc>
        <w:tc>
          <w:tcPr>
            <w:tcW w:w="3160" w:type="dxa"/>
            <w:vAlign w:val="bottom"/>
          </w:tcPr>
          <w:p>
            <w:pPr>
              <w:spacing w:after="0"/>
              <w:rPr>
                <w:sz w:val="14"/>
                <w:szCs w:val="14"/>
                <w:color w:val="auto"/>
              </w:rPr>
            </w:pPr>
          </w:p>
        </w:tc>
      </w:tr>
      <w:tr>
        <w:trPr>
          <w:trHeight w:val="328"/>
        </w:trPr>
        <w:tc>
          <w:tcPr>
            <w:tcW w:w="3020" w:type="dxa"/>
            <w:vAlign w:val="bottom"/>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3000" w:type="dxa"/>
            <w:vAlign w:val="bottom"/>
          </w:tcPr>
          <w:p>
            <w:pPr>
              <w:ind w:left="1340"/>
              <w:spacing w:after="0"/>
              <w:rPr>
                <w:sz w:val="20"/>
                <w:szCs w:val="20"/>
                <w:color w:val="auto"/>
              </w:rPr>
            </w:pPr>
            <w:r>
              <w:rPr>
                <w:rFonts w:ascii="Arial" w:cs="Arial" w:eastAsia="Arial" w:hAnsi="Arial"/>
                <w:sz w:val="13"/>
                <w:szCs w:val="13"/>
                <w:b w:val="1"/>
                <w:bCs w:val="1"/>
                <w:color w:val="auto"/>
              </w:rPr>
              <w:t>Investment</w:t>
            </w:r>
          </w:p>
        </w:tc>
        <w:tc>
          <w:tcPr>
            <w:tcW w:w="2060" w:type="dxa"/>
            <w:vAlign w:val="bottom"/>
          </w:tcPr>
          <w:p>
            <w:pPr>
              <w:jc w:val="center"/>
              <w:ind w:left="517"/>
              <w:spacing w:after="0"/>
              <w:rPr>
                <w:sz w:val="20"/>
                <w:szCs w:val="20"/>
                <w:color w:val="auto"/>
              </w:rPr>
            </w:pPr>
            <w:r>
              <w:rPr>
                <w:rFonts w:ascii="Arial" w:cs="Arial" w:eastAsia="Arial" w:hAnsi="Arial"/>
                <w:sz w:val="13"/>
                <w:szCs w:val="13"/>
                <w:b w:val="1"/>
                <w:bCs w:val="1"/>
                <w:color w:val="auto"/>
                <w:w w:val="90"/>
              </w:rPr>
              <w:t>Amount</w:t>
            </w:r>
            <w:r>
              <w:rPr>
                <w:rFonts w:ascii="Arial" w:cs="Arial" w:eastAsia="Arial" w:hAnsi="Arial"/>
                <w:sz w:val="21"/>
                <w:szCs w:val="21"/>
                <w:b w:val="1"/>
                <w:bCs w:val="1"/>
                <w:color w:val="auto"/>
                <w:w w:val="90"/>
                <w:vertAlign w:val="superscript"/>
              </w:rPr>
              <w:t>(2)</w:t>
            </w:r>
          </w:p>
        </w:tc>
        <w:tc>
          <w:tcPr>
            <w:tcW w:w="3160" w:type="dxa"/>
            <w:vAlign w:val="bottom"/>
          </w:tcPr>
          <w:p>
            <w:pPr>
              <w:ind w:left="420"/>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6086475" cy="825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Trust Preferred and Preferred Securities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243070" cy="825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Banking – 1.1%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Fidelity Federal Bancorp</w:t>
            </w:r>
          </w:p>
        </w:tc>
        <w:tc>
          <w:tcPr>
            <w:tcW w:w="4140" w:type="dxa"/>
            <w:vAlign w:val="bottom"/>
          </w:tcPr>
          <w:p>
            <w:pPr>
              <w:ind w:left="200"/>
              <w:spacing w:after="0"/>
              <w:rPr>
                <w:sz w:val="20"/>
                <w:szCs w:val="20"/>
                <w:color w:val="auto"/>
              </w:rPr>
            </w:pPr>
            <w:r>
              <w:rPr>
                <w:rFonts w:ascii="Arial" w:cs="Arial" w:eastAsia="Arial" w:hAnsi="Arial"/>
                <w:sz w:val="14"/>
                <w:szCs w:val="14"/>
                <w:color w:val="auto"/>
              </w:rPr>
              <w:t>Fixed Rate Cumulative Perpetual Preferred Stock, Series A -</w:t>
            </w:r>
          </w:p>
        </w:tc>
        <w:tc>
          <w:tcPr>
            <w:tcW w:w="15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9"/>
        </w:trPr>
        <w:tc>
          <w:tcPr>
            <w:tcW w:w="2560" w:type="dxa"/>
            <w:vAlign w:val="bottom"/>
          </w:tcPr>
          <w:p>
            <w:pPr>
              <w:spacing w:after="0"/>
              <w:rPr>
                <w:sz w:val="23"/>
                <w:szCs w:val="23"/>
                <w:color w:val="auto"/>
              </w:rPr>
            </w:pPr>
          </w:p>
        </w:tc>
        <w:tc>
          <w:tcPr>
            <w:tcW w:w="4140" w:type="dxa"/>
            <w:vAlign w:val="bottom"/>
          </w:tcPr>
          <w:p>
            <w:pPr>
              <w:ind w:left="200"/>
              <w:spacing w:after="0" w:line="269" w:lineRule="exact"/>
              <w:rPr>
                <w:sz w:val="20"/>
                <w:szCs w:val="20"/>
                <w:color w:val="auto"/>
              </w:rPr>
            </w:pPr>
            <w:r>
              <w:rPr>
                <w:rFonts w:ascii="Arial" w:cs="Arial" w:eastAsia="Arial" w:hAnsi="Arial"/>
                <w:sz w:val="28"/>
                <w:szCs w:val="28"/>
                <w:color w:val="auto"/>
                <w:vertAlign w:val="subscript"/>
              </w:rPr>
              <w:t>9%</w:t>
            </w:r>
            <w:r>
              <w:rPr>
                <w:rFonts w:ascii="Arial" w:cs="Arial" w:eastAsia="Arial" w:hAnsi="Arial"/>
                <w:sz w:val="12"/>
                <w:szCs w:val="12"/>
                <w:color w:val="auto"/>
              </w:rPr>
              <w:t>(5)(16)(17)</w:t>
            </w:r>
          </w:p>
        </w:tc>
        <w:tc>
          <w:tcPr>
            <w:tcW w:w="1580" w:type="dxa"/>
            <w:vAlign w:val="bottom"/>
          </w:tcPr>
          <w:p>
            <w:pPr>
              <w:jc w:val="right"/>
              <w:ind w:right="268"/>
              <w:spacing w:after="0"/>
              <w:rPr>
                <w:sz w:val="20"/>
                <w:szCs w:val="20"/>
                <w:color w:val="auto"/>
              </w:rPr>
            </w:pPr>
            <w:r>
              <w:rPr>
                <w:rFonts w:ascii="Arial" w:cs="Arial" w:eastAsia="Arial" w:hAnsi="Arial"/>
                <w:sz w:val="14"/>
                <w:szCs w:val="14"/>
                <w:color w:val="auto"/>
              </w:rPr>
              <w:t>$ 2,789,000</w:t>
            </w:r>
          </w:p>
        </w:tc>
        <w:tc>
          <w:tcPr>
            <w:tcW w:w="13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1,673,400</w:t>
            </w:r>
          </w:p>
        </w:tc>
      </w:t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Fidelity Federal Bancorp</w:t>
            </w:r>
          </w:p>
        </w:tc>
        <w:tc>
          <w:tcPr>
            <w:tcW w:w="4140" w:type="dxa"/>
            <w:vAlign w:val="bottom"/>
          </w:tcPr>
          <w:p>
            <w:pPr>
              <w:ind w:left="200"/>
              <w:spacing w:after="0"/>
              <w:rPr>
                <w:sz w:val="20"/>
                <w:szCs w:val="20"/>
                <w:color w:val="auto"/>
              </w:rPr>
            </w:pPr>
            <w:r>
              <w:rPr>
                <w:rFonts w:ascii="Arial" w:cs="Arial" w:eastAsia="Arial" w:hAnsi="Arial"/>
                <w:sz w:val="14"/>
                <w:szCs w:val="14"/>
                <w:color w:val="auto"/>
              </w:rPr>
              <w:t>Fixed Rate Cumulative Perpetual Preferred Stock, Series B -</w:t>
            </w:r>
          </w:p>
        </w:tc>
        <w:tc>
          <w:tcPr>
            <w:tcW w:w="15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46"/>
        </w:trPr>
        <w:tc>
          <w:tcPr>
            <w:tcW w:w="2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28"/>
                <w:szCs w:val="28"/>
                <w:color w:val="auto"/>
                <w:vertAlign w:val="subscript"/>
              </w:rPr>
              <w:t>9%</w:t>
            </w:r>
            <w:r>
              <w:rPr>
                <w:rFonts w:ascii="Arial" w:cs="Arial" w:eastAsia="Arial" w:hAnsi="Arial"/>
                <w:sz w:val="12"/>
                <w:szCs w:val="12"/>
                <w:color w:val="auto"/>
              </w:rPr>
              <w:t>(5)(17)(18)</w:t>
            </w:r>
          </w:p>
        </w:tc>
        <w:tc>
          <w:tcPr>
            <w:tcW w:w="15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   200,000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120,000</w:t>
            </w:r>
          </w:p>
        </w:tc>
      </w:tr>
      <w:tr>
        <w:trPr>
          <w:trHeight w:val="227"/>
        </w:trPr>
        <w:tc>
          <w:tcPr>
            <w:tcW w:w="256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Total Trust Preferred and Preferred Securities</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96"/>
        </w:trPr>
        <w:tc>
          <w:tcPr>
            <w:tcW w:w="2560" w:type="dxa"/>
            <w:vAlign w:val="bottom"/>
          </w:tcPr>
          <w:p>
            <w:pPr>
              <w:spacing w:after="0"/>
              <w:rPr>
                <w:sz w:val="17"/>
                <w:szCs w:val="17"/>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(Cost $3,004,203)</w:t>
            </w:r>
          </w:p>
        </w:tc>
        <w:tc>
          <w:tcPr>
            <w:tcW w:w="1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    1,793,400</w:t>
            </w:r>
          </w:p>
        </w:tc>
      </w:tr>
      <w:tr>
        <w:trPr>
          <w:trHeight w:val="29"/>
        </w:trPr>
        <w:tc>
          <w:tcPr>
            <w:tcW w:w="25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6"/>
                <w:szCs w:val="16"/>
                <w:b w:val="1"/>
                <w:bCs w:val="1"/>
                <w:color w:val="auto"/>
              </w:rPr>
              <w:t>Common Stocks – 3.3%</w:t>
            </w:r>
          </w:p>
        </w:tc>
        <w:tc>
          <w:tcPr>
            <w:tcW w:w="4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6"/>
                <w:szCs w:val="16"/>
                <w:b w:val="1"/>
                <w:bCs w:val="1"/>
                <w:color w:val="auto"/>
              </w:rPr>
              <w:t>Banking – 3.3%</w:t>
            </w:r>
          </w:p>
        </w:tc>
        <w:tc>
          <w:tcPr>
            <w:tcW w:w="4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2"/>
        </w:trPr>
        <w:tc>
          <w:tcPr>
            <w:tcW w:w="2560" w:type="dxa"/>
            <w:vAlign w:val="bottom"/>
          </w:tcPr>
          <w:p>
            <w:pPr>
              <w:spacing w:after="0"/>
              <w:rPr>
                <w:sz w:val="20"/>
                <w:szCs w:val="20"/>
                <w:color w:val="auto"/>
              </w:rPr>
            </w:pPr>
            <w:r>
              <w:rPr>
                <w:rFonts w:ascii="Arial" w:cs="Arial" w:eastAsia="Arial" w:hAnsi="Arial"/>
                <w:sz w:val="14"/>
                <w:szCs w:val="14"/>
                <w:color w:val="auto"/>
              </w:rPr>
              <w:t>U.S. Bancorp.</w:t>
            </w:r>
          </w:p>
        </w:tc>
        <w:tc>
          <w:tcPr>
            <w:tcW w:w="414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110,100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5,321,133</w:t>
            </w:r>
          </w:p>
        </w:tc>
      </w:tr>
      <w:tr>
        <w:trPr>
          <w:trHeight w:val="110"/>
        </w:trPr>
        <w:tc>
          <w:tcPr>
            <w:tcW w:w="256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27"/>
        </w:trPr>
        <w:tc>
          <w:tcPr>
            <w:tcW w:w="256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Total Common Stocks</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96"/>
        </w:trPr>
        <w:tc>
          <w:tcPr>
            <w:tcW w:w="2560" w:type="dxa"/>
            <w:vAlign w:val="bottom"/>
          </w:tcPr>
          <w:p>
            <w:pPr>
              <w:spacing w:after="0"/>
              <w:rPr>
                <w:sz w:val="17"/>
                <w:szCs w:val="17"/>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(Cost $5,075,370)</w:t>
            </w:r>
          </w:p>
        </w:tc>
        <w:tc>
          <w:tcPr>
            <w:tcW w:w="1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    5,321,133</w:t>
            </w:r>
          </w:p>
        </w:tc>
      </w:tr>
      <w:tr>
        <w:trPr>
          <w:trHeight w:val="29"/>
        </w:trPr>
        <w:tc>
          <w:tcPr>
            <w:tcW w:w="25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4"/>
        </w:trPr>
        <w:tc>
          <w:tcPr>
            <w:tcW w:w="256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Total Long-Term Investments</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2560" w:type="dxa"/>
            <w:vAlign w:val="bottom"/>
          </w:tcPr>
          <w:p>
            <w:pPr>
              <w:spacing w:after="0"/>
              <w:rPr>
                <w:sz w:val="17"/>
                <w:szCs w:val="17"/>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(Cost $194,166,696)</w:t>
            </w:r>
          </w:p>
        </w:tc>
        <w:tc>
          <w:tcPr>
            <w:tcW w:w="1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195,524,677</w:t>
            </w:r>
          </w:p>
        </w:tc>
      </w:tr>
      <w:tr>
        <w:trPr>
          <w:trHeight w:val="29"/>
        </w:trPr>
        <w:tc>
          <w:tcPr>
            <w:tcW w:w="25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2560" w:type="dxa"/>
            <w:vAlign w:val="bottom"/>
          </w:tcPr>
          <w:p>
            <w:pPr>
              <w:spacing w:after="0"/>
              <w:rPr>
                <w:sz w:val="20"/>
                <w:szCs w:val="20"/>
                <w:color w:val="auto"/>
              </w:rPr>
            </w:pPr>
            <w:r>
              <w:rPr>
                <w:rFonts w:ascii="Arial" w:cs="Arial" w:eastAsia="Arial" w:hAnsi="Arial"/>
                <w:sz w:val="16"/>
                <w:szCs w:val="16"/>
                <w:b w:val="1"/>
                <w:bCs w:val="1"/>
                <w:color w:val="auto"/>
              </w:rPr>
              <w:t>Money Market Fund – 1.3%</w:t>
            </w:r>
          </w:p>
        </w:tc>
        <w:tc>
          <w:tcPr>
            <w:tcW w:w="4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1"/>
        </w:trPr>
        <w:tc>
          <w:tcPr>
            <w:tcW w:w="256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4"/>
        </w:trPr>
        <w:tc>
          <w:tcPr>
            <w:tcW w:w="2560" w:type="dxa"/>
            <w:vAlign w:val="bottom"/>
          </w:tcPr>
          <w:p>
            <w:pPr>
              <w:spacing w:after="0"/>
              <w:rPr>
                <w:sz w:val="20"/>
                <w:szCs w:val="20"/>
                <w:color w:val="auto"/>
              </w:rPr>
            </w:pPr>
            <w:r>
              <w:rPr>
                <w:rFonts w:ascii="Arial" w:cs="Arial" w:eastAsia="Arial" w:hAnsi="Arial"/>
                <w:sz w:val="14"/>
                <w:szCs w:val="14"/>
                <w:color w:val="auto"/>
              </w:rPr>
              <w:t>Morgan Stanley Institutional Liquidity</w:t>
            </w:r>
          </w:p>
        </w:tc>
        <w:tc>
          <w:tcPr>
            <w:tcW w:w="4140" w:type="dxa"/>
            <w:vAlign w:val="bottom"/>
          </w:tcPr>
          <w:p>
            <w:pPr>
              <w:ind w:left="200"/>
              <w:spacing w:after="0"/>
              <w:rPr>
                <w:sz w:val="20"/>
                <w:szCs w:val="20"/>
                <w:color w:val="auto"/>
              </w:rPr>
            </w:pPr>
            <w:r>
              <w:rPr>
                <w:rFonts w:ascii="Arial" w:cs="Arial" w:eastAsia="Arial" w:hAnsi="Arial"/>
                <w:sz w:val="14"/>
                <w:szCs w:val="14"/>
                <w:color w:val="auto"/>
              </w:rPr>
              <w:t>Institutional Share Class - Money Market Mutual Fund</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2560" w:type="dxa"/>
            <w:vAlign w:val="bottom"/>
          </w:tcPr>
          <w:p>
            <w:pPr>
              <w:ind w:left="160"/>
              <w:spacing w:after="0"/>
              <w:rPr>
                <w:sz w:val="20"/>
                <w:szCs w:val="20"/>
                <w:color w:val="auto"/>
              </w:rPr>
            </w:pPr>
            <w:r>
              <w:rPr>
                <w:rFonts w:ascii="Arial" w:cs="Arial" w:eastAsia="Arial" w:hAnsi="Arial"/>
                <w:sz w:val="14"/>
                <w:szCs w:val="14"/>
                <w:color w:val="auto"/>
              </w:rPr>
              <w:t>Funds - Treasury Portfolio</w:t>
            </w:r>
          </w:p>
        </w:tc>
        <w:tc>
          <w:tcPr>
            <w:tcW w:w="4140" w:type="dxa"/>
            <w:vAlign w:val="bottom"/>
          </w:tcPr>
          <w:p>
            <w:pPr>
              <w:ind w:left="200"/>
              <w:spacing w:after="0"/>
              <w:rPr>
                <w:sz w:val="20"/>
                <w:szCs w:val="20"/>
                <w:color w:val="auto"/>
              </w:rPr>
            </w:pPr>
            <w:r>
              <w:rPr>
                <w:rFonts w:ascii="Arial" w:cs="Arial" w:eastAsia="Arial" w:hAnsi="Arial"/>
                <w:sz w:val="14"/>
                <w:szCs w:val="14"/>
                <w:color w:val="auto"/>
              </w:rPr>
              <w:t>(MISXX) 3.99%</w:t>
            </w:r>
          </w:p>
        </w:tc>
        <w:tc>
          <w:tcPr>
            <w:tcW w:w="1580" w:type="dxa"/>
            <w:vAlign w:val="bottom"/>
          </w:tcPr>
          <w:p>
            <w:pPr>
              <w:jc w:val="right"/>
              <w:ind w:right="26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2,113,610</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2,113,610</w:t>
            </w:r>
          </w:p>
        </w:tc>
      </w:tr>
      <w:tr>
        <w:trPr>
          <w:trHeight w:val="110"/>
        </w:trPr>
        <w:tc>
          <w:tcPr>
            <w:tcW w:w="256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27"/>
        </w:trPr>
        <w:tc>
          <w:tcPr>
            <w:tcW w:w="256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Total Money Market Fund</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96"/>
        </w:trPr>
        <w:tc>
          <w:tcPr>
            <w:tcW w:w="2560" w:type="dxa"/>
            <w:vAlign w:val="bottom"/>
          </w:tcPr>
          <w:p>
            <w:pPr>
              <w:spacing w:after="0"/>
              <w:rPr>
                <w:sz w:val="17"/>
                <w:szCs w:val="17"/>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(Cost $2,113,610)</w:t>
            </w:r>
          </w:p>
        </w:tc>
        <w:tc>
          <w:tcPr>
            <w:tcW w:w="15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    2,113,610</w:t>
            </w:r>
          </w:p>
        </w:tc>
      </w:tr>
      <w:tr>
        <w:trPr>
          <w:trHeight w:val="29"/>
        </w:trPr>
        <w:tc>
          <w:tcPr>
            <w:tcW w:w="25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1"/>
        </w:trPr>
        <w:tc>
          <w:tcPr>
            <w:tcW w:w="256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Total Investments</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59"/>
        </w:trPr>
        <w:tc>
          <w:tcPr>
            <w:tcW w:w="2560" w:type="dxa"/>
            <w:vAlign w:val="bottom"/>
            <w:tcBorders>
              <w:bottom w:val="single" w:sz="8" w:color="auto"/>
            </w:tcBorders>
          </w:tcPr>
          <w:p>
            <w:pPr>
              <w:spacing w:after="0"/>
              <w:rPr>
                <w:sz w:val="22"/>
                <w:szCs w:val="22"/>
                <w:color w:val="auto"/>
              </w:rPr>
            </w:pPr>
          </w:p>
        </w:tc>
        <w:tc>
          <w:tcPr>
            <w:tcW w:w="4140" w:type="dxa"/>
            <w:vAlign w:val="bottom"/>
            <w:tcBorders>
              <w:bottom w:val="single" w:sz="8" w:color="auto"/>
            </w:tcBorders>
          </w:tcPr>
          <w:p>
            <w:pPr>
              <w:ind w:left="200"/>
              <w:spacing w:after="0" w:line="258" w:lineRule="exact"/>
              <w:rPr>
                <w:sz w:val="20"/>
                <w:szCs w:val="20"/>
                <w:color w:val="auto"/>
              </w:rPr>
            </w:pPr>
            <w:r>
              <w:rPr>
                <w:rFonts w:ascii="Arial" w:cs="Arial" w:eastAsia="Arial" w:hAnsi="Arial"/>
                <w:sz w:val="14"/>
                <w:szCs w:val="14"/>
                <w:b w:val="1"/>
                <w:bCs w:val="1"/>
                <w:color w:val="auto"/>
              </w:rPr>
              <w:t>(Cost $196,280,306)</w:t>
            </w:r>
            <w:r>
              <w:rPr>
                <w:rFonts w:ascii="Arial" w:cs="Arial" w:eastAsia="Arial" w:hAnsi="Arial"/>
                <w:sz w:val="24"/>
                <w:szCs w:val="24"/>
                <w:b w:val="1"/>
                <w:bCs w:val="1"/>
                <w:color w:val="auto"/>
                <w:vertAlign w:val="superscript"/>
              </w:rPr>
              <w:t>(19)(20)</w:t>
            </w:r>
            <w:r>
              <w:rPr>
                <w:rFonts w:ascii="Arial" w:cs="Arial" w:eastAsia="Arial" w:hAnsi="Arial"/>
                <w:sz w:val="14"/>
                <w:szCs w:val="14"/>
                <w:b w:val="1"/>
                <w:bCs w:val="1"/>
                <w:color w:val="auto"/>
              </w:rPr>
              <w:t xml:space="preserve"> — 123.7%</w:t>
            </w:r>
          </w:p>
        </w:tc>
        <w:tc>
          <w:tcPr>
            <w:tcW w:w="15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197,638,287</w:t>
            </w:r>
          </w:p>
        </w:tc>
      </w:tr>
      <w:tr>
        <w:trPr>
          <w:trHeight w:val="290"/>
        </w:trPr>
        <w:tc>
          <w:tcPr>
            <w:tcW w:w="25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Other assets and liabilities, net — (23.7)%</w:t>
            </w:r>
            <w:r>
              <w:rPr>
                <w:rFonts w:ascii="Arial" w:cs="Arial" w:eastAsia="Arial" w:hAnsi="Arial"/>
                <w:sz w:val="24"/>
                <w:szCs w:val="24"/>
                <w:b w:val="1"/>
                <w:bCs w:val="1"/>
                <w:color w:val="auto"/>
                <w:vertAlign w:val="superscript"/>
              </w:rPr>
              <w:t>(21)</w:t>
            </w:r>
          </w:p>
        </w:tc>
        <w:tc>
          <w:tcPr>
            <w:tcW w:w="15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(37,878,541)</w:t>
            </w:r>
          </w:p>
        </w:tc>
      </w:tr>
      <w:tr>
        <w:trPr>
          <w:trHeight w:val="221"/>
        </w:trPr>
        <w:tc>
          <w:tcPr>
            <w:tcW w:w="2560" w:type="dxa"/>
            <w:vAlign w:val="bottom"/>
          </w:tcPr>
          <w:p>
            <w:pPr>
              <w:spacing w:after="0"/>
              <w:rPr>
                <w:sz w:val="19"/>
                <w:szCs w:val="19"/>
                <w:color w:val="auto"/>
              </w:rPr>
            </w:pPr>
          </w:p>
        </w:tc>
        <w:tc>
          <w:tcPr>
            <w:tcW w:w="4140" w:type="dxa"/>
            <w:vAlign w:val="bottom"/>
          </w:tcPr>
          <w:p>
            <w:pPr>
              <w:ind w:left="200"/>
              <w:spacing w:after="0"/>
              <w:rPr>
                <w:sz w:val="20"/>
                <w:szCs w:val="20"/>
                <w:color w:val="auto"/>
              </w:rPr>
            </w:pPr>
            <w:r>
              <w:rPr>
                <w:rFonts w:ascii="Arial" w:cs="Arial" w:eastAsia="Arial" w:hAnsi="Arial"/>
                <w:sz w:val="14"/>
                <w:szCs w:val="14"/>
                <w:b w:val="1"/>
                <w:bCs w:val="1"/>
                <w:color w:val="auto"/>
              </w:rPr>
              <w:t>Total Net Assets — 100.0%</w:t>
            </w:r>
          </w:p>
        </w:tc>
        <w:tc>
          <w:tcPr>
            <w:tcW w:w="15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$159,759,746</w:t>
            </w:r>
          </w:p>
        </w:tc>
      </w:tr>
      <w:tr>
        <w:trPr>
          <w:trHeight w:val="29"/>
        </w:trPr>
        <w:tc>
          <w:tcPr>
            <w:tcW w:w="256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65" w:right="339" w:bottom="0" w:gutter="0" w:footer="0" w:header="0"/>
        </w:sectPr>
      </w:pPr>
    </w:p>
    <w:bookmarkStart w:id="198" w:name="page199"/>
    <w:bookmarkEnd w:id="1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520" w:type="dxa"/>
            <w:vAlign w:val="bottom"/>
          </w:tcPr>
          <w:p>
            <w:pPr>
              <w:jc w:val="center"/>
              <w:ind w:right="134"/>
              <w:spacing w:after="0"/>
              <w:rPr>
                <w:sz w:val="20"/>
                <w:szCs w:val="20"/>
                <w:color w:val="auto"/>
              </w:rPr>
            </w:pPr>
            <w:r>
              <w:rPr>
                <w:rFonts w:ascii="Arial" w:cs="Arial" w:eastAsia="Arial" w:hAnsi="Arial"/>
                <w:sz w:val="13"/>
                <w:szCs w:val="13"/>
                <w:b w:val="1"/>
                <w:bCs w:val="1"/>
                <w:color w:val="auto"/>
              </w:rPr>
              <w:t># of</w:t>
            </w:r>
          </w:p>
        </w:tc>
        <w:tc>
          <w:tcPr>
            <w:tcW w:w="1300" w:type="dxa"/>
            <w:vAlign w:val="bottom"/>
          </w:tcPr>
          <w:p>
            <w:pPr>
              <w:spacing w:after="0"/>
              <w:rPr>
                <w:sz w:val="14"/>
                <w:szCs w:val="14"/>
                <w:color w:val="auto"/>
              </w:rPr>
            </w:pPr>
          </w:p>
        </w:tc>
      </w:tr>
      <w:tr>
        <w:trPr>
          <w:trHeight w:val="278"/>
        </w:trPr>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21"/>
                <w:szCs w:val="21"/>
                <w:b w:val="1"/>
                <w:bCs w:val="1"/>
                <w:color w:val="auto"/>
                <w:vertAlign w:val="superscript"/>
              </w:rPr>
              <w:t>(1)</w:t>
            </w:r>
          </w:p>
        </w:tc>
        <w:tc>
          <w:tcPr>
            <w:tcW w:w="4360" w:type="dxa"/>
            <w:vAlign w:val="bottom"/>
            <w:tcBorders>
              <w:bottom w:val="single" w:sz="8" w:color="auto"/>
            </w:tcBorders>
          </w:tcPr>
          <w:p>
            <w:pPr>
              <w:ind w:left="2000"/>
              <w:spacing w:after="0"/>
              <w:rPr>
                <w:sz w:val="20"/>
                <w:szCs w:val="20"/>
                <w:color w:val="auto"/>
              </w:rPr>
            </w:pPr>
            <w:r>
              <w:rPr>
                <w:rFonts w:ascii="Arial" w:cs="Arial" w:eastAsia="Arial" w:hAnsi="Arial"/>
                <w:sz w:val="13"/>
                <w:szCs w:val="13"/>
                <w:b w:val="1"/>
                <w:bCs w:val="1"/>
                <w:color w:val="auto"/>
              </w:rPr>
              <w:t>Investment</w:t>
            </w:r>
          </w:p>
        </w:tc>
        <w:tc>
          <w:tcPr>
            <w:tcW w:w="152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b w:val="1"/>
                <w:bCs w:val="1"/>
                <w:color w:val="auto"/>
                <w:w w:val="92"/>
              </w:rPr>
              <w:t>Contracts</w:t>
            </w:r>
            <w:r>
              <w:rPr>
                <w:rFonts w:ascii="Arial" w:cs="Arial" w:eastAsia="Arial" w:hAnsi="Arial"/>
                <w:sz w:val="21"/>
                <w:szCs w:val="21"/>
                <w:b w:val="1"/>
                <w:bCs w:val="1"/>
                <w:color w:val="auto"/>
                <w:w w:val="92"/>
                <w:vertAlign w:val="superscript"/>
              </w:rPr>
              <w:t>(2)</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3"/>
                <w:szCs w:val="13"/>
                <w:b w:val="1"/>
                <w:bCs w:val="1"/>
                <w:color w:val="auto"/>
              </w:rPr>
              <w:t>Fair Value</w:t>
            </w:r>
            <w:r>
              <w:rPr>
                <w:rFonts w:ascii="Arial" w:cs="Arial" w:eastAsia="Arial" w:hAnsi="Arial"/>
                <w:sz w:val="21"/>
                <w:szCs w:val="21"/>
                <w:b w:val="1"/>
                <w:bCs w:val="1"/>
                <w:color w:val="auto"/>
                <w:vertAlign w:val="superscript"/>
              </w:rPr>
              <w:t>(3)</w:t>
            </w:r>
          </w:p>
        </w:tc>
      </w:tr>
      <w:tr>
        <w:trPr>
          <w:trHeight w:val="243"/>
        </w:trPr>
        <w:tc>
          <w:tcPr>
            <w:tcW w:w="2420" w:type="dxa"/>
            <w:vAlign w:val="bottom"/>
          </w:tcPr>
          <w:p>
            <w:pPr>
              <w:spacing w:after="0"/>
              <w:rPr>
                <w:sz w:val="20"/>
                <w:szCs w:val="20"/>
                <w:color w:val="auto"/>
              </w:rPr>
            </w:pPr>
            <w:r>
              <w:rPr>
                <w:rFonts w:ascii="Arial" w:cs="Arial" w:eastAsia="Arial" w:hAnsi="Arial"/>
                <w:sz w:val="16"/>
                <w:szCs w:val="16"/>
                <w:b w:val="1"/>
                <w:bCs w:val="1"/>
                <w:color w:val="auto"/>
              </w:rPr>
              <w:t>Call Options Written – (0.9%)</w:t>
            </w:r>
          </w:p>
        </w:tc>
        <w:tc>
          <w:tcPr>
            <w:tcW w:w="4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3"/>
        </w:trPr>
        <w:tc>
          <w:tcPr>
            <w:tcW w:w="2420" w:type="dxa"/>
            <w:vAlign w:val="bottom"/>
          </w:tcPr>
          <w:p>
            <w:pPr>
              <w:spacing w:after="0"/>
              <w:rPr>
                <w:sz w:val="20"/>
                <w:szCs w:val="20"/>
                <w:color w:val="auto"/>
              </w:rPr>
            </w:pPr>
            <w:r>
              <w:rPr>
                <w:rFonts w:ascii="Arial" w:cs="Arial" w:eastAsia="Arial" w:hAnsi="Arial"/>
                <w:sz w:val="16"/>
                <w:szCs w:val="16"/>
                <w:b w:val="1"/>
                <w:bCs w:val="1"/>
                <w:color w:val="auto"/>
              </w:rPr>
              <w:t>Banking – (0.9%)</w:t>
            </w:r>
          </w:p>
        </w:tc>
        <w:tc>
          <w:tcPr>
            <w:tcW w:w="43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4"/>
                <w:szCs w:val="14"/>
                <w:color w:val="auto"/>
              </w:rPr>
              <w:t>U.S. Bancorp.</w:t>
            </w:r>
          </w:p>
        </w:tc>
        <w:tc>
          <w:tcPr>
            <w:tcW w:w="4360" w:type="dxa"/>
            <w:vAlign w:val="bottom"/>
          </w:tcPr>
          <w:p>
            <w:pPr>
              <w:ind w:left="340"/>
              <w:spacing w:after="0"/>
              <w:rPr>
                <w:sz w:val="20"/>
                <w:szCs w:val="20"/>
                <w:color w:val="auto"/>
              </w:rPr>
            </w:pPr>
            <w:r>
              <w:rPr>
                <w:rFonts w:ascii="Arial" w:cs="Arial" w:eastAsia="Arial" w:hAnsi="Arial"/>
                <w:sz w:val="14"/>
                <w:szCs w:val="14"/>
                <w:color w:val="auto"/>
              </w:rPr>
              <w:t>U.S. Bancorp., Notional amount $4,128,750, Exchange;</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242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4"/>
                <w:szCs w:val="14"/>
                <w:color w:val="auto"/>
              </w:rPr>
              <w:t>NASDAQ, Expires 1/15/2027, Strike Price $37.50</w:t>
            </w:r>
          </w:p>
        </w:tc>
        <w:tc>
          <w:tcPr>
            <w:tcW w:w="1520" w:type="dxa"/>
            <w:vAlign w:val="bottom"/>
          </w:tcPr>
          <w:p>
            <w:pPr>
              <w:ind w:left="40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1,101</w:t>
            </w:r>
          </w:p>
        </w:tc>
        <w:tc>
          <w:tcPr>
            <w:tcW w:w="1300" w:type="dxa"/>
            <w:vAlign w:val="bottom"/>
          </w:tcPr>
          <w:p>
            <w:pPr>
              <w:jc w:val="right"/>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(1,381,755)</w:t>
            </w:r>
          </w:p>
        </w:tc>
      </w:tr>
      <w:tr>
        <w:trPr>
          <w:trHeight w:val="110"/>
        </w:trPr>
        <w:tc>
          <w:tcPr>
            <w:tcW w:w="242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r>
      <w:tr>
        <w:trPr>
          <w:trHeight w:val="227"/>
        </w:trPr>
        <w:tc>
          <w:tcPr>
            <w:tcW w:w="2420" w:type="dxa"/>
            <w:vAlign w:val="bottom"/>
          </w:tcPr>
          <w:p>
            <w:pPr>
              <w:spacing w:after="0"/>
              <w:rPr>
                <w:sz w:val="19"/>
                <w:szCs w:val="19"/>
                <w:color w:val="auto"/>
              </w:rPr>
            </w:pPr>
          </w:p>
        </w:tc>
        <w:tc>
          <w:tcPr>
            <w:tcW w:w="4360" w:type="dxa"/>
            <w:vAlign w:val="bottom"/>
          </w:tcPr>
          <w:p>
            <w:pPr>
              <w:ind w:left="340"/>
              <w:spacing w:after="0"/>
              <w:rPr>
                <w:sz w:val="20"/>
                <w:szCs w:val="20"/>
                <w:color w:val="auto"/>
              </w:rPr>
            </w:pPr>
            <w:r>
              <w:rPr>
                <w:rFonts w:ascii="Arial" w:cs="Arial" w:eastAsia="Arial" w:hAnsi="Arial"/>
                <w:sz w:val="14"/>
                <w:szCs w:val="14"/>
                <w:b w:val="1"/>
                <w:bCs w:val="1"/>
                <w:color w:val="auto"/>
              </w:rPr>
              <w:t>Total Call Options Written</w:t>
            </w:r>
          </w:p>
        </w:tc>
        <w:tc>
          <w:tcPr>
            <w:tcW w:w="15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242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4"/>
                <w:szCs w:val="14"/>
                <w:b w:val="1"/>
                <w:bCs w:val="1"/>
                <w:color w:val="auto"/>
              </w:rPr>
              <w:t>(Premiums received $1,154,991)</w:t>
            </w:r>
          </w:p>
        </w:tc>
        <w:tc>
          <w:tcPr>
            <w:tcW w:w="15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  $ (1,381,755)</w:t>
            </w:r>
          </w:p>
        </w:tc>
      </w:tr>
      <w:tr>
        <w:trPr>
          <w:trHeight w:val="29"/>
        </w:trPr>
        <w:tc>
          <w:tcPr>
            <w:tcW w:w="24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02"/>
        </w:trPr>
        <w:tc>
          <w:tcPr>
            <w:tcW w:w="242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00" w:type="dxa"/>
            <w:vAlign w:val="bottom"/>
          </w:tcPr>
          <w:p>
            <w:pPr>
              <w:spacing w:after="0"/>
              <w:rPr>
                <w:sz w:val="8"/>
                <w:szCs w:val="8"/>
                <w:color w:val="auto"/>
              </w:rPr>
            </w:pPr>
          </w:p>
        </w:tc>
      </w:tr>
    </w:tbl>
    <w:p>
      <w:pPr>
        <w:spacing w:after="0" w:line="158" w:lineRule="exact"/>
        <w:rPr>
          <w:sz w:val="20"/>
          <w:szCs w:val="20"/>
          <w:color w:val="auto"/>
        </w:rPr>
      </w:pPr>
    </w:p>
    <w:p>
      <w:pPr>
        <w:jc w:val="both"/>
        <w:ind w:left="380" w:right="619" w:hanging="366"/>
        <w:spacing w:after="0" w:line="205" w:lineRule="auto"/>
        <w:tabs>
          <w:tab w:leader="none" w:pos="380" w:val="left"/>
        </w:tabs>
        <w:numPr>
          <w:ilvl w:val="0"/>
          <w:numId w:val="128"/>
        </w:numPr>
        <w:rPr>
          <w:rFonts w:ascii="Arial" w:cs="Arial" w:eastAsia="Arial" w:hAnsi="Arial"/>
          <w:sz w:val="28"/>
          <w:szCs w:val="28"/>
          <w:color w:val="auto"/>
          <w:vertAlign w:val="subscript"/>
        </w:rPr>
      </w:pPr>
      <w:r>
        <w:rPr>
          <w:rFonts w:ascii="Arial" w:cs="Arial" w:eastAsia="Arial" w:hAnsi="Arial"/>
          <w:sz w:val="13"/>
          <w:szCs w:val="13"/>
          <w:color w:val="auto"/>
        </w:rPr>
        <w:t>Except with respect to Community Funding 2018, LLC ("CF 2018"), we do not "control" and are not an "affiliate" of any of our investments, as such terms are defined under the Investment Company Act of 1940 (the "1940 Act"). We may be deemed to control and be an affiliate of CF 2018 because we are the sole member of such entity.</w:t>
      </w:r>
    </w:p>
    <w:p>
      <w:pPr>
        <w:ind w:left="380" w:hanging="366"/>
        <w:spacing w:after="0" w:line="187" w:lineRule="auto"/>
        <w:tabs>
          <w:tab w:leader="none" w:pos="380" w:val="left"/>
        </w:tabs>
        <w:numPr>
          <w:ilvl w:val="0"/>
          <w:numId w:val="128"/>
        </w:numPr>
        <w:rPr>
          <w:rFonts w:ascii="Arial" w:cs="Arial" w:eastAsia="Arial" w:hAnsi="Arial"/>
          <w:sz w:val="21"/>
          <w:szCs w:val="21"/>
          <w:color w:val="auto"/>
          <w:vertAlign w:val="subscript"/>
        </w:rPr>
      </w:pPr>
      <w:r>
        <w:rPr>
          <w:rFonts w:ascii="Arial" w:cs="Arial" w:eastAsia="Arial" w:hAnsi="Arial"/>
          <w:sz w:val="11"/>
          <w:szCs w:val="11"/>
          <w:color w:val="auto"/>
        </w:rPr>
        <w:t>Par Value in USD, GBP, EUR or CHF.</w:t>
      </w:r>
    </w:p>
    <w:p>
      <w:pPr>
        <w:spacing w:after="0" w:line="31" w:lineRule="exact"/>
        <w:rPr>
          <w:rFonts w:ascii="Arial" w:cs="Arial" w:eastAsia="Arial" w:hAnsi="Arial"/>
          <w:sz w:val="21"/>
          <w:szCs w:val="21"/>
          <w:color w:val="auto"/>
          <w:vertAlign w:val="subscript"/>
        </w:rPr>
      </w:pPr>
    </w:p>
    <w:p>
      <w:pPr>
        <w:ind w:left="380" w:hanging="366"/>
        <w:spacing w:after="0" w:line="180" w:lineRule="auto"/>
        <w:tabs>
          <w:tab w:leader="none" w:pos="380" w:val="left"/>
        </w:tabs>
        <w:numPr>
          <w:ilvl w:val="0"/>
          <w:numId w:val="128"/>
        </w:numPr>
        <w:rPr>
          <w:rFonts w:ascii="Arial" w:cs="Arial" w:eastAsia="Arial" w:hAnsi="Arial"/>
          <w:sz w:val="23"/>
          <w:szCs w:val="23"/>
          <w:color w:val="auto"/>
          <w:vertAlign w:val="subscript"/>
        </w:rPr>
      </w:pPr>
      <w:r>
        <w:rPr>
          <w:rFonts w:ascii="Arial" w:cs="Arial" w:eastAsia="Arial" w:hAnsi="Arial"/>
          <w:sz w:val="11"/>
          <w:szCs w:val="11"/>
          <w:color w:val="auto"/>
        </w:rPr>
        <w:t>Fair Value is determined in good faith in accordance with the Company’s valuation policy and is reviewed and accepted by the Company’s Board of Directors.</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8"/>
        </w:numPr>
        <w:rPr>
          <w:rFonts w:ascii="Arial" w:cs="Arial" w:eastAsia="Arial" w:hAnsi="Arial"/>
          <w:sz w:val="23"/>
          <w:szCs w:val="23"/>
          <w:color w:val="auto"/>
          <w:vertAlign w:val="subscript"/>
        </w:rPr>
      </w:pPr>
      <w:r>
        <w:rPr>
          <w:rFonts w:ascii="Arial" w:cs="Arial" w:eastAsia="Arial" w:hAnsi="Arial"/>
          <w:sz w:val="11"/>
          <w:szCs w:val="11"/>
          <w:color w:val="auto"/>
        </w:rPr>
        <w:t>Securities are exempt from registration under Rule 144A of the Securities Act of 1933.</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8"/>
        </w:numPr>
        <w:rPr>
          <w:rFonts w:ascii="Arial" w:cs="Arial" w:eastAsia="Arial" w:hAnsi="Arial"/>
          <w:sz w:val="23"/>
          <w:szCs w:val="23"/>
          <w:color w:val="auto"/>
          <w:vertAlign w:val="subscript"/>
        </w:rPr>
      </w:pPr>
      <w:r>
        <w:rPr>
          <w:rFonts w:ascii="Arial" w:cs="Arial" w:eastAsia="Arial" w:hAnsi="Arial"/>
          <w:sz w:val="11"/>
          <w:szCs w:val="11"/>
          <w:color w:val="auto"/>
        </w:rPr>
        <w:t>Investments determined using significant unobservable inputs (Level 3). The value of such securities is $ 129,118,759 or 80.82% of net assets.</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8"/>
        </w:numPr>
        <w:rPr>
          <w:rFonts w:ascii="Arial" w:cs="Arial" w:eastAsia="Arial" w:hAnsi="Arial"/>
          <w:sz w:val="23"/>
          <w:szCs w:val="23"/>
          <w:color w:val="auto"/>
          <w:vertAlign w:val="subscript"/>
        </w:rPr>
      </w:pPr>
      <w:r>
        <w:rPr>
          <w:rFonts w:ascii="Arial" w:cs="Arial" w:eastAsia="Arial" w:hAnsi="Arial"/>
          <w:sz w:val="11"/>
          <w:szCs w:val="11"/>
          <w:color w:val="auto"/>
        </w:rPr>
        <w:t>The estimated effective yield including structuring fees paid annually through maturity of 2030 and 2028, respectively, is 9.60%.</w:t>
      </w:r>
    </w:p>
    <w:p>
      <w:pPr>
        <w:spacing w:after="0" w:line="63" w:lineRule="exact"/>
        <w:rPr>
          <w:rFonts w:ascii="Arial" w:cs="Arial" w:eastAsia="Arial" w:hAnsi="Arial"/>
          <w:sz w:val="23"/>
          <w:szCs w:val="23"/>
          <w:color w:val="auto"/>
          <w:vertAlign w:val="subscript"/>
        </w:rPr>
      </w:pPr>
    </w:p>
    <w:p>
      <w:pPr>
        <w:ind w:left="380" w:right="579" w:hanging="366"/>
        <w:spacing w:after="0" w:line="219" w:lineRule="auto"/>
        <w:tabs>
          <w:tab w:leader="none" w:pos="380" w:val="left"/>
        </w:tabs>
        <w:numPr>
          <w:ilvl w:val="0"/>
          <w:numId w:val="128"/>
        </w:numPr>
        <w:rPr>
          <w:rFonts w:ascii="Arial" w:cs="Arial" w:eastAsia="Arial" w:hAnsi="Arial"/>
          <w:sz w:val="28"/>
          <w:szCs w:val="28"/>
          <w:color w:val="auto"/>
          <w:vertAlign w:val="subscript"/>
        </w:rPr>
      </w:pPr>
      <w:r>
        <w:rPr>
          <w:rFonts w:ascii="Arial" w:cs="Arial" w:eastAsia="Arial" w:hAnsi="Arial"/>
          <w:sz w:val="13"/>
          <w:szCs w:val="13"/>
          <w:color w:val="auto"/>
        </w:rPr>
        <w:t>The preferred shares are considered an equity position. Equity investments are entitled to recurring distributions which are generally equal to the remaining cash flow of the payments made by the underlying company’s securities less contractual payments to debt holders and company expenses. The estimated effective yield indicated is based upon a current projection of the amount and timing of these recurring distributions and the estimated amount of repayment of principal upon termination. Such projections are periodically reviewed and adjusted as needed. The estimated effective yield may ultimately not be realized.</w:t>
      </w:r>
    </w:p>
    <w:p>
      <w:pPr>
        <w:spacing w:after="0" w:line="2" w:lineRule="exact"/>
        <w:rPr>
          <w:rFonts w:ascii="Arial" w:cs="Arial" w:eastAsia="Arial" w:hAnsi="Arial"/>
          <w:sz w:val="28"/>
          <w:szCs w:val="28"/>
          <w:color w:val="auto"/>
          <w:vertAlign w:val="subscript"/>
        </w:rPr>
      </w:pPr>
    </w:p>
    <w:p>
      <w:pPr>
        <w:ind w:left="380" w:hanging="366"/>
        <w:spacing w:after="0" w:line="187" w:lineRule="auto"/>
        <w:tabs>
          <w:tab w:leader="none" w:pos="380" w:val="left"/>
        </w:tabs>
        <w:numPr>
          <w:ilvl w:val="0"/>
          <w:numId w:val="128"/>
        </w:numPr>
        <w:rPr>
          <w:rFonts w:ascii="Arial" w:cs="Arial" w:eastAsia="Arial" w:hAnsi="Arial"/>
          <w:sz w:val="21"/>
          <w:szCs w:val="21"/>
          <w:color w:val="auto"/>
          <w:vertAlign w:val="subscript"/>
        </w:rPr>
      </w:pPr>
      <w:r>
        <w:rPr>
          <w:rFonts w:ascii="Arial" w:cs="Arial" w:eastAsia="Arial" w:hAnsi="Arial"/>
          <w:sz w:val="11"/>
          <w:szCs w:val="11"/>
          <w:color w:val="auto"/>
        </w:rPr>
        <w:t xml:space="preserve">Floating rate note: 30 Day Average SOFR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6.50%</w:t>
      </w:r>
    </w:p>
    <w:p>
      <w:pPr>
        <w:spacing w:after="0" w:line="31" w:lineRule="exact"/>
        <w:rPr>
          <w:rFonts w:ascii="Arial" w:cs="Arial" w:eastAsia="Arial" w:hAnsi="Arial"/>
          <w:sz w:val="21"/>
          <w:szCs w:val="21"/>
          <w:color w:val="auto"/>
          <w:vertAlign w:val="subscript"/>
        </w:rPr>
      </w:pPr>
    </w:p>
    <w:p>
      <w:pPr>
        <w:ind w:left="380" w:hanging="366"/>
        <w:spacing w:after="0" w:line="180" w:lineRule="auto"/>
        <w:tabs>
          <w:tab w:leader="none" w:pos="380" w:val="left"/>
        </w:tabs>
        <w:numPr>
          <w:ilvl w:val="0"/>
          <w:numId w:val="128"/>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90 Day Average SOFR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6.50%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296B38"/>
        </w:rPr>
        <w:t>See Notes to Schedule of Investments</w:t>
      </w:r>
    </w:p>
    <w:p>
      <w:pPr>
        <w:spacing w:after="0" w:line="29" w:lineRule="exact"/>
        <w:rPr>
          <w:sz w:val="20"/>
          <w:szCs w:val="20"/>
          <w:color w:val="auto"/>
        </w:rPr>
      </w:pPr>
    </w:p>
    <w:p>
      <w:pPr>
        <w:ind w:left="7020"/>
        <w:spacing w:after="0"/>
        <w:tabs>
          <w:tab w:leader="none" w:pos="8920" w:val="left"/>
        </w:tabs>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sz w:val="20"/>
          <w:szCs w:val="20"/>
          <w:color w:val="auto"/>
        </w:rPr>
        <w:tab/>
      </w:r>
      <w:r>
        <w:rPr>
          <w:rFonts w:ascii="Arial" w:cs="Arial" w:eastAsia="Arial" w:hAnsi="Arial"/>
          <w:sz w:val="16"/>
          <w:szCs w:val="16"/>
          <w:color w:val="296B38"/>
        </w:rPr>
        <w:t>3</w:t>
      </w:r>
    </w:p>
    <w:p>
      <w:pPr>
        <w:spacing w:after="0" w:line="55" w:lineRule="exact"/>
        <w:rPr>
          <w:sz w:val="20"/>
          <w:szCs w:val="20"/>
          <w:color w:val="auto"/>
        </w:rPr>
      </w:pPr>
    </w:p>
    <w:p>
      <w:pPr>
        <w:ind w:left="380" w:hanging="366"/>
        <w:spacing w:after="0"/>
        <w:tabs>
          <w:tab w:leader="none" w:pos="380" w:val="left"/>
        </w:tabs>
        <w:numPr>
          <w:ilvl w:val="0"/>
          <w:numId w:val="129"/>
        </w:numPr>
        <w:rPr>
          <w:rFonts w:ascii="Arial" w:cs="Arial" w:eastAsia="Arial" w:hAnsi="Arial"/>
          <w:sz w:val="28"/>
          <w:szCs w:val="28"/>
          <w:color w:val="auto"/>
          <w:vertAlign w:val="subscript"/>
        </w:rPr>
      </w:pPr>
      <w:r>
        <w:rPr>
          <w:rFonts w:ascii="Arial" w:cs="Arial" w:eastAsia="Arial" w:hAnsi="Arial"/>
          <w:sz w:val="13"/>
          <w:szCs w:val="13"/>
          <w:color w:val="auto"/>
        </w:rPr>
        <w:t xml:space="preserve">Floating rate note: 3M EURIBOR (Floored at 0%)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minimum of 6.00%</w:t>
      </w:r>
    </w:p>
    <w:p>
      <w:pPr>
        <w:spacing w:after="0" w:line="31" w:lineRule="exact"/>
        <w:rPr>
          <w:rFonts w:ascii="Arial" w:cs="Arial" w:eastAsia="Arial" w:hAnsi="Arial"/>
          <w:sz w:val="28"/>
          <w:szCs w:val="28"/>
          <w:color w:val="auto"/>
          <w:vertAlign w:val="subscript"/>
        </w:rPr>
      </w:pPr>
    </w:p>
    <w:p>
      <w:pPr>
        <w:ind w:left="380" w:hanging="366"/>
        <w:spacing w:after="0" w:line="180" w:lineRule="auto"/>
        <w:tabs>
          <w:tab w:leader="none" w:pos="380" w:val="left"/>
        </w:tabs>
        <w:numPr>
          <w:ilvl w:val="0"/>
          <w:numId w:val="129"/>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SONIA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7.20%</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9"/>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1M EURIBOR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12.50%</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9"/>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3M SOFR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8.76%</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9"/>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3M CHF SARO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9.25%</w:t>
      </w:r>
    </w:p>
    <w:p>
      <w:pPr>
        <w:spacing w:after="0" w:line="31" w:lineRule="exact"/>
        <w:rPr>
          <w:rFonts w:ascii="Arial" w:cs="Arial" w:eastAsia="Arial" w:hAnsi="Arial"/>
          <w:sz w:val="23"/>
          <w:szCs w:val="23"/>
          <w:color w:val="auto"/>
          <w:vertAlign w:val="subscript"/>
        </w:rPr>
      </w:pPr>
    </w:p>
    <w:p>
      <w:pPr>
        <w:ind w:left="380" w:hanging="366"/>
        <w:spacing w:after="0" w:line="180" w:lineRule="auto"/>
        <w:tabs>
          <w:tab w:leader="none" w:pos="380" w:val="left"/>
        </w:tabs>
        <w:numPr>
          <w:ilvl w:val="0"/>
          <w:numId w:val="129"/>
        </w:numPr>
        <w:rPr>
          <w:rFonts w:ascii="Arial" w:cs="Arial" w:eastAsia="Arial" w:hAnsi="Arial"/>
          <w:sz w:val="23"/>
          <w:szCs w:val="23"/>
          <w:color w:val="auto"/>
          <w:vertAlign w:val="subscript"/>
        </w:rPr>
      </w:pPr>
      <w:r>
        <w:rPr>
          <w:rFonts w:ascii="Arial" w:cs="Arial" w:eastAsia="Arial" w:hAnsi="Arial"/>
          <w:sz w:val="11"/>
          <w:szCs w:val="11"/>
          <w:color w:val="auto"/>
        </w:rPr>
        <w:t xml:space="preserve">Floating rate note: 3M EURIBOR </w:t>
      </w: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minimum of 9.50%</w:t>
      </w:r>
    </w:p>
    <w:p>
      <w:pPr>
        <w:spacing w:after="0" w:line="63" w:lineRule="exact"/>
        <w:rPr>
          <w:rFonts w:ascii="Arial" w:cs="Arial" w:eastAsia="Arial" w:hAnsi="Arial"/>
          <w:sz w:val="23"/>
          <w:szCs w:val="23"/>
          <w:color w:val="auto"/>
          <w:vertAlign w:val="subscript"/>
        </w:rPr>
      </w:pPr>
    </w:p>
    <w:p>
      <w:pPr>
        <w:ind w:left="380" w:right="679" w:hanging="366"/>
        <w:spacing w:after="0" w:line="180" w:lineRule="auto"/>
        <w:tabs>
          <w:tab w:leader="none" w:pos="380" w:val="left"/>
        </w:tabs>
        <w:numPr>
          <w:ilvl w:val="0"/>
          <w:numId w:val="129"/>
        </w:numPr>
        <w:rPr>
          <w:rFonts w:ascii="Arial" w:cs="Arial" w:eastAsia="Arial" w:hAnsi="Arial"/>
          <w:sz w:val="28"/>
          <w:szCs w:val="28"/>
          <w:color w:val="auto"/>
          <w:vertAlign w:val="subscript"/>
        </w:rPr>
      </w:pPr>
      <w:r>
        <w:rPr>
          <w:rFonts w:ascii="Arial" w:cs="Arial" w:eastAsia="Arial" w:hAnsi="Arial"/>
          <w:sz w:val="13"/>
          <w:szCs w:val="13"/>
          <w:color w:val="auto"/>
        </w:rPr>
        <w:t>As of September 30, 2025, this investment has deferred, undeclared and compounding dividends of $569,414 that will be recognized by ArrowMark Financial Corp. once they are declared by Fidelity Federal Bancorp.</w:t>
      </w:r>
    </w:p>
    <w:p>
      <w:pPr>
        <w:spacing w:after="0" w:line="1" w:lineRule="exact"/>
        <w:rPr>
          <w:rFonts w:ascii="Arial" w:cs="Arial" w:eastAsia="Arial" w:hAnsi="Arial"/>
          <w:sz w:val="28"/>
          <w:szCs w:val="28"/>
          <w:color w:val="auto"/>
          <w:vertAlign w:val="subscript"/>
        </w:rPr>
      </w:pPr>
    </w:p>
    <w:p>
      <w:pPr>
        <w:ind w:left="380" w:hanging="366"/>
        <w:spacing w:after="0" w:line="187" w:lineRule="auto"/>
        <w:tabs>
          <w:tab w:leader="none" w:pos="380" w:val="left"/>
        </w:tabs>
        <w:numPr>
          <w:ilvl w:val="0"/>
          <w:numId w:val="129"/>
        </w:numPr>
        <w:rPr>
          <w:rFonts w:ascii="Arial" w:cs="Arial" w:eastAsia="Arial" w:hAnsi="Arial"/>
          <w:sz w:val="21"/>
          <w:szCs w:val="21"/>
          <w:color w:val="auto"/>
          <w:vertAlign w:val="subscript"/>
        </w:rPr>
      </w:pPr>
      <w:r>
        <w:rPr>
          <w:rFonts w:ascii="Arial" w:cs="Arial" w:eastAsia="Arial" w:hAnsi="Arial"/>
          <w:sz w:val="11"/>
          <w:szCs w:val="11"/>
          <w:color w:val="auto"/>
        </w:rPr>
        <w:t>Non-income producing securities</w:t>
      </w:r>
    </w:p>
    <w:p>
      <w:pPr>
        <w:spacing w:after="0" w:line="64" w:lineRule="exact"/>
        <w:rPr>
          <w:rFonts w:ascii="Arial" w:cs="Arial" w:eastAsia="Arial" w:hAnsi="Arial"/>
          <w:sz w:val="21"/>
          <w:szCs w:val="21"/>
          <w:color w:val="auto"/>
          <w:vertAlign w:val="subscript"/>
        </w:rPr>
      </w:pPr>
    </w:p>
    <w:p>
      <w:pPr>
        <w:ind w:left="380" w:right="739" w:hanging="366"/>
        <w:spacing w:after="0" w:line="180" w:lineRule="auto"/>
        <w:tabs>
          <w:tab w:leader="none" w:pos="380" w:val="left"/>
        </w:tabs>
        <w:numPr>
          <w:ilvl w:val="0"/>
          <w:numId w:val="129"/>
        </w:numPr>
        <w:rPr>
          <w:rFonts w:ascii="Arial" w:cs="Arial" w:eastAsia="Arial" w:hAnsi="Arial"/>
          <w:sz w:val="28"/>
          <w:szCs w:val="28"/>
          <w:color w:val="auto"/>
          <w:vertAlign w:val="subscript"/>
        </w:rPr>
      </w:pPr>
      <w:r>
        <w:rPr>
          <w:rFonts w:ascii="Arial" w:cs="Arial" w:eastAsia="Arial" w:hAnsi="Arial"/>
          <w:sz w:val="13"/>
          <w:szCs w:val="13"/>
          <w:color w:val="auto"/>
        </w:rPr>
        <w:t>As of September 30, 2025, this investment has deferred, undeclared and compounding dividends of $40,833 that will be recognized by ArrowMark Financial Corp. once they are declared by Fidelity Federal Bancorp.</w:t>
      </w:r>
    </w:p>
    <w:p>
      <w:pPr>
        <w:spacing w:after="0" w:line="24" w:lineRule="exact"/>
        <w:rPr>
          <w:rFonts w:ascii="Arial" w:cs="Arial" w:eastAsia="Arial" w:hAnsi="Arial"/>
          <w:sz w:val="28"/>
          <w:szCs w:val="28"/>
          <w:color w:val="auto"/>
          <w:vertAlign w:val="subscript"/>
        </w:rPr>
      </w:pPr>
    </w:p>
    <w:p>
      <w:pPr>
        <w:ind w:left="380" w:right="619" w:hanging="366"/>
        <w:spacing w:after="0" w:line="180" w:lineRule="auto"/>
        <w:tabs>
          <w:tab w:leader="none" w:pos="380" w:val="left"/>
        </w:tabs>
        <w:numPr>
          <w:ilvl w:val="0"/>
          <w:numId w:val="129"/>
        </w:numPr>
        <w:rPr>
          <w:rFonts w:ascii="Arial" w:cs="Arial" w:eastAsia="Arial" w:hAnsi="Arial"/>
          <w:sz w:val="28"/>
          <w:szCs w:val="28"/>
          <w:color w:val="auto"/>
          <w:vertAlign w:val="subscript"/>
        </w:rPr>
      </w:pPr>
      <w:r>
        <w:rPr>
          <w:rFonts w:ascii="Arial" w:cs="Arial" w:eastAsia="Arial" w:hAnsi="Arial"/>
          <w:sz w:val="13"/>
          <w:szCs w:val="13"/>
          <w:color w:val="auto"/>
        </w:rPr>
        <w:t>As of September 30, 2025, the tax cost basis of investment securities was $196,280,306. The gross unrealized appreciation over tax cost was $7,808,088 and gross unrealized depreciation under tax cost was $6,450,107. Net unrealized depreciation of tax cost under value was $1,357,981.</w:t>
      </w:r>
    </w:p>
    <w:p>
      <w:pPr>
        <w:spacing w:after="0" w:line="1" w:lineRule="exact"/>
        <w:rPr>
          <w:rFonts w:ascii="Arial" w:cs="Arial" w:eastAsia="Arial" w:hAnsi="Arial"/>
          <w:sz w:val="28"/>
          <w:szCs w:val="28"/>
          <w:color w:val="auto"/>
          <w:vertAlign w:val="subscript"/>
        </w:rPr>
      </w:pPr>
    </w:p>
    <w:p>
      <w:pPr>
        <w:ind w:left="380" w:hanging="366"/>
        <w:spacing w:after="0" w:line="187" w:lineRule="auto"/>
        <w:tabs>
          <w:tab w:leader="none" w:pos="380" w:val="left"/>
        </w:tabs>
        <w:numPr>
          <w:ilvl w:val="0"/>
          <w:numId w:val="129"/>
        </w:numPr>
        <w:rPr>
          <w:rFonts w:ascii="Arial" w:cs="Arial" w:eastAsia="Arial" w:hAnsi="Arial"/>
          <w:sz w:val="21"/>
          <w:szCs w:val="21"/>
          <w:color w:val="auto"/>
          <w:vertAlign w:val="subscript"/>
        </w:rPr>
      </w:pPr>
      <w:r>
        <w:rPr>
          <w:rFonts w:ascii="Arial" w:cs="Arial" w:eastAsia="Arial" w:hAnsi="Arial"/>
          <w:sz w:val="11"/>
          <w:szCs w:val="11"/>
          <w:color w:val="auto"/>
        </w:rPr>
        <w:t>Cost values reflect accretion of original issue discount or market discount, and amortization of premium.</w:t>
      </w:r>
    </w:p>
    <w:p>
      <w:pPr>
        <w:spacing w:after="0" w:line="31" w:lineRule="exact"/>
        <w:rPr>
          <w:rFonts w:ascii="Arial" w:cs="Arial" w:eastAsia="Arial" w:hAnsi="Arial"/>
          <w:sz w:val="21"/>
          <w:szCs w:val="21"/>
          <w:color w:val="auto"/>
          <w:vertAlign w:val="subscript"/>
        </w:rPr>
      </w:pPr>
    </w:p>
    <w:p>
      <w:pPr>
        <w:ind w:left="380" w:hanging="366"/>
        <w:spacing w:after="0" w:line="180" w:lineRule="auto"/>
        <w:tabs>
          <w:tab w:leader="none" w:pos="380" w:val="left"/>
        </w:tabs>
        <w:numPr>
          <w:ilvl w:val="0"/>
          <w:numId w:val="129"/>
        </w:numPr>
        <w:rPr>
          <w:rFonts w:ascii="Arial" w:cs="Arial" w:eastAsia="Arial" w:hAnsi="Arial"/>
          <w:sz w:val="23"/>
          <w:szCs w:val="23"/>
          <w:color w:val="auto"/>
          <w:vertAlign w:val="subscript"/>
        </w:rPr>
      </w:pPr>
      <w:r>
        <w:rPr>
          <w:rFonts w:ascii="Arial" w:cs="Arial" w:eastAsia="Arial" w:hAnsi="Arial"/>
          <w:sz w:val="11"/>
          <w:szCs w:val="11"/>
          <w:color w:val="auto"/>
        </w:rPr>
        <w:t>Includes $40,500,000 in bank loans from Texas Capital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-2051685</wp:posOffset>
            </wp:positionV>
            <wp:extent cx="7157720" cy="4254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44" w:lineRule="exact"/>
        <w:rPr>
          <w:sz w:val="20"/>
          <w:szCs w:val="20"/>
          <w:color w:val="auto"/>
        </w:rPr>
      </w:pPr>
    </w:p>
    <w:p>
      <w:pPr>
        <w:ind w:left="380" w:hanging="366"/>
        <w:spacing w:after="0"/>
        <w:tabs>
          <w:tab w:leader="none" w:pos="38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Held in Marshall Holdings Limited II.</w:t>
      </w:r>
    </w:p>
    <w:p>
      <w:pPr>
        <w:ind w:left="380" w:hanging="366"/>
        <w:spacing w:after="0" w:line="186" w:lineRule="auto"/>
        <w:tabs>
          <w:tab w:leader="none" w:pos="380" w:val="left"/>
        </w:tabs>
        <w:numPr>
          <w:ilvl w:val="0"/>
          <w:numId w:val="131"/>
        </w:numPr>
        <w:rPr>
          <w:rFonts w:ascii="Times New Roman" w:cs="Times New Roman" w:eastAsia="Times New Roman" w:hAnsi="Times New Roman"/>
          <w:sz w:val="23"/>
          <w:szCs w:val="23"/>
          <w:color w:val="auto"/>
          <w:vertAlign w:val="subscript"/>
        </w:rPr>
      </w:pPr>
      <w:r>
        <w:rPr>
          <w:rFonts w:ascii="Arial" w:cs="Arial" w:eastAsia="Arial" w:hAnsi="Arial"/>
          <w:sz w:val="11"/>
          <w:szCs w:val="11"/>
          <w:color w:val="auto"/>
        </w:rPr>
        <w:t>Held in Marshall Holdings Limited III.</w:t>
      </w:r>
    </w:p>
    <w:p>
      <w:pPr>
        <w:spacing w:after="0" w:line="23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ABS</w:t>
      </w:r>
      <w:r>
        <w:rPr>
          <w:sz w:val="20"/>
          <w:szCs w:val="20"/>
          <w:color w:val="auto"/>
        </w:rPr>
        <w:tab/>
      </w:r>
      <w:r>
        <w:rPr>
          <w:rFonts w:ascii="Arial" w:cs="Arial" w:eastAsia="Arial" w:hAnsi="Arial"/>
          <w:sz w:val="14"/>
          <w:szCs w:val="14"/>
          <w:color w:val="auto"/>
        </w:rPr>
        <w:t>Asset-Backed Security</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CHF</w:t>
      </w:r>
      <w:r>
        <w:rPr>
          <w:sz w:val="20"/>
          <w:szCs w:val="20"/>
          <w:color w:val="auto"/>
        </w:rPr>
        <w:tab/>
      </w:r>
      <w:r>
        <w:rPr>
          <w:rFonts w:ascii="Arial" w:cs="Arial" w:eastAsia="Arial" w:hAnsi="Arial"/>
          <w:sz w:val="14"/>
          <w:szCs w:val="14"/>
          <w:color w:val="auto"/>
        </w:rPr>
        <w:t>Swiss Franc</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EUR</w:t>
      </w:r>
      <w:r>
        <w:rPr>
          <w:sz w:val="20"/>
          <w:szCs w:val="20"/>
          <w:color w:val="auto"/>
        </w:rPr>
        <w:tab/>
      </w:r>
      <w:r>
        <w:rPr>
          <w:rFonts w:ascii="Arial" w:cs="Arial" w:eastAsia="Arial" w:hAnsi="Arial"/>
          <w:sz w:val="14"/>
          <w:szCs w:val="14"/>
          <w:color w:val="auto"/>
        </w:rPr>
        <w:t>Euro</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EURIBOR</w:t>
        <w:tab/>
        <w:t>Euro London Interbank Offered Rate</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GBP</w:t>
      </w:r>
      <w:r>
        <w:rPr>
          <w:sz w:val="20"/>
          <w:szCs w:val="20"/>
          <w:color w:val="auto"/>
        </w:rPr>
        <w:tab/>
      </w:r>
      <w:r>
        <w:rPr>
          <w:rFonts w:ascii="Arial" w:cs="Arial" w:eastAsia="Arial" w:hAnsi="Arial"/>
          <w:sz w:val="14"/>
          <w:szCs w:val="14"/>
          <w:color w:val="auto"/>
        </w:rPr>
        <w:t>British Pound</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PLC</w:t>
      </w:r>
      <w:r>
        <w:rPr>
          <w:sz w:val="20"/>
          <w:szCs w:val="20"/>
          <w:color w:val="auto"/>
        </w:rPr>
        <w:tab/>
      </w:r>
      <w:r>
        <w:rPr>
          <w:rFonts w:ascii="Arial" w:cs="Arial" w:eastAsia="Arial" w:hAnsi="Arial"/>
          <w:sz w:val="14"/>
          <w:szCs w:val="14"/>
          <w:color w:val="auto"/>
        </w:rPr>
        <w:t>Public Limited Company</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SARO</w:t>
      </w:r>
      <w:r>
        <w:rPr>
          <w:sz w:val="20"/>
          <w:szCs w:val="20"/>
          <w:color w:val="auto"/>
        </w:rPr>
        <w:tab/>
      </w:r>
      <w:r>
        <w:rPr>
          <w:rFonts w:ascii="Arial" w:cs="Arial" w:eastAsia="Arial" w:hAnsi="Arial"/>
          <w:sz w:val="14"/>
          <w:szCs w:val="14"/>
          <w:color w:val="auto"/>
        </w:rPr>
        <w:t>Swiss Average Rate Overnight</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SOFR</w:t>
      </w:r>
      <w:r>
        <w:rPr>
          <w:sz w:val="20"/>
          <w:szCs w:val="20"/>
          <w:color w:val="auto"/>
        </w:rPr>
        <w:tab/>
      </w:r>
      <w:r>
        <w:rPr>
          <w:rFonts w:ascii="Arial" w:cs="Arial" w:eastAsia="Arial" w:hAnsi="Arial"/>
          <w:sz w:val="14"/>
          <w:szCs w:val="14"/>
          <w:color w:val="auto"/>
        </w:rPr>
        <w:t>Secured Overnight Financing Rate</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SONIA</w:t>
      </w:r>
      <w:r>
        <w:rPr>
          <w:sz w:val="20"/>
          <w:szCs w:val="20"/>
          <w:color w:val="auto"/>
        </w:rPr>
        <w:tab/>
      </w:r>
      <w:r>
        <w:rPr>
          <w:rFonts w:ascii="Arial" w:cs="Arial" w:eastAsia="Arial" w:hAnsi="Arial"/>
          <w:sz w:val="14"/>
          <w:szCs w:val="14"/>
          <w:color w:val="auto"/>
        </w:rPr>
        <w:t>Sterling Overnight Interbank Average Rate</w:t>
      </w:r>
    </w:p>
    <w:p>
      <w:pPr>
        <w:spacing w:after="0" w:line="55" w:lineRule="exact"/>
        <w:rPr>
          <w:sz w:val="20"/>
          <w:szCs w:val="20"/>
          <w:color w:val="auto"/>
        </w:rPr>
      </w:pPr>
    </w:p>
    <w:p>
      <w:pPr>
        <w:ind w:left="20"/>
        <w:spacing w:after="0"/>
        <w:tabs>
          <w:tab w:leader="none" w:pos="820" w:val="left"/>
        </w:tabs>
        <w:rPr>
          <w:sz w:val="20"/>
          <w:szCs w:val="20"/>
          <w:color w:val="auto"/>
        </w:rPr>
      </w:pPr>
      <w:r>
        <w:rPr>
          <w:rFonts w:ascii="Arial" w:cs="Arial" w:eastAsia="Arial" w:hAnsi="Arial"/>
          <w:sz w:val="14"/>
          <w:szCs w:val="14"/>
          <w:color w:val="auto"/>
        </w:rPr>
        <w:t>USD</w:t>
      </w:r>
      <w:r>
        <w:rPr>
          <w:sz w:val="20"/>
          <w:szCs w:val="20"/>
          <w:color w:val="auto"/>
        </w:rPr>
        <w:tab/>
      </w:r>
      <w:r>
        <w:rPr>
          <w:rFonts w:ascii="Arial" w:cs="Arial" w:eastAsia="Arial" w:hAnsi="Arial"/>
          <w:sz w:val="14"/>
          <w:szCs w:val="14"/>
          <w:color w:val="auto"/>
        </w:rPr>
        <w:t>United States Dollar</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Affiliated Investments</w:t>
            </w: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40" w:type="dxa"/>
            <w:vAlign w:val="bottom"/>
          </w:tcPr>
          <w:p>
            <w:pPr>
              <w:spacing w:after="0"/>
              <w:rPr>
                <w:sz w:val="3"/>
                <w:szCs w:val="3"/>
                <w:color w:val="auto"/>
              </w:rPr>
            </w:pPr>
          </w:p>
        </w:tc>
        <w:tc>
          <w:tcPr>
            <w:tcW w:w="840" w:type="dxa"/>
            <w:vAlign w:val="bottom"/>
            <w:vMerge w:val="restart"/>
          </w:tcPr>
          <w:p>
            <w:pPr>
              <w:jc w:val="center"/>
              <w:ind w:right="15"/>
              <w:spacing w:after="0"/>
              <w:rPr>
                <w:sz w:val="20"/>
                <w:szCs w:val="20"/>
                <w:color w:val="auto"/>
              </w:rPr>
            </w:pPr>
            <w:r>
              <w:rPr>
                <w:rFonts w:ascii="Arial" w:cs="Arial" w:eastAsia="Arial" w:hAnsi="Arial"/>
                <w:sz w:val="13"/>
                <w:szCs w:val="13"/>
                <w:b w:val="1"/>
                <w:bCs w:val="1"/>
                <w:color w:val="auto"/>
                <w:w w:val="95"/>
              </w:rPr>
              <w:t>Net</w:t>
            </w:r>
          </w:p>
        </w:tc>
        <w:tc>
          <w:tcPr>
            <w:tcW w:w="11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Net Increase</w:t>
            </w:r>
          </w:p>
        </w:tc>
        <w:tc>
          <w:tcPr>
            <w:tcW w:w="9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98"/>
              </w:rPr>
              <w:t>Investments in and advances to Affiliates (as per 210.12-14) for</w:t>
            </w:r>
          </w:p>
        </w:tc>
        <w:tc>
          <w:tcPr>
            <w:tcW w:w="1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Shares/Principal</w:t>
            </w:r>
          </w:p>
        </w:tc>
        <w:tc>
          <w:tcPr>
            <w:tcW w:w="840" w:type="dxa"/>
            <w:vAlign w:val="bottom"/>
          </w:tcPr>
          <w:p>
            <w:pPr>
              <w:jc w:val="center"/>
              <w:ind w:right="15"/>
              <w:spacing w:after="0"/>
              <w:rPr>
                <w:sz w:val="20"/>
                <w:szCs w:val="20"/>
                <w:color w:val="auto"/>
              </w:rPr>
            </w:pPr>
            <w:r>
              <w:rPr>
                <w:rFonts w:ascii="Arial" w:cs="Arial" w:eastAsia="Arial" w:hAnsi="Arial"/>
                <w:sz w:val="13"/>
                <w:szCs w:val="13"/>
                <w:b w:val="1"/>
                <w:bCs w:val="1"/>
                <w:color w:val="auto"/>
                <w:w w:val="98"/>
              </w:rPr>
              <w:t>Realized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(Decrease) in</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Interest</w:t>
            </w:r>
          </w:p>
        </w:tc>
        <w:tc>
          <w:tcPr>
            <w:tcW w:w="1360" w:type="dxa"/>
            <w:vAlign w:val="bottom"/>
            <w:vMerge w:val="restart"/>
          </w:tcPr>
          <w:p>
            <w:pPr>
              <w:jc w:val="right"/>
              <w:ind w:right="394"/>
              <w:spacing w:after="0"/>
              <w:rPr>
                <w:sz w:val="20"/>
                <w:szCs w:val="20"/>
                <w:color w:val="auto"/>
              </w:rPr>
            </w:pPr>
            <w:r>
              <w:rPr>
                <w:rFonts w:ascii="Arial" w:cs="Arial" w:eastAsia="Arial" w:hAnsi="Arial"/>
                <w:sz w:val="13"/>
                <w:szCs w:val="13"/>
                <w:b w:val="1"/>
                <w:bCs w:val="1"/>
                <w:color w:val="auto"/>
              </w:rPr>
              <w:t>09/30/2025</w:t>
            </w:r>
          </w:p>
        </w:tc>
        <w:tc>
          <w:tcPr>
            <w:tcW w:w="0" w:type="dxa"/>
            <w:vAlign w:val="bottom"/>
          </w:tcPr>
          <w:p>
            <w:pPr>
              <w:spacing w:after="0"/>
              <w:rPr>
                <w:sz w:val="1"/>
                <w:szCs w:val="1"/>
                <w:color w:val="auto"/>
              </w:rPr>
            </w:pPr>
          </w:p>
        </w:tc>
      </w:tr>
      <w:tr>
        <w:trPr>
          <w:trHeight w:val="175"/>
        </w:trPr>
        <w:tc>
          <w:tcPr>
            <w:tcW w:w="3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840" w:type="dxa"/>
            <w:vAlign w:val="bottom"/>
          </w:tcPr>
          <w:p>
            <w:pPr>
              <w:jc w:val="center"/>
              <w:ind w:right="15"/>
              <w:spacing w:after="0"/>
              <w:rPr>
                <w:sz w:val="20"/>
                <w:szCs w:val="20"/>
                <w:color w:val="auto"/>
              </w:rPr>
            </w:pPr>
            <w:r>
              <w:rPr>
                <w:rFonts w:ascii="Arial" w:cs="Arial" w:eastAsia="Arial" w:hAnsi="Arial"/>
                <w:sz w:val="13"/>
                <w:szCs w:val="13"/>
                <w:b w:val="1"/>
                <w:bCs w:val="1"/>
                <w:color w:val="auto"/>
                <w:w w:val="95"/>
              </w:rPr>
              <w:t>Gain/Loss</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7"/>
              </w:rPr>
              <w:t>Unrealized</w:t>
            </w:r>
          </w:p>
        </w:tc>
        <w:tc>
          <w:tcPr>
            <w:tcW w:w="920" w:type="dxa"/>
            <w:vAlign w:val="bottom"/>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Period Ended 09/30/2025</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9"/>
              </w:rPr>
              <w:t>Amount*</w:t>
            </w:r>
          </w:p>
        </w:tc>
        <w:tc>
          <w:tcPr>
            <w:tcW w:w="840" w:type="dxa"/>
            <w:vAlign w:val="bottom"/>
          </w:tcPr>
          <w:p>
            <w:pPr>
              <w:jc w:val="center"/>
              <w:ind w:right="15"/>
              <w:spacing w:after="0"/>
              <w:rPr>
                <w:sz w:val="20"/>
                <w:szCs w:val="20"/>
                <w:color w:val="auto"/>
              </w:rPr>
            </w:pPr>
            <w:r>
              <w:rPr>
                <w:rFonts w:ascii="Arial" w:cs="Arial" w:eastAsia="Arial" w:hAnsi="Arial"/>
                <w:sz w:val="13"/>
                <w:szCs w:val="13"/>
                <w:b w:val="1"/>
                <w:bCs w:val="1"/>
                <w:color w:val="auto"/>
                <w:w w:val="97"/>
              </w:rPr>
              <w:t>for Period</w:t>
            </w: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Appreciation</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8"/>
              </w:rPr>
              <w:t>Received</w:t>
            </w:r>
          </w:p>
        </w:tc>
        <w:tc>
          <w:tcPr>
            <w:tcW w:w="1360" w:type="dxa"/>
            <w:vAlign w:val="bottom"/>
          </w:tcPr>
          <w:p>
            <w:pPr>
              <w:ind w:left="42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35"/>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Security Name</w:t>
            </w:r>
          </w:p>
        </w:tc>
        <w:tc>
          <w:tcPr>
            <w:tcW w:w="1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84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2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3840" w:type="dxa"/>
            <w:vAlign w:val="bottom"/>
            <w:gridSpan w:val="2"/>
          </w:tcPr>
          <w:p>
            <w:pPr>
              <w:spacing w:after="0"/>
              <w:rPr>
                <w:sz w:val="20"/>
                <w:szCs w:val="20"/>
                <w:color w:val="auto"/>
              </w:rPr>
            </w:pPr>
            <w:r>
              <w:rPr>
                <w:rFonts w:ascii="Arial" w:cs="Arial" w:eastAsia="Arial" w:hAnsi="Arial"/>
                <w:sz w:val="14"/>
                <w:szCs w:val="14"/>
                <w:color w:val="auto"/>
              </w:rPr>
              <w:t>Community Funding 2018, LLC.,</w:t>
            </w:r>
          </w:p>
        </w:tc>
        <w:tc>
          <w:tcPr>
            <w:tcW w:w="1440" w:type="dxa"/>
            <w:vAlign w:val="bottom"/>
            <w:vMerge w:val="restart"/>
          </w:tcPr>
          <w:p>
            <w:pPr>
              <w:jc w:val="right"/>
              <w:ind w:right="34"/>
              <w:spacing w:after="0"/>
              <w:rPr>
                <w:sz w:val="20"/>
                <w:szCs w:val="20"/>
                <w:color w:val="auto"/>
              </w:rPr>
            </w:pPr>
            <w:r>
              <w:rPr>
                <w:rFonts w:ascii="Arial" w:cs="Arial" w:eastAsia="Arial" w:hAnsi="Arial"/>
                <w:sz w:val="14"/>
                <w:szCs w:val="14"/>
                <w:color w:val="auto"/>
              </w:rPr>
              <w:t>$14,860,000</w:t>
            </w:r>
          </w:p>
        </w:tc>
        <w:tc>
          <w:tcPr>
            <w:tcW w:w="840" w:type="dxa"/>
            <w:vAlign w:val="bottom"/>
            <w:vMerge w:val="restart"/>
          </w:tcPr>
          <w:p>
            <w:pPr>
              <w:jc w:val="center"/>
              <w:ind w:right="15"/>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auto"/>
              </w:rPr>
              <w:t>$305,039</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rPr>
              <w:t>$944,264</w:t>
            </w:r>
          </w:p>
        </w:tc>
        <w:tc>
          <w:tcPr>
            <w:tcW w:w="1360" w:type="dxa"/>
            <w:vAlign w:val="bottom"/>
            <w:vMerge w:val="restart"/>
          </w:tcPr>
          <w:p>
            <w:pPr>
              <w:jc w:val="right"/>
              <w:ind w:right="314"/>
              <w:spacing w:after="0"/>
              <w:rPr>
                <w:sz w:val="20"/>
                <w:szCs w:val="20"/>
                <w:color w:val="auto"/>
              </w:rPr>
            </w:pPr>
            <w:r>
              <w:rPr>
                <w:rFonts w:ascii="Arial" w:cs="Arial" w:eastAsia="Arial" w:hAnsi="Arial"/>
                <w:sz w:val="14"/>
                <w:szCs w:val="14"/>
                <w:color w:val="auto"/>
              </w:rPr>
              <w:t>$11,568,510</w:t>
            </w:r>
          </w:p>
        </w:tc>
        <w:tc>
          <w:tcPr>
            <w:tcW w:w="0" w:type="dxa"/>
            <w:vAlign w:val="bottom"/>
          </w:tcPr>
          <w:p>
            <w:pPr>
              <w:spacing w:after="0"/>
              <w:rPr>
                <w:sz w:val="1"/>
                <w:szCs w:val="1"/>
                <w:color w:val="auto"/>
              </w:rPr>
            </w:pPr>
          </w:p>
        </w:tc>
      </w:tr>
      <w:tr>
        <w:trPr>
          <w:trHeight w:val="202"/>
        </w:trPr>
        <w:tc>
          <w:tcPr>
            <w:tcW w:w="3840" w:type="dxa"/>
            <w:vAlign w:val="bottom"/>
            <w:gridSpan w:val="2"/>
          </w:tcPr>
          <w:p>
            <w:pPr>
              <w:ind w:left="160"/>
              <w:spacing w:after="0"/>
              <w:rPr>
                <w:sz w:val="20"/>
                <w:szCs w:val="20"/>
                <w:color w:val="auto"/>
              </w:rPr>
            </w:pPr>
            <w:r>
              <w:rPr>
                <w:rFonts w:ascii="Arial" w:cs="Arial" w:eastAsia="Arial" w:hAnsi="Arial"/>
                <w:sz w:val="14"/>
                <w:szCs w:val="14"/>
                <w:color w:val="auto"/>
              </w:rPr>
              <w:t>Preferred shares, 10.87%*</w:t>
            </w:r>
          </w:p>
        </w:tc>
        <w:tc>
          <w:tcPr>
            <w:tcW w:w="14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2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balance at the beginning of the period was $14,860,000. During the period the Fund made no additions or sales of the position and received no paydowns.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listing of the underlying unsecured loans that were made by Community Funding 2018, LLC.</w:t>
      </w:r>
    </w:p>
    <w:p>
      <w:pPr>
        <w:sectPr>
          <w:pgSz w:w="11900" w:h="16838" w:orient="portrait"/>
          <w:cols w:equalWidth="0" w:num="1">
            <w:col w:w="10139"/>
          </w:cols>
          <w:pgMar w:left="320" w:top="149" w:right="1440" w:bottom="0" w:gutter="0" w:footer="0" w:header="0"/>
        </w:sectPr>
      </w:pP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2060" w:type="dxa"/>
            <w:vAlign w:val="bottom"/>
          </w:tcPr>
          <w:p>
            <w:pPr>
              <w:jc w:val="center"/>
              <w:ind w:left="497"/>
              <w:spacing w:after="0"/>
              <w:rPr>
                <w:sz w:val="20"/>
                <w:szCs w:val="20"/>
                <w:color w:val="auto"/>
              </w:rPr>
            </w:pPr>
            <w:r>
              <w:rPr>
                <w:rFonts w:ascii="Arial" w:cs="Arial" w:eastAsia="Arial" w:hAnsi="Arial"/>
                <w:sz w:val="13"/>
                <w:szCs w:val="13"/>
                <w:b w:val="1"/>
                <w:bCs w:val="1"/>
                <w:color w:val="auto"/>
                <w:w w:val="98"/>
              </w:rPr>
              <w:t>Principal</w:t>
            </w:r>
          </w:p>
        </w:tc>
        <w:tc>
          <w:tcPr>
            <w:tcW w:w="860" w:type="dxa"/>
            <w:vAlign w:val="bottom"/>
          </w:tcPr>
          <w:p>
            <w:pPr>
              <w:spacing w:after="0"/>
              <w:rPr>
                <w:sz w:val="14"/>
                <w:szCs w:val="14"/>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3"/>
                <w:szCs w:val="13"/>
                <w:b w:val="1"/>
                <w:bCs w:val="1"/>
                <w:color w:val="auto"/>
              </w:rPr>
              <w:t>Bank Name</w:t>
            </w:r>
          </w:p>
        </w:tc>
        <w:tc>
          <w:tcPr>
            <w:tcW w:w="2060" w:type="dxa"/>
            <w:vAlign w:val="bottom"/>
          </w:tcPr>
          <w:p>
            <w:pPr>
              <w:jc w:val="center"/>
              <w:ind w:left="477"/>
              <w:spacing w:after="0"/>
              <w:rPr>
                <w:sz w:val="20"/>
                <w:szCs w:val="20"/>
                <w:color w:val="auto"/>
              </w:rPr>
            </w:pPr>
            <w:r>
              <w:rPr>
                <w:rFonts w:ascii="Arial" w:cs="Arial" w:eastAsia="Arial" w:hAnsi="Arial"/>
                <w:sz w:val="13"/>
                <w:szCs w:val="13"/>
                <w:b w:val="1"/>
                <w:bCs w:val="1"/>
                <w:color w:val="auto"/>
                <w:w w:val="97"/>
              </w:rPr>
              <w:t>Amount</w:t>
            </w:r>
          </w:p>
        </w:tc>
        <w:tc>
          <w:tcPr>
            <w:tcW w:w="860" w:type="dxa"/>
            <w:vAlign w:val="bottom"/>
          </w:tcPr>
          <w:p>
            <w:pPr>
              <w:ind w:left="500"/>
              <w:spacing w:after="0"/>
              <w:rPr>
                <w:sz w:val="20"/>
                <w:szCs w:val="20"/>
                <w:color w:val="auto"/>
              </w:rPr>
            </w:pPr>
            <w:r>
              <w:rPr>
                <w:rFonts w:ascii="Arial" w:cs="Arial" w:eastAsia="Arial" w:hAnsi="Arial"/>
                <w:sz w:val="13"/>
                <w:szCs w:val="13"/>
                <w:b w:val="1"/>
                <w:bCs w:val="1"/>
                <w:color w:val="auto"/>
              </w:rPr>
              <w:t>State</w:t>
            </w:r>
          </w:p>
        </w:tc>
      </w:tr>
      <w:tr>
        <w:trPr>
          <w:trHeight w:val="35"/>
        </w:trPr>
        <w:tc>
          <w:tcPr>
            <w:tcW w:w="1740" w:type="dxa"/>
            <w:vAlign w:val="bottom"/>
            <w:tcBorders>
              <w:bottom w:val="single" w:sz="8" w:color="auto"/>
            </w:tcBorders>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bl>
    <w:p>
      <w:pPr>
        <w:sectPr>
          <w:pgSz w:w="11900" w:h="16838" w:orient="portrait"/>
          <w:cols w:equalWidth="0" w:num="1">
            <w:col w:w="10139"/>
          </w:cols>
          <w:pgMar w:left="320" w:top="149" w:right="1440" w:bottom="0" w:gutter="0" w:footer="0" w:header="0"/>
          <w:type w:val="continuous"/>
        </w:sectPr>
      </w:pPr>
    </w:p>
    <w:bookmarkStart w:id="199" w:name="page200"/>
    <w:bookmarkEnd w:id="19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97790</wp:posOffset>
            </wp:positionV>
            <wp:extent cx="2957195"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20"/>
                <w:szCs w:val="20"/>
                <w:color w:val="auto"/>
              </w:rPr>
            </w:pPr>
            <w:r>
              <w:rPr>
                <w:rFonts w:ascii="Arial" w:cs="Arial" w:eastAsia="Arial" w:hAnsi="Arial"/>
                <w:sz w:val="14"/>
                <w:szCs w:val="14"/>
                <w:color w:val="auto"/>
              </w:rPr>
              <w:t>Big Poppy Holdings, Inc.</w:t>
            </w:r>
          </w:p>
        </w:tc>
        <w:tc>
          <w:tcPr>
            <w:tcW w:w="1240" w:type="dxa"/>
            <w:vAlign w:val="bottom"/>
          </w:tcPr>
          <w:p>
            <w:pPr>
              <w:jc w:val="right"/>
              <w:spacing w:after="0"/>
              <w:rPr>
                <w:sz w:val="20"/>
                <w:szCs w:val="20"/>
                <w:color w:val="auto"/>
              </w:rPr>
            </w:pPr>
            <w:r>
              <w:rPr>
                <w:rFonts w:ascii="Arial" w:cs="Arial" w:eastAsia="Arial" w:hAnsi="Arial"/>
                <w:sz w:val="14"/>
                <w:szCs w:val="14"/>
                <w:color w:val="auto"/>
              </w:rPr>
              <w:t>$  9,000,000</w:t>
            </w:r>
          </w:p>
        </w:tc>
        <w:tc>
          <w:tcPr>
            <w:tcW w:w="960" w:type="dxa"/>
            <w:vAlign w:val="bottom"/>
          </w:tcPr>
          <w:p>
            <w:pPr>
              <w:jc w:val="right"/>
              <w:spacing w:after="0"/>
              <w:rPr>
                <w:sz w:val="20"/>
                <w:szCs w:val="20"/>
                <w:color w:val="auto"/>
              </w:rPr>
            </w:pPr>
            <w:r>
              <w:rPr>
                <w:rFonts w:ascii="Arial" w:cs="Arial" w:eastAsia="Arial" w:hAnsi="Arial"/>
                <w:sz w:val="14"/>
                <w:szCs w:val="14"/>
                <w:color w:val="auto"/>
              </w:rPr>
              <w:t>California</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Delmar Bancorp</w:t>
            </w:r>
          </w:p>
        </w:tc>
        <w:tc>
          <w:tcPr>
            <w:tcW w:w="1240" w:type="dxa"/>
            <w:vAlign w:val="bottom"/>
          </w:tcPr>
          <w:p>
            <w:pPr>
              <w:jc w:val="right"/>
              <w:spacing w:after="0"/>
              <w:rPr>
                <w:sz w:val="20"/>
                <w:szCs w:val="20"/>
                <w:color w:val="auto"/>
              </w:rPr>
            </w:pPr>
            <w:r>
              <w:rPr>
                <w:rFonts w:ascii="Arial" w:cs="Arial" w:eastAsia="Arial" w:hAnsi="Arial"/>
                <w:sz w:val="14"/>
                <w:szCs w:val="14"/>
                <w:color w:val="auto"/>
              </w:rPr>
              <w:t>4,500,000</w:t>
            </w:r>
          </w:p>
        </w:tc>
        <w:tc>
          <w:tcPr>
            <w:tcW w:w="960" w:type="dxa"/>
            <w:vAlign w:val="bottom"/>
          </w:tcPr>
          <w:p>
            <w:pPr>
              <w:jc w:val="right"/>
              <w:spacing w:after="0"/>
              <w:rPr>
                <w:sz w:val="20"/>
                <w:szCs w:val="20"/>
                <w:color w:val="auto"/>
              </w:rPr>
            </w:pPr>
            <w:r>
              <w:rPr>
                <w:rFonts w:ascii="Arial" w:cs="Arial" w:eastAsia="Arial" w:hAnsi="Arial"/>
                <w:sz w:val="14"/>
                <w:szCs w:val="14"/>
                <w:color w:val="auto"/>
              </w:rPr>
              <w:t>Maryland</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Fidelity Federal Bancorp</w:t>
            </w:r>
          </w:p>
        </w:tc>
        <w:tc>
          <w:tcPr>
            <w:tcW w:w="1240" w:type="dxa"/>
            <w:vAlign w:val="bottom"/>
          </w:tcPr>
          <w:p>
            <w:pPr>
              <w:jc w:val="right"/>
              <w:spacing w:after="0"/>
              <w:rPr>
                <w:sz w:val="20"/>
                <w:szCs w:val="20"/>
                <w:color w:val="auto"/>
              </w:rPr>
            </w:pPr>
            <w:r>
              <w:rPr>
                <w:rFonts w:ascii="Arial" w:cs="Arial" w:eastAsia="Arial" w:hAnsi="Arial"/>
                <w:sz w:val="14"/>
                <w:szCs w:val="14"/>
                <w:color w:val="auto"/>
              </w:rPr>
              <w:t>8,000,000</w:t>
            </w:r>
          </w:p>
        </w:tc>
        <w:tc>
          <w:tcPr>
            <w:tcW w:w="960" w:type="dxa"/>
            <w:vAlign w:val="bottom"/>
          </w:tcPr>
          <w:p>
            <w:pPr>
              <w:jc w:val="right"/>
              <w:spacing w:after="0"/>
              <w:rPr>
                <w:sz w:val="20"/>
                <w:szCs w:val="20"/>
                <w:color w:val="auto"/>
              </w:rPr>
            </w:pPr>
            <w:r>
              <w:rPr>
                <w:rFonts w:ascii="Arial" w:cs="Arial" w:eastAsia="Arial" w:hAnsi="Arial"/>
                <w:sz w:val="14"/>
                <w:szCs w:val="14"/>
                <w:color w:val="auto"/>
              </w:rPr>
              <w:t>Indiana</w:t>
            </w:r>
          </w:p>
        </w:tc>
      </w:tr>
      <w:tr>
        <w:trPr>
          <w:trHeight w:val="230"/>
        </w:trPr>
        <w:tc>
          <w:tcPr>
            <w:tcW w:w="2420" w:type="dxa"/>
            <w:vAlign w:val="bottom"/>
          </w:tcPr>
          <w:p>
            <w:pPr>
              <w:spacing w:after="0"/>
              <w:rPr>
                <w:sz w:val="20"/>
                <w:szCs w:val="20"/>
                <w:color w:val="auto"/>
              </w:rPr>
            </w:pPr>
            <w:r>
              <w:rPr>
                <w:rFonts w:ascii="Arial" w:cs="Arial" w:eastAsia="Arial" w:hAnsi="Arial"/>
                <w:sz w:val="14"/>
                <w:szCs w:val="14"/>
                <w:color w:val="auto"/>
              </w:rPr>
              <w:t>First Bancshares, Inc.</w:t>
            </w:r>
          </w:p>
        </w:tc>
        <w:tc>
          <w:tcPr>
            <w:tcW w:w="1240" w:type="dxa"/>
            <w:vAlign w:val="bottom"/>
          </w:tcPr>
          <w:p>
            <w:pPr>
              <w:jc w:val="right"/>
              <w:spacing w:after="0"/>
              <w:rPr>
                <w:sz w:val="20"/>
                <w:szCs w:val="20"/>
                <w:color w:val="auto"/>
              </w:rPr>
            </w:pPr>
            <w:r>
              <w:rPr>
                <w:rFonts w:ascii="Arial" w:cs="Arial" w:eastAsia="Arial" w:hAnsi="Arial"/>
                <w:sz w:val="14"/>
                <w:szCs w:val="14"/>
                <w:color w:val="auto"/>
              </w:rPr>
              <w:t>10,000,000</w:t>
            </w:r>
          </w:p>
        </w:tc>
        <w:tc>
          <w:tcPr>
            <w:tcW w:w="960" w:type="dxa"/>
            <w:vAlign w:val="bottom"/>
          </w:tcPr>
          <w:p>
            <w:pPr>
              <w:jc w:val="right"/>
              <w:spacing w:after="0"/>
              <w:rPr>
                <w:sz w:val="20"/>
                <w:szCs w:val="20"/>
                <w:color w:val="auto"/>
              </w:rPr>
            </w:pPr>
            <w:r>
              <w:rPr>
                <w:rFonts w:ascii="Arial" w:cs="Arial" w:eastAsia="Arial" w:hAnsi="Arial"/>
                <w:sz w:val="14"/>
                <w:szCs w:val="14"/>
                <w:color w:val="auto"/>
              </w:rPr>
              <w:t>Mississippi</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Halbur Bancshares</w:t>
            </w:r>
          </w:p>
        </w:tc>
        <w:tc>
          <w:tcPr>
            <w:tcW w:w="1240" w:type="dxa"/>
            <w:vAlign w:val="bottom"/>
          </w:tcPr>
          <w:p>
            <w:pPr>
              <w:jc w:val="right"/>
              <w:spacing w:after="0"/>
              <w:rPr>
                <w:sz w:val="20"/>
                <w:szCs w:val="20"/>
                <w:color w:val="auto"/>
              </w:rPr>
            </w:pPr>
            <w:r>
              <w:rPr>
                <w:rFonts w:ascii="Arial" w:cs="Arial" w:eastAsia="Arial" w:hAnsi="Arial"/>
                <w:sz w:val="14"/>
                <w:szCs w:val="14"/>
                <w:color w:val="auto"/>
              </w:rPr>
              <w:t>3,000,000</w:t>
            </w:r>
          </w:p>
        </w:tc>
        <w:tc>
          <w:tcPr>
            <w:tcW w:w="960" w:type="dxa"/>
            <w:vAlign w:val="bottom"/>
          </w:tcPr>
          <w:p>
            <w:pPr>
              <w:jc w:val="right"/>
              <w:spacing w:after="0"/>
              <w:rPr>
                <w:sz w:val="20"/>
                <w:szCs w:val="20"/>
                <w:color w:val="auto"/>
              </w:rPr>
            </w:pPr>
            <w:r>
              <w:rPr>
                <w:rFonts w:ascii="Arial" w:cs="Arial" w:eastAsia="Arial" w:hAnsi="Arial"/>
                <w:sz w:val="14"/>
                <w:szCs w:val="14"/>
                <w:color w:val="auto"/>
              </w:rPr>
              <w:t>Iowa</w:t>
            </w:r>
          </w:p>
        </w:tc>
      </w:tr>
      <w:tr>
        <w:trPr>
          <w:trHeight w:val="229"/>
        </w:trPr>
        <w:tc>
          <w:tcPr>
            <w:tcW w:w="2420" w:type="dxa"/>
            <w:vAlign w:val="bottom"/>
          </w:tcPr>
          <w:p>
            <w:pPr>
              <w:spacing w:after="0"/>
              <w:rPr>
                <w:sz w:val="20"/>
                <w:szCs w:val="20"/>
                <w:color w:val="auto"/>
              </w:rPr>
            </w:pPr>
            <w:r>
              <w:rPr>
                <w:rFonts w:ascii="Arial" w:cs="Arial" w:eastAsia="Arial" w:hAnsi="Arial"/>
                <w:sz w:val="14"/>
                <w:szCs w:val="14"/>
                <w:color w:val="auto"/>
              </w:rPr>
              <w:t>Vintage Bancorp</w:t>
            </w:r>
          </w:p>
        </w:tc>
        <w:tc>
          <w:tcPr>
            <w:tcW w:w="1240" w:type="dxa"/>
            <w:vAlign w:val="bottom"/>
          </w:tcPr>
          <w:p>
            <w:pPr>
              <w:jc w:val="right"/>
              <w:spacing w:after="0"/>
              <w:rPr>
                <w:sz w:val="20"/>
                <w:szCs w:val="20"/>
                <w:color w:val="auto"/>
              </w:rPr>
            </w:pPr>
            <w:r>
              <w:rPr>
                <w:rFonts w:ascii="Arial" w:cs="Arial" w:eastAsia="Arial" w:hAnsi="Arial"/>
                <w:sz w:val="14"/>
                <w:szCs w:val="14"/>
                <w:color w:val="auto"/>
              </w:rPr>
              <w:t>1,650,000</w:t>
            </w:r>
          </w:p>
        </w:tc>
        <w:tc>
          <w:tcPr>
            <w:tcW w:w="960" w:type="dxa"/>
            <w:vAlign w:val="bottom"/>
          </w:tcPr>
          <w:p>
            <w:pPr>
              <w:jc w:val="right"/>
              <w:spacing w:after="0"/>
              <w:rPr>
                <w:sz w:val="20"/>
                <w:szCs w:val="20"/>
                <w:color w:val="auto"/>
              </w:rPr>
            </w:pPr>
            <w:r>
              <w:rPr>
                <w:rFonts w:ascii="Arial" w:cs="Arial" w:eastAsia="Arial" w:hAnsi="Arial"/>
                <w:sz w:val="14"/>
                <w:szCs w:val="14"/>
                <w:color w:val="auto"/>
              </w:rPr>
              <w:t>Kansas</w:t>
            </w:r>
          </w:p>
        </w:tc>
      </w:tr>
      <w:tr>
        <w:trPr>
          <w:trHeight w:val="35"/>
        </w:trPr>
        <w:tc>
          <w:tcPr>
            <w:tcW w:w="24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r>
      <w:tr>
        <w:trPr>
          <w:trHeight w:val="235"/>
        </w:trPr>
        <w:tc>
          <w:tcPr>
            <w:tcW w:w="242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$36,150,000</w:t>
            </w:r>
          </w:p>
        </w:tc>
        <w:tc>
          <w:tcPr>
            <w:tcW w:w="960" w:type="dxa"/>
            <w:vAlign w:val="bottom"/>
          </w:tcPr>
          <w:p>
            <w:pPr>
              <w:spacing w:after="0"/>
              <w:rPr>
                <w:sz w:val="20"/>
                <w:szCs w:val="20"/>
                <w:color w:val="auto"/>
              </w:rPr>
            </w:pPr>
          </w:p>
        </w:tc>
      </w:tr>
      <w:tr>
        <w:trPr>
          <w:trHeight w:val="20"/>
        </w:trPr>
        <w:tc>
          <w:tcPr>
            <w:tcW w:w="2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 w:hanging="272"/>
        <w:spacing w:after="0"/>
        <w:tabs>
          <w:tab w:leader="none" w:pos="440" w:val="left"/>
        </w:tabs>
        <w:numPr>
          <w:ilvl w:val="0"/>
          <w:numId w:val="132"/>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4"/>
          <w:szCs w:val="14"/>
          <w:color w:val="296B38"/>
        </w:rPr>
        <w:t>See Notes to Schedule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85280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7157720" cy="85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20" w:right="3059"/>
        <w:spacing w:after="0" w:line="247" w:lineRule="auto"/>
        <w:rPr>
          <w:sz w:val="20"/>
          <w:szCs w:val="20"/>
          <w:color w:val="auto"/>
        </w:rPr>
      </w:pPr>
      <w:r>
        <w:rPr>
          <w:rFonts w:ascii="Arial" w:cs="Arial" w:eastAsia="Arial" w:hAnsi="Arial"/>
          <w:sz w:val="29"/>
          <w:szCs w:val="29"/>
          <w:color w:val="FFFFFF"/>
        </w:rPr>
        <w:t>Notes to Consolidated Schedule of Investments (unaudited)</w:t>
      </w:r>
    </w:p>
    <w:p>
      <w:pPr>
        <w:spacing w:after="0" w:line="200" w:lineRule="exact"/>
        <w:rPr>
          <w:sz w:val="20"/>
          <w:szCs w:val="20"/>
          <w:color w:val="auto"/>
        </w:rPr>
      </w:pPr>
    </w:p>
    <w:p>
      <w:pPr>
        <w:spacing w:after="0" w:line="275" w:lineRule="exact"/>
        <w:rPr>
          <w:sz w:val="20"/>
          <w:szCs w:val="20"/>
          <w:color w:val="auto"/>
        </w:rPr>
      </w:pPr>
    </w:p>
    <w:p>
      <w:pPr>
        <w:jc w:val="both"/>
        <w:ind w:right="539"/>
        <w:spacing w:after="0" w:line="248" w:lineRule="auto"/>
        <w:rPr>
          <w:sz w:val="20"/>
          <w:szCs w:val="20"/>
          <w:color w:val="auto"/>
        </w:rPr>
      </w:pPr>
      <w:r>
        <w:rPr>
          <w:rFonts w:ascii="Arial" w:cs="Arial" w:eastAsia="Arial" w:hAnsi="Arial"/>
          <w:sz w:val="29"/>
          <w:szCs w:val="29"/>
          <w:b w:val="1"/>
          <w:bCs w:val="1"/>
          <w:i w:val="1"/>
          <w:iCs w:val="1"/>
          <w:color w:val="auto"/>
        </w:rPr>
        <w:t>Investment Valuation</w:t>
      </w:r>
      <w:r>
        <w:rPr>
          <w:rFonts w:ascii="Arial" w:cs="Arial" w:eastAsia="Arial" w:hAnsi="Arial"/>
          <w:sz w:val="29"/>
          <w:szCs w:val="29"/>
          <w:color w:val="auto"/>
        </w:rPr>
        <w:t>– The most significant estimates made in the</w:t>
      </w:r>
      <w:r>
        <w:rPr>
          <w:rFonts w:ascii="Arial" w:cs="Arial" w:eastAsia="Arial" w:hAnsi="Arial"/>
          <w:sz w:val="29"/>
          <w:szCs w:val="29"/>
          <w:b w:val="1"/>
          <w:bCs w:val="1"/>
          <w:i w:val="1"/>
          <w:iCs w:val="1"/>
          <w:color w:val="auto"/>
        </w:rPr>
        <w:t xml:space="preserve"> </w:t>
      </w:r>
      <w:r>
        <w:rPr>
          <w:rFonts w:ascii="Arial" w:cs="Arial" w:eastAsia="Arial" w:hAnsi="Arial"/>
          <w:sz w:val="29"/>
          <w:szCs w:val="29"/>
          <w:color w:val="auto"/>
        </w:rPr>
        <w:t>preparation of the financial statements of ArrowMark Financial Corp (“AMFC” or the “Company”). are the valuation of equity and debt investments and the effective yield calculation with respect to certain debt securities, as well as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that AMFC makes. The Company is required to specifically fair value each individual investment on a quarterly basis.</w:t>
      </w:r>
    </w:p>
    <w:p>
      <w:pPr>
        <w:spacing w:after="0" w:line="158" w:lineRule="exact"/>
        <w:rPr>
          <w:sz w:val="20"/>
          <w:szCs w:val="20"/>
          <w:color w:val="auto"/>
        </w:rPr>
      </w:pPr>
    </w:p>
    <w:p>
      <w:pPr>
        <w:jc w:val="both"/>
        <w:ind w:right="539"/>
        <w:spacing w:after="0" w:line="249" w:lineRule="auto"/>
        <w:rPr>
          <w:sz w:val="20"/>
          <w:szCs w:val="20"/>
          <w:color w:val="auto"/>
        </w:rPr>
      </w:pPr>
      <w:r>
        <w:rPr>
          <w:rFonts w:ascii="Arial" w:cs="Arial" w:eastAsia="Arial" w:hAnsi="Arial"/>
          <w:sz w:val="29"/>
          <w:szCs w:val="29"/>
          <w:color w:val="auto"/>
        </w:rPr>
        <w:t>The Company complies with ASC 820-10, Fair Value Measurements and Disclosure, which establishes a three-level valuation hierarchy for disclosure of fair value measurements. 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(i.e. the “exit price”) in an orderly transaction between market participants at the measurement date. ASC 820-10 also establishes the following three-tier fair value hierarchy:</w:t>
      </w:r>
    </w:p>
    <w:p>
      <w:pPr>
        <w:spacing w:after="0" w:line="145" w:lineRule="exact"/>
        <w:rPr>
          <w:sz w:val="20"/>
          <w:szCs w:val="20"/>
          <w:color w:val="auto"/>
        </w:rPr>
      </w:pPr>
    </w:p>
    <w:p>
      <w:pPr>
        <w:ind w:left="180" w:hanging="172"/>
        <w:spacing w:after="0"/>
        <w:tabs>
          <w:tab w:leader="none" w:pos="180" w:val="left"/>
        </w:tabs>
        <w:numPr>
          <w:ilvl w:val="0"/>
          <w:numId w:val="133"/>
        </w:numPr>
        <w:rPr>
          <w:rFonts w:ascii="Arial" w:cs="Arial" w:eastAsia="Arial" w:hAnsi="Arial"/>
          <w:sz w:val="29"/>
          <w:szCs w:val="29"/>
          <w:color w:val="auto"/>
        </w:rPr>
      </w:pPr>
      <w:r>
        <w:rPr>
          <w:rFonts w:ascii="Arial" w:cs="Arial" w:eastAsia="Arial" w:hAnsi="Arial"/>
          <w:sz w:val="29"/>
          <w:szCs w:val="29"/>
          <w:color w:val="auto"/>
        </w:rPr>
        <w:t>Level 1— Quoted prices in active markets for identical securities;</w:t>
      </w:r>
    </w:p>
    <w:p>
      <w:pPr>
        <w:spacing w:after="0" w:line="193" w:lineRule="exact"/>
        <w:rPr>
          <w:rFonts w:ascii="Arial" w:cs="Arial" w:eastAsia="Arial" w:hAnsi="Arial"/>
          <w:sz w:val="29"/>
          <w:szCs w:val="29"/>
          <w:color w:val="auto"/>
        </w:rPr>
      </w:pPr>
    </w:p>
    <w:p>
      <w:pPr>
        <w:jc w:val="both"/>
        <w:ind w:left="120" w:right="539" w:hanging="112"/>
        <w:spacing w:after="0" w:line="257" w:lineRule="auto"/>
        <w:tabs>
          <w:tab w:leader="none" w:pos="212" w:val="left"/>
        </w:tabs>
        <w:numPr>
          <w:ilvl w:val="0"/>
          <w:numId w:val="133"/>
        </w:numPr>
        <w:rPr>
          <w:rFonts w:ascii="Arial" w:cs="Arial" w:eastAsia="Arial" w:hAnsi="Arial"/>
          <w:sz w:val="29"/>
          <w:szCs w:val="29"/>
          <w:color w:val="auto"/>
        </w:rPr>
      </w:pPr>
      <w:r>
        <w:rPr>
          <w:rFonts w:ascii="Arial" w:cs="Arial" w:eastAsia="Arial" w:hAnsi="Arial"/>
          <w:sz w:val="29"/>
          <w:szCs w:val="29"/>
          <w:color w:val="auto"/>
        </w:rPr>
        <w:t>Level 2 — Other significant observable inputs. These inputs may include quoted prices for the identical instrument on an active market, prices for similar instruments, interest rates, prepayment speeds, credit risk, yield curves, default rates, and similar data; and</w:t>
      </w:r>
    </w:p>
    <w:p>
      <w:pPr>
        <w:spacing w:after="0" w:line="137" w:lineRule="exact"/>
        <w:rPr>
          <w:rFonts w:ascii="Arial" w:cs="Arial" w:eastAsia="Arial" w:hAnsi="Arial"/>
          <w:sz w:val="29"/>
          <w:szCs w:val="29"/>
          <w:color w:val="auto"/>
        </w:rPr>
      </w:pPr>
    </w:p>
    <w:p>
      <w:pPr>
        <w:jc w:val="both"/>
        <w:ind w:left="120" w:right="539" w:hanging="112"/>
        <w:spacing w:after="0" w:line="276" w:lineRule="auto"/>
        <w:tabs>
          <w:tab w:leader="none" w:pos="209" w:val="left"/>
        </w:tabs>
        <w:numPr>
          <w:ilvl w:val="0"/>
          <w:numId w:val="133"/>
        </w:numPr>
        <w:rPr>
          <w:rFonts w:ascii="Arial" w:cs="Arial" w:eastAsia="Arial" w:hAnsi="Arial"/>
          <w:sz w:val="29"/>
          <w:szCs w:val="29"/>
          <w:color w:val="auto"/>
        </w:rPr>
      </w:pPr>
      <w:r>
        <w:rPr>
          <w:rFonts w:ascii="Arial" w:cs="Arial" w:eastAsia="Arial" w:hAnsi="Arial"/>
          <w:sz w:val="29"/>
          <w:szCs w:val="29"/>
          <w:color w:val="auto"/>
        </w:rPr>
        <w:t>Level 3 — Significant unobservable inputs, including the Company’s own determinations about the assumptions that a market participant would use</w:t>
      </w:r>
    </w:p>
    <w:p>
      <w:pPr>
        <w:sectPr>
          <w:pgSz w:w="11900" w:h="16838" w:orient="portrait"/>
          <w:cols w:equalWidth="0" w:num="1">
            <w:col w:w="10139"/>
          </w:cols>
          <w:pgMar w:left="320" w:top="198" w:right="1440" w:bottom="90" w:gutter="0" w:footer="0" w:header="0"/>
        </w:sectPr>
      </w:pPr>
    </w:p>
    <w:bookmarkStart w:id="200" w:name="page201"/>
    <w:bookmarkEnd w:id="200"/>
    <w:p>
      <w:pPr>
        <w:spacing w:after="0" w:line="5" w:lineRule="exact"/>
        <w:rPr>
          <w:sz w:val="20"/>
          <w:szCs w:val="20"/>
          <w:color w:val="auto"/>
        </w:rPr>
      </w:pPr>
    </w:p>
    <w:p>
      <w:pPr>
        <w:ind w:left="120" w:right="539"/>
        <w:spacing w:after="0" w:line="276" w:lineRule="auto"/>
        <w:rPr>
          <w:sz w:val="20"/>
          <w:szCs w:val="20"/>
          <w:color w:val="auto"/>
        </w:rPr>
      </w:pPr>
      <w:r>
        <w:rPr>
          <w:rFonts w:ascii="Arial" w:cs="Arial" w:eastAsia="Arial" w:hAnsi="Arial"/>
          <w:sz w:val="29"/>
          <w:szCs w:val="29"/>
          <w:color w:val="auto"/>
        </w:rPr>
        <w:t>in valuing the asset or liability, and that would be based on the best information available.</w:t>
      </w:r>
    </w:p>
    <w:p>
      <w:pPr>
        <w:spacing w:after="0" w:line="110" w:lineRule="exact"/>
        <w:rPr>
          <w:sz w:val="20"/>
          <w:szCs w:val="20"/>
          <w:color w:val="auto"/>
        </w:rPr>
      </w:pPr>
    </w:p>
    <w:p>
      <w:pPr>
        <w:jc w:val="both"/>
        <w:ind w:right="539"/>
        <w:spacing w:after="0" w:line="253" w:lineRule="auto"/>
        <w:rPr>
          <w:sz w:val="20"/>
          <w:szCs w:val="20"/>
          <w:color w:val="auto"/>
        </w:rPr>
      </w:pPr>
      <w:r>
        <w:rPr>
          <w:rFonts w:ascii="Arial" w:cs="Arial" w:eastAsia="Arial" w:hAnsi="Arial"/>
          <w:sz w:val="29"/>
          <w:szCs w:val="29"/>
          <w:color w:val="auto"/>
        </w:rPr>
        <w:t>To the extent securities owned by the Company are actively traded and valuation adjustments are not applied, they are categorized in Level 1 of the fair value hierarchy. Securities traded on inactive markets or valued by reference to similar instruments are generally categorized in Level 2 of the fair value hierarchy.</w:t>
      </w:r>
    </w:p>
    <w:p>
      <w:pPr>
        <w:spacing w:after="0" w:line="132" w:lineRule="exact"/>
        <w:rPr>
          <w:sz w:val="20"/>
          <w:szCs w:val="20"/>
          <w:color w:val="auto"/>
        </w:rPr>
      </w:pPr>
    </w:p>
    <w:p>
      <w:pPr>
        <w:jc w:val="both"/>
        <w:ind w:right="539"/>
        <w:spacing w:after="0" w:line="248" w:lineRule="auto"/>
        <w:rPr>
          <w:sz w:val="20"/>
          <w:szCs w:val="20"/>
          <w:color w:val="auto"/>
        </w:rPr>
      </w:pPr>
      <w:r>
        <w:rPr>
          <w:rFonts w:ascii="Arial" w:cs="Arial" w:eastAsia="Arial" w:hAnsi="Arial"/>
          <w:sz w:val="29"/>
          <w:szCs w:val="29"/>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judgement.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ready market for the securities existed. Accordingly, the degree of judgment exercised by AMFC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 The valuation levels are not necessarily an indication of the risk associated with investing in those securities.</w:t>
      </w:r>
    </w:p>
    <w:p>
      <w:pPr>
        <w:spacing w:after="0" w:line="322" w:lineRule="exact"/>
        <w:rPr>
          <w:sz w:val="20"/>
          <w:szCs w:val="20"/>
          <w:color w:val="auto"/>
        </w:rPr>
      </w:pPr>
    </w:p>
    <w:p>
      <w:pPr>
        <w:ind w:left="7000"/>
        <w:spacing w:after="0"/>
        <w:tabs>
          <w:tab w:leader="none" w:pos="8920" w:val="left"/>
        </w:tabs>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sz w:val="20"/>
          <w:szCs w:val="20"/>
          <w:color w:val="auto"/>
        </w:rPr>
        <w:tab/>
      </w:r>
      <w:r>
        <w:rPr>
          <w:rFonts w:ascii="Arial" w:cs="Arial" w:eastAsia="Arial" w:hAnsi="Arial"/>
          <w:sz w:val="16"/>
          <w:szCs w:val="16"/>
          <w:color w:val="296B3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05" w:lineRule="exact"/>
        <w:rPr>
          <w:sz w:val="20"/>
          <w:szCs w:val="20"/>
          <w:color w:val="auto"/>
        </w:rPr>
      </w:pPr>
    </w:p>
    <w:p>
      <w:pPr>
        <w:jc w:val="both"/>
        <w:ind w:right="539"/>
        <w:spacing w:after="0" w:line="248" w:lineRule="auto"/>
        <w:rPr>
          <w:sz w:val="20"/>
          <w:szCs w:val="20"/>
          <w:color w:val="auto"/>
        </w:rPr>
      </w:pPr>
      <w:r>
        <w:rPr>
          <w:rFonts w:ascii="Arial" w:cs="Arial" w:eastAsia="Arial" w:hAnsi="Arial"/>
          <w:sz w:val="29"/>
          <w:szCs w:val="29"/>
          <w:color w:val="auto"/>
        </w:rPr>
        <w:t>Fair value is a market-based measure considered from the perspective of a market participant rather than an entity-specific measure. Therefore, even when market assumptions are not readily available, AMFC’s own assumptions are set to reflect those that market participants would use in pricing the asset or liability at the measurement date. AMFC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159" w:lineRule="exact"/>
        <w:rPr>
          <w:sz w:val="20"/>
          <w:szCs w:val="20"/>
          <w:color w:val="auto"/>
        </w:rPr>
      </w:pPr>
    </w:p>
    <w:p>
      <w:pPr>
        <w:jc w:val="both"/>
        <w:ind w:right="539"/>
        <w:spacing w:after="0" w:line="251" w:lineRule="auto"/>
        <w:rPr>
          <w:sz w:val="20"/>
          <w:szCs w:val="20"/>
          <w:color w:val="auto"/>
        </w:rPr>
      </w:pPr>
      <w:r>
        <w:rPr>
          <w:rFonts w:ascii="Arial" w:cs="Arial" w:eastAsia="Arial" w:hAnsi="Arial"/>
          <w:sz w:val="29"/>
          <w:szCs w:val="29"/>
          <w:color w:val="auto"/>
        </w:rPr>
        <w:t>AMFC will determine fair value of its assets and liabilities in accordance with valuation procedures adopted by its Board of Directors. The Company may utilize the services of one or more regionally or nationally recognized independent valuation firms to help it determine the value of each investment for which a market price is not available. AMFC’s Board of Directors will also review valuations of such investments provided by the Advisor. To the extent AMFC invests in securities for which market</w:t>
      </w:r>
    </w:p>
    <w:p>
      <w:pPr>
        <w:sectPr>
          <w:pgSz w:w="11900" w:h="16843" w:orient="portrait"/>
          <w:cols w:equalWidth="0" w:num="1">
            <w:col w:w="10139"/>
          </w:cols>
          <w:pgMar w:left="320" w:top="108" w:right="1440" w:bottom="0" w:gutter="0" w:footer="0" w:header="0"/>
        </w:sectPr>
      </w:pPr>
    </w:p>
    <w:bookmarkStart w:id="201" w:name="page202"/>
    <w:bookmarkEnd w:id="201"/>
    <w:p>
      <w:pPr>
        <w:jc w:val="both"/>
        <w:ind w:right="1640"/>
        <w:spacing w:after="0" w:line="258" w:lineRule="auto"/>
        <w:rPr>
          <w:sz w:val="20"/>
          <w:szCs w:val="20"/>
          <w:color w:val="auto"/>
        </w:rPr>
      </w:pPr>
      <w:r>
        <w:rPr>
          <w:rFonts w:ascii="Arial" w:cs="Arial" w:eastAsia="Arial" w:hAnsi="Arial"/>
          <w:sz w:val="28"/>
          <w:szCs w:val="28"/>
          <w:color w:val="auto"/>
        </w:rPr>
        <w:t>quotations are readily available, such market value will be used to value those securities. If a market value cannot be obtained or if the Advisor determines that the value of a security as so obtained does not represent a fair value as of the measurement date (due to a significant development subsequent to the time its price is determined or otherwise), fair value shall be determined pursuant to the methodologies established by the Board of Directors. In making these determinations, the Company may engage an independent valuation firm from time to time to assist in determining the fair value of our investments. The methods for valuing these investments may include fundamental analysis, discounts from market prices of similar securities, purchase price of securities, subsequent private transactions in the security or related securities, or discounts applied to the nature and duration of restrictions on the disposition of the securities, as well as a combination of these and other factors.</w:t>
      </w:r>
    </w:p>
    <w:p>
      <w:pPr>
        <w:spacing w:after="0" w:line="136" w:lineRule="exact"/>
        <w:rPr>
          <w:sz w:val="20"/>
          <w:szCs w:val="20"/>
          <w:color w:val="auto"/>
        </w:rPr>
      </w:pPr>
    </w:p>
    <w:p>
      <w:pPr>
        <w:ind w:right="1940"/>
        <w:spacing w:after="0" w:line="270" w:lineRule="auto"/>
        <w:rPr>
          <w:sz w:val="20"/>
          <w:szCs w:val="20"/>
          <w:color w:val="auto"/>
        </w:rPr>
      </w:pPr>
      <w:r>
        <w:rPr>
          <w:rFonts w:ascii="Arial" w:cs="Arial" w:eastAsia="Arial" w:hAnsi="Arial"/>
          <w:sz w:val="28"/>
          <w:szCs w:val="28"/>
          <w:color w:val="auto"/>
        </w:rPr>
        <w:t>The Company’s assets measured at fair value subject to the disclosure requirements of ASC 820-10-35 at September 30, 2025,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20" w:type="dxa"/>
            <w:vAlign w:val="bottom"/>
            <w:shd w:val="clear" w:color="auto" w:fill="F0F5F1"/>
          </w:tcPr>
          <w:p>
            <w:pPr>
              <w:spacing w:after="0"/>
              <w:rPr>
                <w:sz w:val="20"/>
                <w:szCs w:val="20"/>
                <w:color w:val="auto"/>
              </w:rPr>
            </w:pPr>
          </w:p>
        </w:tc>
        <w:tc>
          <w:tcPr>
            <w:tcW w:w="340" w:type="dxa"/>
            <w:vAlign w:val="bottom"/>
            <w:shd w:val="clear" w:color="auto" w:fill="F0F5F1"/>
          </w:tcPr>
          <w:p>
            <w:pPr>
              <w:spacing w:after="0"/>
              <w:rPr>
                <w:sz w:val="20"/>
                <w:szCs w:val="20"/>
                <w:color w:val="auto"/>
              </w:rPr>
            </w:pPr>
          </w:p>
        </w:tc>
        <w:tc>
          <w:tcPr>
            <w:tcW w:w="980" w:type="dxa"/>
            <w:vAlign w:val="bottom"/>
            <w:shd w:val="clear" w:color="auto" w:fill="F0F5F1"/>
          </w:tcPr>
          <w:p>
            <w:pPr>
              <w:spacing w:after="0"/>
              <w:rPr>
                <w:sz w:val="20"/>
                <w:szCs w:val="20"/>
                <w:color w:val="auto"/>
              </w:rPr>
            </w:pPr>
          </w:p>
        </w:tc>
        <w:tc>
          <w:tcPr>
            <w:tcW w:w="200" w:type="dxa"/>
            <w:vAlign w:val="bottom"/>
            <w:shd w:val="clear" w:color="auto" w:fill="F0F5F1"/>
          </w:tcPr>
          <w:p>
            <w:pPr>
              <w:spacing w:after="0"/>
              <w:rPr>
                <w:sz w:val="20"/>
                <w:szCs w:val="20"/>
                <w:color w:val="auto"/>
              </w:rPr>
            </w:pPr>
          </w:p>
        </w:tc>
        <w:tc>
          <w:tcPr>
            <w:tcW w:w="420" w:type="dxa"/>
            <w:vAlign w:val="bottom"/>
            <w:shd w:val="clear" w:color="auto" w:fill="F0F5F1"/>
          </w:tcPr>
          <w:p>
            <w:pPr>
              <w:spacing w:after="0"/>
              <w:rPr>
                <w:sz w:val="20"/>
                <w:szCs w:val="20"/>
                <w:color w:val="auto"/>
              </w:rPr>
            </w:pPr>
          </w:p>
        </w:tc>
        <w:tc>
          <w:tcPr>
            <w:tcW w:w="940" w:type="dxa"/>
            <w:vAlign w:val="bottom"/>
            <w:shd w:val="clear" w:color="auto" w:fill="F0F5F1"/>
          </w:tcPr>
          <w:p>
            <w:pPr>
              <w:spacing w:after="0"/>
              <w:rPr>
                <w:sz w:val="20"/>
                <w:szCs w:val="20"/>
                <w:color w:val="auto"/>
              </w:rPr>
            </w:pPr>
          </w:p>
        </w:tc>
        <w:tc>
          <w:tcPr>
            <w:tcW w:w="200" w:type="dxa"/>
            <w:vAlign w:val="bottom"/>
            <w:shd w:val="clear" w:color="auto" w:fill="F0F5F1"/>
          </w:tcPr>
          <w:p>
            <w:pPr>
              <w:spacing w:after="0"/>
              <w:rPr>
                <w:sz w:val="20"/>
                <w:szCs w:val="20"/>
                <w:color w:val="auto"/>
              </w:rPr>
            </w:pPr>
          </w:p>
        </w:tc>
        <w:tc>
          <w:tcPr>
            <w:tcW w:w="360" w:type="dxa"/>
            <w:vAlign w:val="bottom"/>
            <w:shd w:val="clear" w:color="auto" w:fill="F0F5F1"/>
          </w:tcPr>
          <w:p>
            <w:pPr>
              <w:spacing w:after="0"/>
              <w:rPr>
                <w:sz w:val="20"/>
                <w:szCs w:val="20"/>
                <w:color w:val="auto"/>
              </w:rPr>
            </w:pPr>
          </w:p>
        </w:tc>
        <w:tc>
          <w:tcPr>
            <w:tcW w:w="1020" w:type="dxa"/>
            <w:vAlign w:val="bottom"/>
            <w:shd w:val="clear" w:color="auto" w:fill="F0F5F1"/>
          </w:tcPr>
          <w:p>
            <w:pPr>
              <w:spacing w:after="0"/>
              <w:rPr>
                <w:sz w:val="20"/>
                <w:szCs w:val="20"/>
                <w:color w:val="auto"/>
              </w:rPr>
            </w:pPr>
          </w:p>
        </w:tc>
        <w:tc>
          <w:tcPr>
            <w:tcW w:w="600" w:type="dxa"/>
            <w:vAlign w:val="bottom"/>
            <w:shd w:val="clear" w:color="auto" w:fill="F0F5F1"/>
          </w:tcPr>
          <w:p>
            <w:pPr>
              <w:spacing w:after="0"/>
              <w:rPr>
                <w:sz w:val="20"/>
                <w:szCs w:val="20"/>
                <w:color w:val="auto"/>
              </w:rPr>
            </w:pPr>
          </w:p>
        </w:tc>
        <w:tc>
          <w:tcPr>
            <w:tcW w:w="1180" w:type="dxa"/>
            <w:vAlign w:val="bottom"/>
            <w:shd w:val="clear" w:color="auto" w:fill="F0F5F1"/>
          </w:tcPr>
          <w:p>
            <w:pPr>
              <w:jc w:val="center"/>
              <w:ind w:right="394"/>
              <w:spacing w:after="0"/>
              <w:rPr>
                <w:sz w:val="20"/>
                <w:szCs w:val="20"/>
                <w:color w:val="auto"/>
              </w:rPr>
            </w:pPr>
            <w:r>
              <w:rPr>
                <w:rFonts w:ascii="Arial" w:cs="Arial" w:eastAsia="Arial" w:hAnsi="Arial"/>
                <w:sz w:val="11"/>
                <w:szCs w:val="11"/>
                <w:color w:val="auto"/>
              </w:rPr>
              <w:t>LEVEL 3</w:t>
            </w:r>
          </w:p>
        </w:tc>
      </w:tr>
      <w:tr>
        <w:trPr>
          <w:trHeight w:val="162"/>
        </w:trPr>
        <w:tc>
          <w:tcPr>
            <w:tcW w:w="3220" w:type="dxa"/>
            <w:vAlign w:val="bottom"/>
            <w:shd w:val="clear" w:color="auto" w:fill="F0F5F1"/>
          </w:tcPr>
          <w:p>
            <w:pPr>
              <w:spacing w:after="0"/>
              <w:rPr>
                <w:sz w:val="14"/>
                <w:szCs w:val="14"/>
                <w:color w:val="auto"/>
              </w:rPr>
            </w:pPr>
          </w:p>
        </w:tc>
        <w:tc>
          <w:tcPr>
            <w:tcW w:w="340" w:type="dxa"/>
            <w:vAlign w:val="bottom"/>
            <w:shd w:val="clear" w:color="auto" w:fill="F0F5F1"/>
          </w:tcPr>
          <w:p>
            <w:pPr>
              <w:spacing w:after="0"/>
              <w:rPr>
                <w:sz w:val="14"/>
                <w:szCs w:val="14"/>
                <w:color w:val="auto"/>
              </w:rPr>
            </w:pPr>
          </w:p>
        </w:tc>
        <w:tc>
          <w:tcPr>
            <w:tcW w:w="98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420" w:type="dxa"/>
            <w:vAlign w:val="bottom"/>
            <w:shd w:val="clear" w:color="auto" w:fill="F0F5F1"/>
          </w:tcPr>
          <w:p>
            <w:pPr>
              <w:spacing w:after="0"/>
              <w:rPr>
                <w:sz w:val="14"/>
                <w:szCs w:val="14"/>
                <w:color w:val="auto"/>
              </w:rPr>
            </w:pPr>
          </w:p>
        </w:tc>
        <w:tc>
          <w:tcPr>
            <w:tcW w:w="94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360" w:type="dxa"/>
            <w:vAlign w:val="bottom"/>
            <w:shd w:val="clear" w:color="auto" w:fill="F0F5F1"/>
          </w:tcPr>
          <w:p>
            <w:pPr>
              <w:spacing w:after="0"/>
              <w:rPr>
                <w:sz w:val="14"/>
                <w:szCs w:val="14"/>
                <w:color w:val="auto"/>
              </w:rPr>
            </w:pPr>
          </w:p>
        </w:tc>
        <w:tc>
          <w:tcPr>
            <w:tcW w:w="1020" w:type="dxa"/>
            <w:vAlign w:val="bottom"/>
            <w:shd w:val="clear" w:color="auto" w:fill="F0F5F1"/>
          </w:tcPr>
          <w:p>
            <w:pPr>
              <w:jc w:val="center"/>
              <w:ind w:right="291"/>
              <w:spacing w:after="0"/>
              <w:rPr>
                <w:sz w:val="20"/>
                <w:szCs w:val="20"/>
                <w:color w:val="auto"/>
              </w:rPr>
            </w:pPr>
            <w:r>
              <w:rPr>
                <w:rFonts w:ascii="Arial" w:cs="Arial" w:eastAsia="Arial" w:hAnsi="Arial"/>
                <w:sz w:val="11"/>
                <w:szCs w:val="11"/>
                <w:color w:val="auto"/>
                <w:w w:val="96"/>
              </w:rPr>
              <w:t>LEVEL 2</w:t>
            </w:r>
          </w:p>
        </w:tc>
        <w:tc>
          <w:tcPr>
            <w:tcW w:w="600" w:type="dxa"/>
            <w:vAlign w:val="bottom"/>
            <w:shd w:val="clear" w:color="auto" w:fill="F0F5F1"/>
          </w:tcPr>
          <w:p>
            <w:pPr>
              <w:spacing w:after="0"/>
              <w:rPr>
                <w:sz w:val="14"/>
                <w:szCs w:val="14"/>
                <w:color w:val="auto"/>
              </w:rPr>
            </w:pPr>
          </w:p>
        </w:tc>
        <w:tc>
          <w:tcPr>
            <w:tcW w:w="1180" w:type="dxa"/>
            <w:vAlign w:val="bottom"/>
            <w:shd w:val="clear" w:color="auto" w:fill="F0F5F1"/>
          </w:tcPr>
          <w:p>
            <w:pPr>
              <w:jc w:val="center"/>
              <w:ind w:right="394"/>
              <w:spacing w:after="0"/>
              <w:rPr>
                <w:sz w:val="20"/>
                <w:szCs w:val="20"/>
                <w:color w:val="auto"/>
              </w:rPr>
            </w:pPr>
            <w:r>
              <w:rPr>
                <w:rFonts w:ascii="Arial" w:cs="Arial" w:eastAsia="Arial" w:hAnsi="Arial"/>
                <w:sz w:val="11"/>
                <w:szCs w:val="11"/>
                <w:color w:val="auto"/>
                <w:w w:val="97"/>
              </w:rPr>
              <w:t>SIGNIFICANT</w:t>
            </w:r>
          </w:p>
        </w:tc>
      </w:tr>
      <w:tr>
        <w:trPr>
          <w:trHeight w:val="162"/>
        </w:trPr>
        <w:tc>
          <w:tcPr>
            <w:tcW w:w="3220" w:type="dxa"/>
            <w:vAlign w:val="bottom"/>
            <w:shd w:val="clear" w:color="auto" w:fill="F0F5F1"/>
          </w:tcPr>
          <w:p>
            <w:pPr>
              <w:spacing w:after="0"/>
              <w:rPr>
                <w:sz w:val="14"/>
                <w:szCs w:val="14"/>
                <w:color w:val="auto"/>
              </w:rPr>
            </w:pPr>
          </w:p>
        </w:tc>
        <w:tc>
          <w:tcPr>
            <w:tcW w:w="340" w:type="dxa"/>
            <w:vAlign w:val="bottom"/>
            <w:shd w:val="clear" w:color="auto" w:fill="F0F5F1"/>
          </w:tcPr>
          <w:p>
            <w:pPr>
              <w:spacing w:after="0"/>
              <w:rPr>
                <w:sz w:val="14"/>
                <w:szCs w:val="14"/>
                <w:color w:val="auto"/>
              </w:rPr>
            </w:pPr>
          </w:p>
        </w:tc>
        <w:tc>
          <w:tcPr>
            <w:tcW w:w="980" w:type="dxa"/>
            <w:vAlign w:val="bottom"/>
            <w:shd w:val="clear" w:color="auto" w:fill="F0F5F1"/>
          </w:tcPr>
          <w:p>
            <w:pPr>
              <w:jc w:val="right"/>
              <w:ind w:right="291"/>
              <w:spacing w:after="0"/>
              <w:rPr>
                <w:sz w:val="20"/>
                <w:szCs w:val="20"/>
                <w:color w:val="auto"/>
              </w:rPr>
            </w:pPr>
            <w:r>
              <w:rPr>
                <w:rFonts w:ascii="Arial" w:cs="Arial" w:eastAsia="Arial" w:hAnsi="Arial"/>
                <w:sz w:val="11"/>
                <w:szCs w:val="11"/>
                <w:color w:val="auto"/>
                <w:w w:val="94"/>
              </w:rPr>
              <w:t>TOTAL FAIR</w:t>
            </w:r>
          </w:p>
        </w:tc>
        <w:tc>
          <w:tcPr>
            <w:tcW w:w="200" w:type="dxa"/>
            <w:vAlign w:val="bottom"/>
            <w:shd w:val="clear" w:color="auto" w:fill="F0F5F1"/>
          </w:tcPr>
          <w:p>
            <w:pPr>
              <w:spacing w:after="0"/>
              <w:rPr>
                <w:sz w:val="14"/>
                <w:szCs w:val="14"/>
                <w:color w:val="auto"/>
              </w:rPr>
            </w:pPr>
          </w:p>
        </w:tc>
        <w:tc>
          <w:tcPr>
            <w:tcW w:w="420" w:type="dxa"/>
            <w:vAlign w:val="bottom"/>
            <w:shd w:val="clear" w:color="auto" w:fill="F0F5F1"/>
          </w:tcPr>
          <w:p>
            <w:pPr>
              <w:spacing w:after="0"/>
              <w:rPr>
                <w:sz w:val="14"/>
                <w:szCs w:val="14"/>
                <w:color w:val="auto"/>
              </w:rPr>
            </w:pPr>
          </w:p>
        </w:tc>
        <w:tc>
          <w:tcPr>
            <w:tcW w:w="940" w:type="dxa"/>
            <w:vAlign w:val="bottom"/>
            <w:shd w:val="clear" w:color="auto" w:fill="F0F5F1"/>
          </w:tcPr>
          <w:p>
            <w:pPr>
              <w:jc w:val="right"/>
              <w:ind w:right="390"/>
              <w:spacing w:after="0"/>
              <w:rPr>
                <w:sz w:val="20"/>
                <w:szCs w:val="20"/>
                <w:color w:val="auto"/>
              </w:rPr>
            </w:pPr>
            <w:r>
              <w:rPr>
                <w:rFonts w:ascii="Arial" w:cs="Arial" w:eastAsia="Arial" w:hAnsi="Arial"/>
                <w:sz w:val="11"/>
                <w:szCs w:val="11"/>
                <w:color w:val="auto"/>
              </w:rPr>
              <w:t>LEVEL 1</w:t>
            </w:r>
          </w:p>
        </w:tc>
        <w:tc>
          <w:tcPr>
            <w:tcW w:w="200" w:type="dxa"/>
            <w:vAlign w:val="bottom"/>
            <w:shd w:val="clear" w:color="auto" w:fill="F0F5F1"/>
          </w:tcPr>
          <w:p>
            <w:pPr>
              <w:spacing w:after="0"/>
              <w:rPr>
                <w:sz w:val="14"/>
                <w:szCs w:val="14"/>
                <w:color w:val="auto"/>
              </w:rPr>
            </w:pPr>
          </w:p>
        </w:tc>
        <w:tc>
          <w:tcPr>
            <w:tcW w:w="1380" w:type="dxa"/>
            <w:vAlign w:val="bottom"/>
            <w:gridSpan w:val="2"/>
            <w:shd w:val="clear" w:color="auto" w:fill="F0F5F1"/>
          </w:tcPr>
          <w:p>
            <w:pPr>
              <w:jc w:val="center"/>
              <w:spacing w:after="0"/>
              <w:rPr>
                <w:sz w:val="20"/>
                <w:szCs w:val="20"/>
                <w:color w:val="auto"/>
              </w:rPr>
            </w:pPr>
            <w:r>
              <w:rPr>
                <w:rFonts w:ascii="Arial" w:cs="Arial" w:eastAsia="Arial" w:hAnsi="Arial"/>
                <w:sz w:val="11"/>
                <w:szCs w:val="11"/>
                <w:color w:val="auto"/>
                <w:w w:val="97"/>
              </w:rPr>
              <w:t>SIGNIFICANT</w:t>
            </w:r>
          </w:p>
        </w:tc>
        <w:tc>
          <w:tcPr>
            <w:tcW w:w="1780" w:type="dxa"/>
            <w:vAlign w:val="bottom"/>
            <w:gridSpan w:val="2"/>
            <w:shd w:val="clear" w:color="auto" w:fill="F0F5F1"/>
          </w:tcPr>
          <w:p>
            <w:pPr>
              <w:jc w:val="center"/>
              <w:ind w:left="74"/>
              <w:spacing w:after="0"/>
              <w:rPr>
                <w:sz w:val="20"/>
                <w:szCs w:val="20"/>
                <w:color w:val="auto"/>
              </w:rPr>
            </w:pPr>
            <w:r>
              <w:rPr>
                <w:rFonts w:ascii="Arial" w:cs="Arial" w:eastAsia="Arial" w:hAnsi="Arial"/>
                <w:sz w:val="11"/>
                <w:szCs w:val="11"/>
                <w:color w:val="auto"/>
                <w:w w:val="97"/>
              </w:rPr>
              <w:t>UNOBSERVABLE</w:t>
            </w:r>
          </w:p>
        </w:tc>
      </w:tr>
      <w:tr>
        <w:trPr>
          <w:trHeight w:val="214"/>
        </w:trPr>
        <w:tc>
          <w:tcPr>
            <w:tcW w:w="3220" w:type="dxa"/>
            <w:vAlign w:val="bottom"/>
            <w:tcBorders>
              <w:bottom w:val="single" w:sz="8" w:color="F0F5F1"/>
            </w:tcBorders>
            <w:shd w:val="clear" w:color="auto" w:fill="F0F5F1"/>
          </w:tcPr>
          <w:p>
            <w:pPr>
              <w:spacing w:after="0"/>
              <w:rPr>
                <w:sz w:val="18"/>
                <w:szCs w:val="18"/>
                <w:color w:val="auto"/>
              </w:rPr>
            </w:pPr>
          </w:p>
        </w:tc>
        <w:tc>
          <w:tcPr>
            <w:tcW w:w="1320" w:type="dxa"/>
            <w:vAlign w:val="bottom"/>
            <w:tcBorders>
              <w:bottom w:val="single" w:sz="8" w:color="F0F5F1"/>
            </w:tcBorders>
            <w:gridSpan w:val="2"/>
            <w:shd w:val="clear" w:color="auto" w:fill="F0F5F1"/>
          </w:tcPr>
          <w:p>
            <w:pPr>
              <w:ind w:left="200"/>
              <w:spacing w:after="0"/>
              <w:rPr>
                <w:sz w:val="20"/>
                <w:szCs w:val="20"/>
                <w:color w:val="auto"/>
              </w:rPr>
            </w:pPr>
            <w:r>
              <w:rPr>
                <w:rFonts w:ascii="Arial" w:cs="Arial" w:eastAsia="Arial" w:hAnsi="Arial"/>
                <w:sz w:val="11"/>
                <w:szCs w:val="11"/>
                <w:color w:val="auto"/>
              </w:rPr>
              <w:t>VALUE AT 9-30-25</w:t>
            </w:r>
          </w:p>
        </w:tc>
        <w:tc>
          <w:tcPr>
            <w:tcW w:w="200" w:type="dxa"/>
            <w:vAlign w:val="bottom"/>
            <w:tcBorders>
              <w:bottom w:val="single" w:sz="8" w:color="F0F5F1"/>
            </w:tcBorders>
            <w:shd w:val="clear" w:color="auto" w:fill="F0F5F1"/>
          </w:tcPr>
          <w:p>
            <w:pPr>
              <w:spacing w:after="0"/>
              <w:rPr>
                <w:sz w:val="18"/>
                <w:szCs w:val="18"/>
                <w:color w:val="auto"/>
              </w:rPr>
            </w:pPr>
          </w:p>
        </w:tc>
        <w:tc>
          <w:tcPr>
            <w:tcW w:w="1360" w:type="dxa"/>
            <w:vAlign w:val="bottom"/>
            <w:tcBorders>
              <w:bottom w:val="single" w:sz="8" w:color="F0F5F1"/>
            </w:tcBorders>
            <w:gridSpan w:val="2"/>
            <w:shd w:val="clear" w:color="auto" w:fill="F0F5F1"/>
          </w:tcPr>
          <w:p>
            <w:pPr>
              <w:jc w:val="right"/>
              <w:ind w:right="190"/>
              <w:spacing w:after="0"/>
              <w:rPr>
                <w:sz w:val="20"/>
                <w:szCs w:val="20"/>
                <w:color w:val="auto"/>
              </w:rPr>
            </w:pPr>
            <w:r>
              <w:rPr>
                <w:rFonts w:ascii="Arial" w:cs="Arial" w:eastAsia="Arial" w:hAnsi="Arial"/>
                <w:sz w:val="11"/>
                <w:szCs w:val="11"/>
                <w:color w:val="auto"/>
              </w:rPr>
              <w:t>QUOTED PRICE</w:t>
            </w:r>
          </w:p>
        </w:tc>
        <w:tc>
          <w:tcPr>
            <w:tcW w:w="200" w:type="dxa"/>
            <w:vAlign w:val="bottom"/>
            <w:tcBorders>
              <w:bottom w:val="single" w:sz="8" w:color="F0F5F1"/>
            </w:tcBorders>
            <w:shd w:val="clear" w:color="auto" w:fill="F0F5F1"/>
          </w:tcPr>
          <w:p>
            <w:pPr>
              <w:spacing w:after="0"/>
              <w:rPr>
                <w:sz w:val="18"/>
                <w:szCs w:val="18"/>
                <w:color w:val="auto"/>
              </w:rPr>
            </w:pPr>
          </w:p>
        </w:tc>
        <w:tc>
          <w:tcPr>
            <w:tcW w:w="1380" w:type="dxa"/>
            <w:vAlign w:val="bottom"/>
            <w:tcBorders>
              <w:bottom w:val="single" w:sz="8" w:color="F0F5F1"/>
            </w:tcBorders>
            <w:gridSpan w:val="2"/>
            <w:shd w:val="clear" w:color="auto" w:fill="F0F5F1"/>
          </w:tcPr>
          <w:p>
            <w:pPr>
              <w:jc w:val="center"/>
              <w:spacing w:after="0"/>
              <w:rPr>
                <w:sz w:val="20"/>
                <w:szCs w:val="20"/>
                <w:color w:val="auto"/>
              </w:rPr>
            </w:pPr>
            <w:r>
              <w:rPr>
                <w:rFonts w:ascii="Arial" w:cs="Arial" w:eastAsia="Arial" w:hAnsi="Arial"/>
                <w:sz w:val="11"/>
                <w:szCs w:val="11"/>
                <w:color w:val="auto"/>
                <w:w w:val="97"/>
              </w:rPr>
              <w:t>OBSERVABLE INPUTS</w:t>
            </w:r>
          </w:p>
        </w:tc>
        <w:tc>
          <w:tcPr>
            <w:tcW w:w="600" w:type="dxa"/>
            <w:vAlign w:val="bottom"/>
            <w:tcBorders>
              <w:bottom w:val="single" w:sz="8" w:color="F0F5F1"/>
            </w:tcBorders>
            <w:shd w:val="clear" w:color="auto" w:fill="F0F5F1"/>
          </w:tcPr>
          <w:p>
            <w:pPr>
              <w:spacing w:after="0"/>
              <w:rPr>
                <w:sz w:val="18"/>
                <w:szCs w:val="18"/>
                <w:color w:val="auto"/>
              </w:rPr>
            </w:pPr>
          </w:p>
        </w:tc>
        <w:tc>
          <w:tcPr>
            <w:tcW w:w="1180" w:type="dxa"/>
            <w:vAlign w:val="bottom"/>
            <w:tcBorders>
              <w:bottom w:val="single" w:sz="8" w:color="F0F5F1"/>
            </w:tcBorders>
            <w:shd w:val="clear" w:color="auto" w:fill="F0F5F1"/>
          </w:tcPr>
          <w:p>
            <w:pPr>
              <w:jc w:val="center"/>
              <w:ind w:right="394"/>
              <w:spacing w:after="0"/>
              <w:rPr>
                <w:sz w:val="20"/>
                <w:szCs w:val="20"/>
                <w:color w:val="auto"/>
              </w:rPr>
            </w:pPr>
            <w:r>
              <w:rPr>
                <w:rFonts w:ascii="Arial" w:cs="Arial" w:eastAsia="Arial" w:hAnsi="Arial"/>
                <w:sz w:val="11"/>
                <w:szCs w:val="11"/>
                <w:color w:val="auto"/>
                <w:w w:val="99"/>
              </w:rPr>
              <w:t>INPUTS</w:t>
            </w:r>
          </w:p>
        </w:tc>
      </w:tr>
      <w:tr>
        <w:trPr>
          <w:trHeight w:val="296"/>
        </w:trPr>
        <w:tc>
          <w:tcPr>
            <w:tcW w:w="3220" w:type="dxa"/>
            <w:vAlign w:val="bottom"/>
            <w:tcBorders>
              <w:top w:val="single" w:sz="8" w:color="auto"/>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top w:val="single" w:sz="8" w:color="auto"/>
              <w:bottom w:val="single" w:sz="8" w:color="F0F5F1"/>
            </w:tcBorders>
            <w:shd w:val="clear" w:color="auto" w:fill="F0F5F1"/>
          </w:tcPr>
          <w:p>
            <w:pPr>
              <w:spacing w:after="0"/>
              <w:rPr>
                <w:sz w:val="24"/>
                <w:szCs w:val="24"/>
                <w:color w:val="auto"/>
              </w:rPr>
            </w:pPr>
          </w:p>
        </w:tc>
        <w:tc>
          <w:tcPr>
            <w:tcW w:w="980" w:type="dxa"/>
            <w:vAlign w:val="bottom"/>
            <w:tcBorders>
              <w:top w:val="single" w:sz="8" w:color="auto"/>
              <w:bottom w:val="single" w:sz="8" w:color="F0F5F1"/>
            </w:tcBorders>
            <w:shd w:val="clear" w:color="auto" w:fill="F0F5F1"/>
          </w:tcPr>
          <w:p>
            <w:pPr>
              <w:spacing w:after="0"/>
              <w:rPr>
                <w:sz w:val="24"/>
                <w:szCs w:val="24"/>
                <w:color w:val="auto"/>
              </w:rPr>
            </w:pPr>
          </w:p>
        </w:tc>
        <w:tc>
          <w:tcPr>
            <w:tcW w:w="200" w:type="dxa"/>
            <w:vAlign w:val="bottom"/>
            <w:tcBorders>
              <w:top w:val="single" w:sz="8" w:color="auto"/>
              <w:bottom w:val="single" w:sz="8" w:color="F0F5F1"/>
            </w:tcBorders>
            <w:shd w:val="clear" w:color="auto" w:fill="F0F5F1"/>
          </w:tcPr>
          <w:p>
            <w:pPr>
              <w:spacing w:after="0"/>
              <w:rPr>
                <w:sz w:val="24"/>
                <w:szCs w:val="24"/>
                <w:color w:val="auto"/>
              </w:rPr>
            </w:pPr>
          </w:p>
        </w:tc>
        <w:tc>
          <w:tcPr>
            <w:tcW w:w="420" w:type="dxa"/>
            <w:vAlign w:val="bottom"/>
            <w:tcBorders>
              <w:top w:val="single" w:sz="8" w:color="auto"/>
              <w:bottom w:val="single" w:sz="8" w:color="F0F5F1"/>
            </w:tcBorders>
            <w:shd w:val="clear" w:color="auto" w:fill="F0F5F1"/>
          </w:tcPr>
          <w:p>
            <w:pPr>
              <w:spacing w:after="0"/>
              <w:rPr>
                <w:sz w:val="24"/>
                <w:szCs w:val="24"/>
                <w:color w:val="auto"/>
              </w:rPr>
            </w:pPr>
          </w:p>
        </w:tc>
        <w:tc>
          <w:tcPr>
            <w:tcW w:w="940" w:type="dxa"/>
            <w:vAlign w:val="bottom"/>
            <w:tcBorders>
              <w:top w:val="single" w:sz="8" w:color="auto"/>
              <w:bottom w:val="single" w:sz="8" w:color="F0F5F1"/>
            </w:tcBorders>
            <w:shd w:val="clear" w:color="auto" w:fill="F0F5F1"/>
          </w:tcPr>
          <w:p>
            <w:pPr>
              <w:spacing w:after="0"/>
              <w:rPr>
                <w:sz w:val="24"/>
                <w:szCs w:val="24"/>
                <w:color w:val="auto"/>
              </w:rPr>
            </w:pPr>
          </w:p>
        </w:tc>
        <w:tc>
          <w:tcPr>
            <w:tcW w:w="200" w:type="dxa"/>
            <w:vAlign w:val="bottom"/>
            <w:tcBorders>
              <w:top w:val="single" w:sz="8" w:color="auto"/>
              <w:bottom w:val="single" w:sz="8" w:color="F0F5F1"/>
            </w:tcBorders>
            <w:shd w:val="clear" w:color="auto" w:fill="F0F5F1"/>
          </w:tcPr>
          <w:p>
            <w:pPr>
              <w:spacing w:after="0"/>
              <w:rPr>
                <w:sz w:val="24"/>
                <w:szCs w:val="24"/>
                <w:color w:val="auto"/>
              </w:rPr>
            </w:pPr>
          </w:p>
        </w:tc>
        <w:tc>
          <w:tcPr>
            <w:tcW w:w="360" w:type="dxa"/>
            <w:vAlign w:val="bottom"/>
            <w:tcBorders>
              <w:top w:val="single" w:sz="8" w:color="auto"/>
              <w:bottom w:val="single" w:sz="8" w:color="F0F5F1"/>
            </w:tcBorders>
            <w:shd w:val="clear" w:color="auto" w:fill="F0F5F1"/>
          </w:tcPr>
          <w:p>
            <w:pPr>
              <w:spacing w:after="0"/>
              <w:rPr>
                <w:sz w:val="24"/>
                <w:szCs w:val="24"/>
                <w:color w:val="auto"/>
              </w:rPr>
            </w:pPr>
          </w:p>
        </w:tc>
        <w:tc>
          <w:tcPr>
            <w:tcW w:w="1020" w:type="dxa"/>
            <w:vAlign w:val="bottom"/>
            <w:tcBorders>
              <w:top w:val="single" w:sz="8" w:color="auto"/>
              <w:bottom w:val="single" w:sz="8" w:color="F0F5F1"/>
            </w:tcBorders>
            <w:shd w:val="clear" w:color="auto" w:fill="F0F5F1"/>
          </w:tcPr>
          <w:p>
            <w:pPr>
              <w:spacing w:after="0"/>
              <w:rPr>
                <w:sz w:val="24"/>
                <w:szCs w:val="24"/>
                <w:color w:val="auto"/>
              </w:rPr>
            </w:pPr>
          </w:p>
        </w:tc>
        <w:tc>
          <w:tcPr>
            <w:tcW w:w="600" w:type="dxa"/>
            <w:vAlign w:val="bottom"/>
            <w:tcBorders>
              <w:top w:val="single" w:sz="8" w:color="auto"/>
              <w:bottom w:val="single" w:sz="8" w:color="F0F5F1"/>
            </w:tcBorders>
            <w:shd w:val="clear" w:color="auto" w:fill="F0F5F1"/>
          </w:tcPr>
          <w:p>
            <w:pPr>
              <w:spacing w:after="0"/>
              <w:rPr>
                <w:sz w:val="24"/>
                <w:szCs w:val="24"/>
                <w:color w:val="auto"/>
              </w:rPr>
            </w:pPr>
          </w:p>
        </w:tc>
        <w:tc>
          <w:tcPr>
            <w:tcW w:w="1180" w:type="dxa"/>
            <w:vAlign w:val="bottom"/>
            <w:tcBorders>
              <w:top w:val="single" w:sz="8" w:color="auto"/>
              <w:bottom w:val="single" w:sz="8" w:color="F0F5F1"/>
            </w:tcBorders>
            <w:shd w:val="clear" w:color="auto" w:fill="F0F5F1"/>
          </w:tcPr>
          <w:p>
            <w:pPr>
              <w:spacing w:after="0"/>
              <w:rPr>
                <w:sz w:val="24"/>
                <w:szCs w:val="24"/>
                <w:color w:val="auto"/>
              </w:rPr>
            </w:pPr>
          </w:p>
        </w:tc>
      </w:tr>
      <w:tr>
        <w:trPr>
          <w:trHeight w:val="262"/>
        </w:trPr>
        <w:tc>
          <w:tcPr>
            <w:tcW w:w="322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Term Loans</w:t>
            </w:r>
          </w:p>
        </w:tc>
        <w:tc>
          <w:tcPr>
            <w:tcW w:w="340" w:type="dxa"/>
            <w:vAlign w:val="bottom"/>
            <w:tcBorders>
              <w:top w:val="single" w:sz="8" w:color="F0F5F1"/>
            </w:tcBorders>
            <w:shd w:val="clear" w:color="auto" w:fill="F0F5F1"/>
          </w:tcPr>
          <w:p>
            <w:pPr>
              <w:ind w:left="2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F0F5F1"/>
            </w:tcBorders>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7,702,500</w:t>
            </w:r>
          </w:p>
        </w:tc>
        <w:tc>
          <w:tcPr>
            <w:tcW w:w="620" w:type="dxa"/>
            <w:vAlign w:val="bottom"/>
            <w:tcBorders>
              <w:top w:val="single" w:sz="8" w:color="F0F5F1"/>
            </w:tcBorders>
            <w:gridSpan w:val="2"/>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F0F5F1"/>
            </w:tcBorders>
            <w:shd w:val="clear" w:color="auto" w:fill="F0F5F1"/>
          </w:tcPr>
          <w:p>
            <w:pPr>
              <w:jc w:val="right"/>
              <w:ind w:right="25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F0F5F1"/>
            </w:tcBorders>
            <w:gridSpan w:val="2"/>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F0F5F1"/>
            </w:tcBorders>
            <w:shd w:val="clear" w:color="auto" w:fill="F0F5F1"/>
          </w:tcPr>
          <w:p>
            <w:pPr>
              <w:jc w:val="right"/>
              <w:ind w:right="211"/>
              <w:spacing w:after="0"/>
              <w:rPr>
                <w:sz w:val="20"/>
                <w:szCs w:val="20"/>
                <w:color w:val="auto"/>
              </w:rPr>
            </w:pPr>
            <w:r>
              <w:rPr>
                <w:rFonts w:ascii="Arial" w:cs="Arial" w:eastAsia="Arial" w:hAnsi="Arial"/>
                <w:sz w:val="14"/>
                <w:szCs w:val="14"/>
                <w:color w:val="auto"/>
              </w:rPr>
              <w:t>2,142,500</w:t>
            </w:r>
          </w:p>
        </w:tc>
        <w:tc>
          <w:tcPr>
            <w:tcW w:w="600" w:type="dxa"/>
            <w:vAlign w:val="bottom"/>
            <w:tcBorders>
              <w:top w:val="single" w:sz="8" w:color="F0F5F1"/>
            </w:tcBorders>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F0F5F1"/>
            </w:tcBorders>
            <w:shd w:val="clear" w:color="auto" w:fill="F0F5F1"/>
          </w:tcPr>
          <w:p>
            <w:pPr>
              <w:jc w:val="right"/>
              <w:ind w:right="314"/>
              <w:spacing w:after="0"/>
              <w:rPr>
                <w:sz w:val="20"/>
                <w:szCs w:val="20"/>
                <w:color w:val="auto"/>
              </w:rPr>
            </w:pPr>
            <w:r>
              <w:rPr>
                <w:rFonts w:ascii="Arial" w:cs="Arial" w:eastAsia="Arial" w:hAnsi="Arial"/>
                <w:sz w:val="14"/>
                <w:szCs w:val="14"/>
                <w:color w:val="auto"/>
              </w:rPr>
              <w:t>5,560,000</w:t>
            </w:r>
          </w:p>
        </w:tc>
      </w:tr>
      <w:tr>
        <w:trPr>
          <w:trHeight w:val="338"/>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Structured Debt Security</w:t>
            </w:r>
          </w:p>
        </w:tc>
        <w:tc>
          <w:tcPr>
            <w:tcW w:w="340" w:type="dxa"/>
            <w:vAlign w:val="bottom"/>
            <w:shd w:val="clear" w:color="auto" w:fill="F0F5F1"/>
          </w:tcPr>
          <w:p>
            <w:pPr>
              <w:spacing w:after="0"/>
              <w:rPr>
                <w:sz w:val="24"/>
                <w:szCs w:val="24"/>
                <w:color w:val="auto"/>
              </w:rPr>
            </w:pPr>
          </w:p>
        </w:tc>
        <w:tc>
          <w:tcPr>
            <w:tcW w:w="980" w:type="dxa"/>
            <w:vAlign w:val="bottom"/>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11,568,510</w:t>
            </w:r>
          </w:p>
        </w:tc>
        <w:tc>
          <w:tcPr>
            <w:tcW w:w="200" w:type="dxa"/>
            <w:vAlign w:val="bottom"/>
            <w:shd w:val="clear" w:color="auto" w:fill="F0F5F1"/>
          </w:tcPr>
          <w:p>
            <w:pPr>
              <w:spacing w:after="0"/>
              <w:rPr>
                <w:sz w:val="24"/>
                <w:szCs w:val="24"/>
                <w:color w:val="auto"/>
              </w:rPr>
            </w:pPr>
          </w:p>
        </w:tc>
        <w:tc>
          <w:tcPr>
            <w:tcW w:w="420" w:type="dxa"/>
            <w:vAlign w:val="bottom"/>
            <w:shd w:val="clear" w:color="auto" w:fill="F0F5F1"/>
          </w:tcPr>
          <w:p>
            <w:pPr>
              <w:spacing w:after="0"/>
              <w:rPr>
                <w:sz w:val="24"/>
                <w:szCs w:val="24"/>
                <w:color w:val="auto"/>
              </w:rPr>
            </w:pPr>
          </w:p>
        </w:tc>
        <w:tc>
          <w:tcPr>
            <w:tcW w:w="940" w:type="dxa"/>
            <w:vAlign w:val="bottom"/>
            <w:shd w:val="clear" w:color="auto" w:fill="F0F5F1"/>
          </w:tcPr>
          <w:p>
            <w:pPr>
              <w:jc w:val="right"/>
              <w:ind w:right="25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24"/>
                <w:szCs w:val="24"/>
                <w:color w:val="auto"/>
              </w:rPr>
            </w:pPr>
          </w:p>
        </w:tc>
        <w:tc>
          <w:tcPr>
            <w:tcW w:w="360" w:type="dxa"/>
            <w:vAlign w:val="bottom"/>
            <w:shd w:val="clear" w:color="auto" w:fill="F0F5F1"/>
          </w:tcPr>
          <w:p>
            <w:pPr>
              <w:spacing w:after="0"/>
              <w:rPr>
                <w:sz w:val="24"/>
                <w:szCs w:val="24"/>
                <w:color w:val="auto"/>
              </w:rPr>
            </w:pPr>
          </w:p>
        </w:tc>
        <w:tc>
          <w:tcPr>
            <w:tcW w:w="1020" w:type="dxa"/>
            <w:vAlign w:val="bottom"/>
            <w:shd w:val="clear" w:color="auto" w:fill="F0F5F1"/>
          </w:tcPr>
          <w:p>
            <w:pPr>
              <w:jc w:val="right"/>
              <w:ind w:right="211"/>
              <w:spacing w:after="0"/>
              <w:rPr>
                <w:sz w:val="20"/>
                <w:szCs w:val="20"/>
                <w:color w:val="auto"/>
              </w:rPr>
            </w:pPr>
            <w:r>
              <w:rPr>
                <w:rFonts w:ascii="Arial" w:cs="Arial" w:eastAsia="Arial" w:hAnsi="Arial"/>
                <w:sz w:val="14"/>
                <w:szCs w:val="14"/>
                <w:color w:val="auto"/>
              </w:rPr>
              <w:t>11,568,510</w:t>
            </w:r>
          </w:p>
        </w:tc>
        <w:tc>
          <w:tcPr>
            <w:tcW w:w="600" w:type="dxa"/>
            <w:vAlign w:val="bottom"/>
            <w:shd w:val="clear" w:color="auto" w:fill="F0F5F1"/>
          </w:tcPr>
          <w:p>
            <w:pPr>
              <w:spacing w:after="0"/>
              <w:rPr>
                <w:sz w:val="24"/>
                <w:szCs w:val="24"/>
                <w:color w:val="auto"/>
              </w:rPr>
            </w:pPr>
          </w:p>
        </w:tc>
        <w:tc>
          <w:tcPr>
            <w:tcW w:w="1180" w:type="dxa"/>
            <w:vAlign w:val="bottom"/>
            <w:shd w:val="clear" w:color="auto" w:fill="F0F5F1"/>
          </w:tcPr>
          <w:p>
            <w:pPr>
              <w:ind w:left="620"/>
              <w:spacing w:after="0"/>
              <w:rPr>
                <w:sz w:val="20"/>
                <w:szCs w:val="20"/>
                <w:color w:val="auto"/>
              </w:rPr>
            </w:pPr>
            <w:r>
              <w:rPr>
                <w:rFonts w:ascii="Arial" w:cs="Arial" w:eastAsia="Arial" w:hAnsi="Arial"/>
                <w:sz w:val="14"/>
                <w:szCs w:val="14"/>
                <w:color w:val="auto"/>
              </w:rPr>
              <w:t>—</w:t>
            </w:r>
          </w:p>
        </w:tc>
      </w:tr>
      <w:tr>
        <w:trPr>
          <w:trHeight w:val="338"/>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Regulatory Capital Relief Securities</w:t>
            </w:r>
          </w:p>
        </w:tc>
        <w:tc>
          <w:tcPr>
            <w:tcW w:w="1320" w:type="dxa"/>
            <w:vAlign w:val="bottom"/>
            <w:gridSpan w:val="2"/>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169,139,134</w:t>
            </w:r>
          </w:p>
        </w:tc>
        <w:tc>
          <w:tcPr>
            <w:tcW w:w="200" w:type="dxa"/>
            <w:vAlign w:val="bottom"/>
            <w:shd w:val="clear" w:color="auto" w:fill="F0F5F1"/>
          </w:tcPr>
          <w:p>
            <w:pPr>
              <w:spacing w:after="0"/>
              <w:rPr>
                <w:sz w:val="24"/>
                <w:szCs w:val="24"/>
                <w:color w:val="auto"/>
              </w:rPr>
            </w:pPr>
          </w:p>
        </w:tc>
        <w:tc>
          <w:tcPr>
            <w:tcW w:w="420" w:type="dxa"/>
            <w:vAlign w:val="bottom"/>
            <w:shd w:val="clear" w:color="auto" w:fill="F0F5F1"/>
          </w:tcPr>
          <w:p>
            <w:pPr>
              <w:spacing w:after="0"/>
              <w:rPr>
                <w:sz w:val="24"/>
                <w:szCs w:val="24"/>
                <w:color w:val="auto"/>
              </w:rPr>
            </w:pPr>
          </w:p>
        </w:tc>
        <w:tc>
          <w:tcPr>
            <w:tcW w:w="940" w:type="dxa"/>
            <w:vAlign w:val="bottom"/>
            <w:shd w:val="clear" w:color="auto" w:fill="F0F5F1"/>
          </w:tcPr>
          <w:p>
            <w:pPr>
              <w:jc w:val="right"/>
              <w:ind w:right="25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24"/>
                <w:szCs w:val="24"/>
                <w:color w:val="auto"/>
              </w:rPr>
            </w:pPr>
          </w:p>
        </w:tc>
        <w:tc>
          <w:tcPr>
            <w:tcW w:w="360" w:type="dxa"/>
            <w:vAlign w:val="bottom"/>
            <w:shd w:val="clear" w:color="auto" w:fill="F0F5F1"/>
          </w:tcPr>
          <w:p>
            <w:pPr>
              <w:spacing w:after="0"/>
              <w:rPr>
                <w:sz w:val="24"/>
                <w:szCs w:val="24"/>
                <w:color w:val="auto"/>
              </w:rPr>
            </w:pPr>
          </w:p>
        </w:tc>
        <w:tc>
          <w:tcPr>
            <w:tcW w:w="1020" w:type="dxa"/>
            <w:vAlign w:val="bottom"/>
            <w:shd w:val="clear" w:color="auto" w:fill="F0F5F1"/>
          </w:tcPr>
          <w:p>
            <w:pPr>
              <w:jc w:val="right"/>
              <w:ind w:right="211"/>
              <w:spacing w:after="0"/>
              <w:rPr>
                <w:sz w:val="20"/>
                <w:szCs w:val="20"/>
                <w:color w:val="auto"/>
              </w:rPr>
            </w:pPr>
            <w:r>
              <w:rPr>
                <w:rFonts w:ascii="Arial" w:cs="Arial" w:eastAsia="Arial" w:hAnsi="Arial"/>
                <w:sz w:val="14"/>
                <w:szCs w:val="14"/>
                <w:color w:val="auto"/>
              </w:rPr>
              <w:t>47,373,775</w:t>
            </w:r>
          </w:p>
        </w:tc>
        <w:tc>
          <w:tcPr>
            <w:tcW w:w="600" w:type="dxa"/>
            <w:vAlign w:val="bottom"/>
            <w:shd w:val="clear" w:color="auto" w:fill="F0F5F1"/>
          </w:tcPr>
          <w:p>
            <w:pPr>
              <w:spacing w:after="0"/>
              <w:rPr>
                <w:sz w:val="24"/>
                <w:szCs w:val="24"/>
                <w:color w:val="auto"/>
              </w:rPr>
            </w:pPr>
          </w:p>
        </w:tc>
        <w:tc>
          <w:tcPr>
            <w:tcW w:w="1180" w:type="dxa"/>
            <w:vAlign w:val="bottom"/>
            <w:shd w:val="clear" w:color="auto" w:fill="F0F5F1"/>
          </w:tcPr>
          <w:p>
            <w:pPr>
              <w:jc w:val="right"/>
              <w:ind w:right="294"/>
              <w:spacing w:after="0"/>
              <w:rPr>
                <w:sz w:val="20"/>
                <w:szCs w:val="20"/>
                <w:color w:val="auto"/>
              </w:rPr>
            </w:pPr>
            <w:r>
              <w:rPr>
                <w:rFonts w:ascii="Arial" w:cs="Arial" w:eastAsia="Arial" w:hAnsi="Arial"/>
                <w:sz w:val="14"/>
                <w:szCs w:val="14"/>
                <w:color w:val="auto"/>
              </w:rPr>
              <w:t>121,765,359</w:t>
            </w:r>
          </w:p>
        </w:tc>
      </w:tr>
      <w:tr>
        <w:trPr>
          <w:trHeight w:val="338"/>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Trust Preferred and Preferred Securities</w:t>
            </w:r>
          </w:p>
        </w:tc>
        <w:tc>
          <w:tcPr>
            <w:tcW w:w="340" w:type="dxa"/>
            <w:vAlign w:val="bottom"/>
            <w:shd w:val="clear" w:color="auto" w:fill="F0F5F1"/>
          </w:tcPr>
          <w:p>
            <w:pPr>
              <w:spacing w:after="0"/>
              <w:rPr>
                <w:sz w:val="24"/>
                <w:szCs w:val="24"/>
                <w:color w:val="auto"/>
              </w:rPr>
            </w:pPr>
          </w:p>
        </w:tc>
        <w:tc>
          <w:tcPr>
            <w:tcW w:w="980" w:type="dxa"/>
            <w:vAlign w:val="bottom"/>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1,793,400</w:t>
            </w:r>
          </w:p>
        </w:tc>
        <w:tc>
          <w:tcPr>
            <w:tcW w:w="200" w:type="dxa"/>
            <w:vAlign w:val="bottom"/>
            <w:shd w:val="clear" w:color="auto" w:fill="F0F5F1"/>
          </w:tcPr>
          <w:p>
            <w:pPr>
              <w:spacing w:after="0"/>
              <w:rPr>
                <w:sz w:val="24"/>
                <w:szCs w:val="24"/>
                <w:color w:val="auto"/>
              </w:rPr>
            </w:pPr>
          </w:p>
        </w:tc>
        <w:tc>
          <w:tcPr>
            <w:tcW w:w="420" w:type="dxa"/>
            <w:vAlign w:val="bottom"/>
            <w:shd w:val="clear" w:color="auto" w:fill="F0F5F1"/>
          </w:tcPr>
          <w:p>
            <w:pPr>
              <w:spacing w:after="0"/>
              <w:rPr>
                <w:sz w:val="24"/>
                <w:szCs w:val="24"/>
                <w:color w:val="auto"/>
              </w:rPr>
            </w:pPr>
          </w:p>
        </w:tc>
        <w:tc>
          <w:tcPr>
            <w:tcW w:w="940" w:type="dxa"/>
            <w:vAlign w:val="bottom"/>
            <w:shd w:val="clear" w:color="auto" w:fill="F0F5F1"/>
          </w:tcPr>
          <w:p>
            <w:pPr>
              <w:jc w:val="right"/>
              <w:ind w:right="25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24"/>
                <w:szCs w:val="24"/>
                <w:color w:val="auto"/>
              </w:rPr>
            </w:pPr>
          </w:p>
        </w:tc>
        <w:tc>
          <w:tcPr>
            <w:tcW w:w="360" w:type="dxa"/>
            <w:vAlign w:val="bottom"/>
            <w:shd w:val="clear" w:color="auto" w:fill="F0F5F1"/>
          </w:tcPr>
          <w:p>
            <w:pPr>
              <w:spacing w:after="0"/>
              <w:rPr>
                <w:sz w:val="24"/>
                <w:szCs w:val="24"/>
                <w:color w:val="auto"/>
              </w:rPr>
            </w:pPr>
          </w:p>
        </w:tc>
        <w:tc>
          <w:tcPr>
            <w:tcW w:w="1020" w:type="dxa"/>
            <w:vAlign w:val="bottom"/>
            <w:shd w:val="clear" w:color="auto" w:fill="F0F5F1"/>
          </w:tcPr>
          <w:p>
            <w:pPr>
              <w:jc w:val="right"/>
              <w:ind w:right="251"/>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5F1"/>
          </w:tcPr>
          <w:p>
            <w:pPr>
              <w:spacing w:after="0"/>
              <w:rPr>
                <w:sz w:val="24"/>
                <w:szCs w:val="24"/>
                <w:color w:val="auto"/>
              </w:rPr>
            </w:pPr>
          </w:p>
        </w:tc>
        <w:tc>
          <w:tcPr>
            <w:tcW w:w="1180" w:type="dxa"/>
            <w:vAlign w:val="bottom"/>
            <w:shd w:val="clear" w:color="auto" w:fill="F0F5F1"/>
          </w:tcPr>
          <w:p>
            <w:pPr>
              <w:jc w:val="right"/>
              <w:ind w:right="314"/>
              <w:spacing w:after="0"/>
              <w:rPr>
                <w:sz w:val="20"/>
                <w:szCs w:val="20"/>
                <w:color w:val="auto"/>
              </w:rPr>
            </w:pPr>
            <w:r>
              <w:rPr>
                <w:rFonts w:ascii="Arial" w:cs="Arial" w:eastAsia="Arial" w:hAnsi="Arial"/>
                <w:sz w:val="14"/>
                <w:szCs w:val="14"/>
                <w:color w:val="auto"/>
              </w:rPr>
              <w:t>1,793,400</w:t>
            </w:r>
          </w:p>
        </w:tc>
      </w:tr>
      <w:tr>
        <w:trPr>
          <w:trHeight w:val="337"/>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Common Stocks</w:t>
            </w:r>
          </w:p>
        </w:tc>
        <w:tc>
          <w:tcPr>
            <w:tcW w:w="340" w:type="dxa"/>
            <w:vAlign w:val="bottom"/>
            <w:shd w:val="clear" w:color="auto" w:fill="F0F5F1"/>
          </w:tcPr>
          <w:p>
            <w:pPr>
              <w:spacing w:after="0"/>
              <w:rPr>
                <w:sz w:val="24"/>
                <w:szCs w:val="24"/>
                <w:color w:val="auto"/>
              </w:rPr>
            </w:pPr>
          </w:p>
        </w:tc>
        <w:tc>
          <w:tcPr>
            <w:tcW w:w="980" w:type="dxa"/>
            <w:vAlign w:val="bottom"/>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5,321,133</w:t>
            </w:r>
          </w:p>
        </w:tc>
        <w:tc>
          <w:tcPr>
            <w:tcW w:w="200" w:type="dxa"/>
            <w:vAlign w:val="bottom"/>
            <w:shd w:val="clear" w:color="auto" w:fill="F0F5F1"/>
          </w:tcPr>
          <w:p>
            <w:pPr>
              <w:spacing w:after="0"/>
              <w:rPr>
                <w:sz w:val="24"/>
                <w:szCs w:val="24"/>
                <w:color w:val="auto"/>
              </w:rPr>
            </w:pPr>
          </w:p>
        </w:tc>
        <w:tc>
          <w:tcPr>
            <w:tcW w:w="420" w:type="dxa"/>
            <w:vAlign w:val="bottom"/>
            <w:shd w:val="clear" w:color="auto" w:fill="F0F5F1"/>
          </w:tcPr>
          <w:p>
            <w:pPr>
              <w:spacing w:after="0"/>
              <w:rPr>
                <w:sz w:val="24"/>
                <w:szCs w:val="24"/>
                <w:color w:val="auto"/>
              </w:rPr>
            </w:pPr>
          </w:p>
        </w:tc>
        <w:tc>
          <w:tcPr>
            <w:tcW w:w="940" w:type="dxa"/>
            <w:vAlign w:val="bottom"/>
            <w:shd w:val="clear" w:color="auto" w:fill="F0F5F1"/>
          </w:tcPr>
          <w:p>
            <w:pPr>
              <w:jc w:val="right"/>
              <w:ind w:right="210"/>
              <w:spacing w:after="0"/>
              <w:rPr>
                <w:sz w:val="20"/>
                <w:szCs w:val="20"/>
                <w:color w:val="auto"/>
              </w:rPr>
            </w:pPr>
            <w:r>
              <w:rPr>
                <w:rFonts w:ascii="Arial" w:cs="Arial" w:eastAsia="Arial" w:hAnsi="Arial"/>
                <w:sz w:val="14"/>
                <w:szCs w:val="14"/>
                <w:color w:val="auto"/>
              </w:rPr>
              <w:t>5,321,133</w:t>
            </w:r>
          </w:p>
        </w:tc>
        <w:tc>
          <w:tcPr>
            <w:tcW w:w="200" w:type="dxa"/>
            <w:vAlign w:val="bottom"/>
            <w:shd w:val="clear" w:color="auto" w:fill="F0F5F1"/>
          </w:tcPr>
          <w:p>
            <w:pPr>
              <w:spacing w:after="0"/>
              <w:rPr>
                <w:sz w:val="24"/>
                <w:szCs w:val="24"/>
                <w:color w:val="auto"/>
              </w:rPr>
            </w:pPr>
          </w:p>
        </w:tc>
        <w:tc>
          <w:tcPr>
            <w:tcW w:w="360" w:type="dxa"/>
            <w:vAlign w:val="bottom"/>
            <w:shd w:val="clear" w:color="auto" w:fill="F0F5F1"/>
          </w:tcPr>
          <w:p>
            <w:pPr>
              <w:spacing w:after="0"/>
              <w:rPr>
                <w:sz w:val="24"/>
                <w:szCs w:val="24"/>
                <w:color w:val="auto"/>
              </w:rPr>
            </w:pPr>
          </w:p>
        </w:tc>
        <w:tc>
          <w:tcPr>
            <w:tcW w:w="1020" w:type="dxa"/>
            <w:vAlign w:val="bottom"/>
            <w:shd w:val="clear" w:color="auto" w:fill="F0F5F1"/>
          </w:tcPr>
          <w:p>
            <w:pPr>
              <w:jc w:val="right"/>
              <w:ind w:right="251"/>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5F1"/>
          </w:tcPr>
          <w:p>
            <w:pPr>
              <w:spacing w:after="0"/>
              <w:rPr>
                <w:sz w:val="24"/>
                <w:szCs w:val="24"/>
                <w:color w:val="auto"/>
              </w:rPr>
            </w:pPr>
          </w:p>
        </w:tc>
        <w:tc>
          <w:tcPr>
            <w:tcW w:w="1180" w:type="dxa"/>
            <w:vAlign w:val="bottom"/>
            <w:shd w:val="clear" w:color="auto" w:fill="F0F5F1"/>
          </w:tcPr>
          <w:p>
            <w:pPr>
              <w:ind w:left="620"/>
              <w:spacing w:after="0"/>
              <w:rPr>
                <w:sz w:val="20"/>
                <w:szCs w:val="20"/>
                <w:color w:val="auto"/>
              </w:rPr>
            </w:pPr>
            <w:r>
              <w:rPr>
                <w:rFonts w:ascii="Arial" w:cs="Arial" w:eastAsia="Arial" w:hAnsi="Arial"/>
                <w:sz w:val="14"/>
                <w:szCs w:val="14"/>
                <w:color w:val="auto"/>
              </w:rPr>
              <w:t>—</w:t>
            </w:r>
          </w:p>
        </w:tc>
      </w:tr>
      <w:tr>
        <w:trPr>
          <w:trHeight w:val="270"/>
        </w:trPr>
        <w:tc>
          <w:tcPr>
            <w:tcW w:w="322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Money Market Fund</w:t>
            </w:r>
          </w:p>
        </w:tc>
        <w:tc>
          <w:tcPr>
            <w:tcW w:w="340" w:type="dxa"/>
            <w:vAlign w:val="bottom"/>
            <w:shd w:val="clear" w:color="auto" w:fill="F0F5F1"/>
          </w:tcPr>
          <w:p>
            <w:pPr>
              <w:spacing w:after="0"/>
              <w:rPr>
                <w:sz w:val="23"/>
                <w:szCs w:val="23"/>
                <w:color w:val="auto"/>
              </w:rPr>
            </w:pPr>
          </w:p>
        </w:tc>
        <w:tc>
          <w:tcPr>
            <w:tcW w:w="980" w:type="dxa"/>
            <w:vAlign w:val="bottom"/>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2,113,610</w:t>
            </w:r>
          </w:p>
        </w:tc>
        <w:tc>
          <w:tcPr>
            <w:tcW w:w="200" w:type="dxa"/>
            <w:vAlign w:val="bottom"/>
            <w:shd w:val="clear" w:color="auto" w:fill="F0F5F1"/>
          </w:tcPr>
          <w:p>
            <w:pPr>
              <w:spacing w:after="0"/>
              <w:rPr>
                <w:sz w:val="23"/>
                <w:szCs w:val="23"/>
                <w:color w:val="auto"/>
              </w:rPr>
            </w:pPr>
          </w:p>
        </w:tc>
        <w:tc>
          <w:tcPr>
            <w:tcW w:w="420" w:type="dxa"/>
            <w:vAlign w:val="bottom"/>
            <w:shd w:val="clear" w:color="auto" w:fill="F0F5F1"/>
          </w:tcPr>
          <w:p>
            <w:pPr>
              <w:spacing w:after="0"/>
              <w:rPr>
                <w:sz w:val="23"/>
                <w:szCs w:val="23"/>
                <w:color w:val="auto"/>
              </w:rPr>
            </w:pPr>
          </w:p>
        </w:tc>
        <w:tc>
          <w:tcPr>
            <w:tcW w:w="940" w:type="dxa"/>
            <w:vAlign w:val="bottom"/>
            <w:shd w:val="clear" w:color="auto" w:fill="F0F5F1"/>
          </w:tcPr>
          <w:p>
            <w:pPr>
              <w:jc w:val="right"/>
              <w:ind w:right="210"/>
              <w:spacing w:after="0"/>
              <w:rPr>
                <w:sz w:val="20"/>
                <w:szCs w:val="20"/>
                <w:color w:val="auto"/>
              </w:rPr>
            </w:pPr>
            <w:r>
              <w:rPr>
                <w:rFonts w:ascii="Arial" w:cs="Arial" w:eastAsia="Arial" w:hAnsi="Arial"/>
                <w:sz w:val="14"/>
                <w:szCs w:val="14"/>
                <w:color w:val="auto"/>
              </w:rPr>
              <w:t>2,113,610</w:t>
            </w:r>
          </w:p>
        </w:tc>
        <w:tc>
          <w:tcPr>
            <w:tcW w:w="200" w:type="dxa"/>
            <w:vAlign w:val="bottom"/>
            <w:shd w:val="clear" w:color="auto" w:fill="F0F5F1"/>
          </w:tcPr>
          <w:p>
            <w:pPr>
              <w:spacing w:after="0"/>
              <w:rPr>
                <w:sz w:val="23"/>
                <w:szCs w:val="23"/>
                <w:color w:val="auto"/>
              </w:rPr>
            </w:pPr>
          </w:p>
        </w:tc>
        <w:tc>
          <w:tcPr>
            <w:tcW w:w="360" w:type="dxa"/>
            <w:vAlign w:val="bottom"/>
            <w:shd w:val="clear" w:color="auto" w:fill="F0F5F1"/>
          </w:tcPr>
          <w:p>
            <w:pPr>
              <w:spacing w:after="0"/>
              <w:rPr>
                <w:sz w:val="23"/>
                <w:szCs w:val="23"/>
                <w:color w:val="auto"/>
              </w:rPr>
            </w:pPr>
          </w:p>
        </w:tc>
        <w:tc>
          <w:tcPr>
            <w:tcW w:w="1020" w:type="dxa"/>
            <w:vAlign w:val="bottom"/>
            <w:shd w:val="clear" w:color="auto" w:fill="F0F5F1"/>
          </w:tcPr>
          <w:p>
            <w:pPr>
              <w:jc w:val="right"/>
              <w:ind w:right="251"/>
              <w:spacing w:after="0"/>
              <w:rPr>
                <w:sz w:val="20"/>
                <w:szCs w:val="20"/>
                <w:color w:val="auto"/>
              </w:rPr>
            </w:pPr>
            <w:r>
              <w:rPr>
                <w:rFonts w:ascii="Arial" w:cs="Arial" w:eastAsia="Arial" w:hAnsi="Arial"/>
                <w:sz w:val="14"/>
                <w:szCs w:val="14"/>
                <w:color w:val="auto"/>
              </w:rPr>
              <w:t>—</w:t>
            </w:r>
          </w:p>
        </w:tc>
        <w:tc>
          <w:tcPr>
            <w:tcW w:w="600" w:type="dxa"/>
            <w:vAlign w:val="bottom"/>
            <w:shd w:val="clear" w:color="auto" w:fill="F0F5F1"/>
          </w:tcPr>
          <w:p>
            <w:pPr>
              <w:spacing w:after="0"/>
              <w:rPr>
                <w:sz w:val="23"/>
                <w:szCs w:val="23"/>
                <w:color w:val="auto"/>
              </w:rPr>
            </w:pPr>
          </w:p>
        </w:tc>
        <w:tc>
          <w:tcPr>
            <w:tcW w:w="1180" w:type="dxa"/>
            <w:vAlign w:val="bottom"/>
            <w:shd w:val="clear" w:color="auto" w:fill="F0F5F1"/>
          </w:tcPr>
          <w:p>
            <w:pPr>
              <w:ind w:left="620"/>
              <w:spacing w:after="0"/>
              <w:rPr>
                <w:sz w:val="20"/>
                <w:szCs w:val="20"/>
                <w:color w:val="auto"/>
              </w:rPr>
            </w:pPr>
            <w:r>
              <w:rPr>
                <w:rFonts w:ascii="Arial" w:cs="Arial" w:eastAsia="Arial" w:hAnsi="Arial"/>
                <w:sz w:val="14"/>
                <w:szCs w:val="14"/>
                <w:color w:val="auto"/>
              </w:rPr>
              <w:t>—</w:t>
            </w:r>
          </w:p>
        </w:tc>
      </w:tr>
      <w:tr>
        <w:trPr>
          <w:trHeight w:val="178"/>
        </w:trPr>
        <w:tc>
          <w:tcPr>
            <w:tcW w:w="3220" w:type="dxa"/>
            <w:vAlign w:val="bottom"/>
            <w:tcBorders>
              <w:bottom w:val="single" w:sz="8" w:color="F0F5F1"/>
            </w:tcBorders>
            <w:shd w:val="clear" w:color="auto" w:fill="F0F5F1"/>
          </w:tcPr>
          <w:p>
            <w:pPr>
              <w:spacing w:after="0"/>
              <w:rPr>
                <w:sz w:val="15"/>
                <w:szCs w:val="15"/>
                <w:color w:val="auto"/>
              </w:rPr>
            </w:pPr>
          </w:p>
        </w:tc>
        <w:tc>
          <w:tcPr>
            <w:tcW w:w="1320" w:type="dxa"/>
            <w:vAlign w:val="bottom"/>
            <w:tcBorders>
              <w:bottom w:val="single" w:sz="8" w:color="auto"/>
            </w:tcBorders>
            <w:gridSpan w:val="2"/>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420" w:type="dxa"/>
            <w:vAlign w:val="bottom"/>
            <w:tcBorders>
              <w:bottom w:val="single" w:sz="8" w:color="auto"/>
            </w:tcBorders>
            <w:shd w:val="clear" w:color="auto" w:fill="F0F5F1"/>
          </w:tcPr>
          <w:p>
            <w:pPr>
              <w:spacing w:after="0"/>
              <w:rPr>
                <w:sz w:val="15"/>
                <w:szCs w:val="15"/>
                <w:color w:val="auto"/>
              </w:rPr>
            </w:pPr>
          </w:p>
        </w:tc>
        <w:tc>
          <w:tcPr>
            <w:tcW w:w="94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1380" w:type="dxa"/>
            <w:vAlign w:val="bottom"/>
            <w:tcBorders>
              <w:bottom w:val="single" w:sz="8" w:color="auto"/>
            </w:tcBorders>
            <w:gridSpan w:val="2"/>
            <w:shd w:val="clear" w:color="auto" w:fill="F0F5F1"/>
          </w:tcPr>
          <w:p>
            <w:pPr>
              <w:spacing w:after="0"/>
              <w:rPr>
                <w:sz w:val="15"/>
                <w:szCs w:val="15"/>
                <w:color w:val="auto"/>
              </w:rPr>
            </w:pPr>
          </w:p>
        </w:tc>
        <w:tc>
          <w:tcPr>
            <w:tcW w:w="1780" w:type="dxa"/>
            <w:vAlign w:val="bottom"/>
            <w:tcBorders>
              <w:bottom w:val="single" w:sz="8" w:color="auto"/>
            </w:tcBorders>
            <w:gridSpan w:val="2"/>
            <w:shd w:val="clear" w:color="auto" w:fill="F0F5F1"/>
          </w:tcPr>
          <w:p>
            <w:pPr>
              <w:spacing w:after="0"/>
              <w:rPr>
                <w:sz w:val="15"/>
                <w:szCs w:val="15"/>
                <w:color w:val="auto"/>
              </w:rPr>
            </w:pPr>
          </w:p>
        </w:tc>
      </w:tr>
      <w:tr>
        <w:trPr>
          <w:trHeight w:val="270"/>
        </w:trPr>
        <w:tc>
          <w:tcPr>
            <w:tcW w:w="322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Total Assets</w:t>
            </w:r>
          </w:p>
        </w:tc>
        <w:tc>
          <w:tcPr>
            <w:tcW w:w="1320" w:type="dxa"/>
            <w:vAlign w:val="bottom"/>
            <w:tcBorders>
              <w:bottom w:val="single" w:sz="8" w:color="F0F5F1"/>
            </w:tcBorders>
            <w:gridSpan w:val="2"/>
            <w:shd w:val="clear" w:color="auto" w:fill="F0F5F1"/>
          </w:tcPr>
          <w:p>
            <w:pPr>
              <w:jc w:val="right"/>
              <w:ind w:right="151"/>
              <w:spacing w:after="0"/>
              <w:rPr>
                <w:sz w:val="20"/>
                <w:szCs w:val="20"/>
                <w:color w:val="auto"/>
              </w:rPr>
            </w:pPr>
            <w:r>
              <w:rPr>
                <w:rFonts w:ascii="Arial" w:cs="Arial" w:eastAsia="Arial" w:hAnsi="Arial"/>
                <w:sz w:val="14"/>
                <w:szCs w:val="14"/>
                <w:b w:val="1"/>
                <w:bCs w:val="1"/>
                <w:color w:val="auto"/>
              </w:rPr>
              <w:t>$197,638,287</w:t>
            </w:r>
          </w:p>
        </w:tc>
        <w:tc>
          <w:tcPr>
            <w:tcW w:w="200" w:type="dxa"/>
            <w:vAlign w:val="bottom"/>
            <w:tcBorders>
              <w:bottom w:val="single" w:sz="8" w:color="F0F5F1"/>
            </w:tcBorders>
            <w:shd w:val="clear" w:color="auto" w:fill="F0F5F1"/>
          </w:tcPr>
          <w:p>
            <w:pPr>
              <w:spacing w:after="0"/>
              <w:rPr>
                <w:sz w:val="23"/>
                <w:szCs w:val="23"/>
                <w:color w:val="auto"/>
              </w:rPr>
            </w:pPr>
          </w:p>
        </w:tc>
        <w:tc>
          <w:tcPr>
            <w:tcW w:w="420" w:type="dxa"/>
            <w:vAlign w:val="bottom"/>
            <w:tcBorders>
              <w:bottom w:val="single" w:sz="8" w:color="F0F5F1"/>
            </w:tcBorders>
            <w:shd w:val="clear" w:color="auto" w:fill="F0F5F1"/>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F0F5F1"/>
            </w:tcBorders>
            <w:shd w:val="clear" w:color="auto" w:fill="F0F5F1"/>
          </w:tcPr>
          <w:p>
            <w:pPr>
              <w:jc w:val="right"/>
              <w:ind w:right="230"/>
              <w:spacing w:after="0"/>
              <w:rPr>
                <w:sz w:val="20"/>
                <w:szCs w:val="20"/>
                <w:color w:val="auto"/>
              </w:rPr>
            </w:pPr>
            <w:r>
              <w:rPr>
                <w:rFonts w:ascii="Arial" w:cs="Arial" w:eastAsia="Arial" w:hAnsi="Arial"/>
                <w:sz w:val="14"/>
                <w:szCs w:val="14"/>
                <w:b w:val="1"/>
                <w:bCs w:val="1"/>
                <w:color w:val="auto"/>
                <w:w w:val="99"/>
              </w:rPr>
              <w:t>7,434,743</w:t>
            </w:r>
          </w:p>
        </w:tc>
        <w:tc>
          <w:tcPr>
            <w:tcW w:w="200" w:type="dxa"/>
            <w:vAlign w:val="bottom"/>
            <w:tcBorders>
              <w:bottom w:val="single" w:sz="8" w:color="F0F5F1"/>
            </w:tcBorders>
            <w:shd w:val="clear" w:color="auto" w:fill="F0F5F1"/>
          </w:tcPr>
          <w:p>
            <w:pPr>
              <w:spacing w:after="0"/>
              <w:rPr>
                <w:sz w:val="23"/>
                <w:szCs w:val="23"/>
                <w:color w:val="auto"/>
              </w:rPr>
            </w:pPr>
          </w:p>
        </w:tc>
        <w:tc>
          <w:tcPr>
            <w:tcW w:w="1380" w:type="dxa"/>
            <w:vAlign w:val="bottom"/>
            <w:tcBorders>
              <w:bottom w:val="single" w:sz="8" w:color="F0F5F1"/>
            </w:tcBorders>
            <w:gridSpan w:val="2"/>
            <w:shd w:val="clear" w:color="auto" w:fill="F0F5F1"/>
          </w:tcPr>
          <w:p>
            <w:pPr>
              <w:jc w:val="center"/>
              <w:spacing w:after="0"/>
              <w:rPr>
                <w:sz w:val="20"/>
                <w:szCs w:val="20"/>
                <w:color w:val="auto"/>
              </w:rPr>
            </w:pPr>
            <w:r>
              <w:rPr>
                <w:rFonts w:ascii="Arial" w:cs="Arial" w:eastAsia="Arial" w:hAnsi="Arial"/>
                <w:sz w:val="14"/>
                <w:szCs w:val="14"/>
                <w:b w:val="1"/>
                <w:bCs w:val="1"/>
                <w:color w:val="auto"/>
              </w:rPr>
              <w:t>$61,084,785</w:t>
            </w:r>
          </w:p>
        </w:tc>
        <w:tc>
          <w:tcPr>
            <w:tcW w:w="1780" w:type="dxa"/>
            <w:vAlign w:val="bottom"/>
            <w:tcBorders>
              <w:bottom w:val="single" w:sz="8" w:color="F0F5F1"/>
            </w:tcBorders>
            <w:gridSpan w:val="2"/>
            <w:shd w:val="clear" w:color="auto" w:fill="F0F5F1"/>
          </w:tcPr>
          <w:p>
            <w:pPr>
              <w:jc w:val="center"/>
              <w:ind w:left="74"/>
              <w:spacing w:after="0"/>
              <w:rPr>
                <w:sz w:val="20"/>
                <w:szCs w:val="20"/>
                <w:color w:val="auto"/>
              </w:rPr>
            </w:pPr>
            <w:r>
              <w:rPr>
                <w:rFonts w:ascii="Arial" w:cs="Arial" w:eastAsia="Arial" w:hAnsi="Arial"/>
                <w:sz w:val="14"/>
                <w:szCs w:val="14"/>
                <w:b w:val="1"/>
                <w:bCs w:val="1"/>
                <w:color w:val="auto"/>
              </w:rPr>
              <w:t>$129,118,759</w:t>
            </w:r>
          </w:p>
        </w:tc>
      </w:tr>
      <w:tr>
        <w:trPr>
          <w:trHeight w:val="20"/>
        </w:trPr>
        <w:tc>
          <w:tcPr>
            <w:tcW w:w="3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hanging="272"/>
        <w:spacing w:after="0"/>
        <w:tabs>
          <w:tab w:leader="none" w:pos="440" w:val="left"/>
        </w:tabs>
        <w:numPr>
          <w:ilvl w:val="0"/>
          <w:numId w:val="134"/>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64770</wp:posOffset>
            </wp:positionV>
            <wp:extent cx="33655" cy="4254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64770</wp:posOffset>
            </wp:positionV>
            <wp:extent cx="34290" cy="4254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040" w:type="dxa"/>
            <w:vAlign w:val="bottom"/>
            <w:tcBorders>
              <w:top w:val="single" w:sz="8" w:color="9A9A9A"/>
            </w:tcBorders>
            <w:shd w:val="clear" w:color="auto" w:fill="F0F5F1"/>
          </w:tcPr>
          <w:p>
            <w:pPr>
              <w:spacing w:after="0"/>
              <w:rPr>
                <w:sz w:val="24"/>
                <w:szCs w:val="24"/>
                <w:color w:val="auto"/>
              </w:rPr>
            </w:pPr>
          </w:p>
        </w:tc>
        <w:tc>
          <w:tcPr>
            <w:tcW w:w="180" w:type="dxa"/>
            <w:vAlign w:val="bottom"/>
            <w:tcBorders>
              <w:top w:val="single" w:sz="8" w:color="9A9A9A"/>
            </w:tcBorders>
            <w:shd w:val="clear" w:color="auto" w:fill="F0F5F1"/>
          </w:tcPr>
          <w:p>
            <w:pPr>
              <w:spacing w:after="0"/>
              <w:rPr>
                <w:sz w:val="24"/>
                <w:szCs w:val="24"/>
                <w:color w:val="auto"/>
              </w:rPr>
            </w:pPr>
          </w:p>
        </w:tc>
        <w:tc>
          <w:tcPr>
            <w:tcW w:w="320" w:type="dxa"/>
            <w:vAlign w:val="bottom"/>
            <w:tcBorders>
              <w:top w:val="single" w:sz="8" w:color="9A9A9A"/>
            </w:tcBorders>
            <w:shd w:val="clear" w:color="auto" w:fill="F0F5F1"/>
          </w:tcPr>
          <w:p>
            <w:pPr>
              <w:spacing w:after="0"/>
              <w:rPr>
                <w:sz w:val="24"/>
                <w:szCs w:val="24"/>
                <w:color w:val="auto"/>
              </w:rPr>
            </w:pPr>
          </w:p>
        </w:tc>
        <w:tc>
          <w:tcPr>
            <w:tcW w:w="1000" w:type="dxa"/>
            <w:vAlign w:val="bottom"/>
            <w:tcBorders>
              <w:top w:val="single" w:sz="8" w:color="9A9A9A"/>
            </w:tcBorders>
            <w:shd w:val="clear" w:color="auto" w:fill="F0F5F1"/>
          </w:tcPr>
          <w:p>
            <w:pPr>
              <w:spacing w:after="0"/>
              <w:rPr>
                <w:sz w:val="24"/>
                <w:szCs w:val="24"/>
                <w:color w:val="auto"/>
              </w:rPr>
            </w:pPr>
          </w:p>
        </w:tc>
        <w:tc>
          <w:tcPr>
            <w:tcW w:w="200" w:type="dxa"/>
            <w:vAlign w:val="bottom"/>
            <w:tcBorders>
              <w:top w:val="single" w:sz="8" w:color="9A9A9A"/>
            </w:tcBorders>
            <w:shd w:val="clear" w:color="auto" w:fill="F0F5F1"/>
          </w:tcPr>
          <w:p>
            <w:pPr>
              <w:spacing w:after="0"/>
              <w:rPr>
                <w:sz w:val="24"/>
                <w:szCs w:val="24"/>
                <w:color w:val="auto"/>
              </w:rPr>
            </w:pPr>
          </w:p>
        </w:tc>
        <w:tc>
          <w:tcPr>
            <w:tcW w:w="1360" w:type="dxa"/>
            <w:vAlign w:val="bottom"/>
            <w:tcBorders>
              <w:top w:val="single" w:sz="8" w:color="9A9A9A"/>
            </w:tcBorders>
            <w:shd w:val="clear" w:color="auto" w:fill="F0F5F1"/>
          </w:tcPr>
          <w:p>
            <w:pPr>
              <w:spacing w:after="0"/>
              <w:rPr>
                <w:sz w:val="24"/>
                <w:szCs w:val="24"/>
                <w:color w:val="auto"/>
              </w:rPr>
            </w:pPr>
          </w:p>
        </w:tc>
        <w:tc>
          <w:tcPr>
            <w:tcW w:w="200" w:type="dxa"/>
            <w:vAlign w:val="bottom"/>
            <w:tcBorders>
              <w:top w:val="single" w:sz="8" w:color="9A9A9A"/>
            </w:tcBorders>
            <w:shd w:val="clear" w:color="auto" w:fill="F0F5F1"/>
          </w:tcPr>
          <w:p>
            <w:pPr>
              <w:spacing w:after="0"/>
              <w:rPr>
                <w:sz w:val="24"/>
                <w:szCs w:val="24"/>
                <w:color w:val="auto"/>
              </w:rPr>
            </w:pPr>
          </w:p>
        </w:tc>
        <w:tc>
          <w:tcPr>
            <w:tcW w:w="440" w:type="dxa"/>
            <w:vAlign w:val="bottom"/>
            <w:tcBorders>
              <w:top w:val="single" w:sz="8" w:color="9A9A9A"/>
            </w:tcBorders>
            <w:shd w:val="clear" w:color="auto" w:fill="F0F5F1"/>
          </w:tcPr>
          <w:p>
            <w:pPr>
              <w:spacing w:after="0"/>
              <w:rPr>
                <w:sz w:val="24"/>
                <w:szCs w:val="24"/>
                <w:color w:val="auto"/>
              </w:rPr>
            </w:pPr>
          </w:p>
        </w:tc>
        <w:tc>
          <w:tcPr>
            <w:tcW w:w="1140" w:type="dxa"/>
            <w:vAlign w:val="bottom"/>
            <w:tcBorders>
              <w:top w:val="single" w:sz="8" w:color="9A9A9A"/>
            </w:tcBorders>
            <w:shd w:val="clear" w:color="auto" w:fill="F0F5F1"/>
          </w:tcPr>
          <w:p>
            <w:pPr>
              <w:spacing w:after="0"/>
              <w:rPr>
                <w:sz w:val="24"/>
                <w:szCs w:val="24"/>
                <w:color w:val="auto"/>
              </w:rPr>
            </w:pPr>
          </w:p>
        </w:tc>
        <w:tc>
          <w:tcPr>
            <w:tcW w:w="480" w:type="dxa"/>
            <w:vAlign w:val="bottom"/>
            <w:tcBorders>
              <w:top w:val="single" w:sz="8" w:color="9A9A9A"/>
            </w:tcBorders>
            <w:shd w:val="clear" w:color="auto" w:fill="F0F5F1"/>
          </w:tcPr>
          <w:p>
            <w:pPr>
              <w:spacing w:after="0"/>
              <w:rPr>
                <w:sz w:val="24"/>
                <w:szCs w:val="24"/>
                <w:color w:val="auto"/>
              </w:rPr>
            </w:pPr>
          </w:p>
        </w:tc>
        <w:tc>
          <w:tcPr>
            <w:tcW w:w="1100" w:type="dxa"/>
            <w:vAlign w:val="bottom"/>
            <w:tcBorders>
              <w:top w:val="single" w:sz="8" w:color="9A9A9A"/>
            </w:tcBorders>
            <w:shd w:val="clear" w:color="auto" w:fill="F0F5F1"/>
          </w:tcPr>
          <w:p>
            <w:pPr>
              <w:jc w:val="center"/>
              <w:ind w:right="477"/>
              <w:spacing w:after="0"/>
              <w:rPr>
                <w:sz w:val="20"/>
                <w:szCs w:val="20"/>
                <w:color w:val="auto"/>
              </w:rPr>
            </w:pPr>
            <w:r>
              <w:rPr>
                <w:rFonts w:ascii="Arial" w:cs="Arial" w:eastAsia="Arial" w:hAnsi="Arial"/>
                <w:sz w:val="11"/>
                <w:szCs w:val="11"/>
                <w:color w:val="auto"/>
              </w:rPr>
              <w:t>LEVEL 3</w:t>
            </w:r>
          </w:p>
        </w:tc>
        <w:tc>
          <w:tcPr>
            <w:tcW w:w="1780" w:type="dxa"/>
            <w:vAlign w:val="bottom"/>
            <w:tcBorders>
              <w:top w:val="single" w:sz="8" w:color="9A9A9A"/>
            </w:tcBorders>
          </w:tcPr>
          <w:p>
            <w:pPr>
              <w:spacing w:after="0"/>
              <w:rPr>
                <w:sz w:val="24"/>
                <w:szCs w:val="24"/>
                <w:color w:val="auto"/>
              </w:rPr>
            </w:pPr>
          </w:p>
        </w:tc>
      </w:tr>
      <w:tr>
        <w:trPr>
          <w:trHeight w:val="162"/>
        </w:trPr>
        <w:tc>
          <w:tcPr>
            <w:tcW w:w="3040" w:type="dxa"/>
            <w:vAlign w:val="bottom"/>
            <w:shd w:val="clear" w:color="auto" w:fill="F0F5F1"/>
          </w:tcPr>
          <w:p>
            <w:pPr>
              <w:spacing w:after="0"/>
              <w:rPr>
                <w:sz w:val="14"/>
                <w:szCs w:val="14"/>
                <w:color w:val="auto"/>
              </w:rPr>
            </w:pPr>
          </w:p>
        </w:tc>
        <w:tc>
          <w:tcPr>
            <w:tcW w:w="180" w:type="dxa"/>
            <w:vAlign w:val="bottom"/>
            <w:shd w:val="clear" w:color="auto" w:fill="F0F5F1"/>
          </w:tcPr>
          <w:p>
            <w:pPr>
              <w:spacing w:after="0"/>
              <w:rPr>
                <w:sz w:val="14"/>
                <w:szCs w:val="14"/>
                <w:color w:val="auto"/>
              </w:rPr>
            </w:pPr>
          </w:p>
        </w:tc>
        <w:tc>
          <w:tcPr>
            <w:tcW w:w="320" w:type="dxa"/>
            <w:vAlign w:val="bottom"/>
            <w:shd w:val="clear" w:color="auto" w:fill="F0F5F1"/>
          </w:tcPr>
          <w:p>
            <w:pPr>
              <w:spacing w:after="0"/>
              <w:rPr>
                <w:sz w:val="14"/>
                <w:szCs w:val="14"/>
                <w:color w:val="auto"/>
              </w:rPr>
            </w:pPr>
          </w:p>
        </w:tc>
        <w:tc>
          <w:tcPr>
            <w:tcW w:w="100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136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440" w:type="dxa"/>
            <w:vAlign w:val="bottom"/>
            <w:shd w:val="clear" w:color="auto" w:fill="F0F5F1"/>
          </w:tcPr>
          <w:p>
            <w:pPr>
              <w:spacing w:after="0"/>
              <w:rPr>
                <w:sz w:val="14"/>
                <w:szCs w:val="14"/>
                <w:color w:val="auto"/>
              </w:rPr>
            </w:pPr>
          </w:p>
        </w:tc>
        <w:tc>
          <w:tcPr>
            <w:tcW w:w="1140" w:type="dxa"/>
            <w:vAlign w:val="bottom"/>
            <w:shd w:val="clear" w:color="auto" w:fill="F0F5F1"/>
          </w:tcPr>
          <w:p>
            <w:pPr>
              <w:jc w:val="center"/>
              <w:ind w:right="574"/>
              <w:spacing w:after="0"/>
              <w:rPr>
                <w:sz w:val="20"/>
                <w:szCs w:val="20"/>
                <w:color w:val="auto"/>
              </w:rPr>
            </w:pPr>
            <w:r>
              <w:rPr>
                <w:rFonts w:ascii="Arial" w:cs="Arial" w:eastAsia="Arial" w:hAnsi="Arial"/>
                <w:sz w:val="11"/>
                <w:szCs w:val="11"/>
                <w:color w:val="auto"/>
                <w:w w:val="96"/>
              </w:rPr>
              <w:t>LEVEL 2</w:t>
            </w:r>
          </w:p>
        </w:tc>
        <w:tc>
          <w:tcPr>
            <w:tcW w:w="1580" w:type="dxa"/>
            <w:vAlign w:val="bottom"/>
            <w:gridSpan w:val="2"/>
            <w:shd w:val="clear" w:color="auto" w:fill="F0F5F1"/>
          </w:tcPr>
          <w:p>
            <w:pPr>
              <w:jc w:val="center"/>
              <w:spacing w:after="0"/>
              <w:rPr>
                <w:sz w:val="20"/>
                <w:szCs w:val="20"/>
                <w:color w:val="auto"/>
              </w:rPr>
            </w:pPr>
            <w:r>
              <w:rPr>
                <w:rFonts w:ascii="Arial" w:cs="Arial" w:eastAsia="Arial" w:hAnsi="Arial"/>
                <w:sz w:val="11"/>
                <w:szCs w:val="11"/>
                <w:color w:val="auto"/>
                <w:w w:val="97"/>
              </w:rPr>
              <w:t>SIGNIFICANT</w:t>
            </w:r>
          </w:p>
        </w:tc>
        <w:tc>
          <w:tcPr>
            <w:tcW w:w="1780" w:type="dxa"/>
            <w:vAlign w:val="bottom"/>
          </w:tcPr>
          <w:p>
            <w:pPr>
              <w:spacing w:after="0"/>
              <w:rPr>
                <w:sz w:val="14"/>
                <w:szCs w:val="14"/>
                <w:color w:val="auto"/>
              </w:rPr>
            </w:pPr>
          </w:p>
        </w:tc>
      </w:tr>
      <w:tr>
        <w:trPr>
          <w:trHeight w:val="162"/>
        </w:trPr>
        <w:tc>
          <w:tcPr>
            <w:tcW w:w="3040" w:type="dxa"/>
            <w:vAlign w:val="bottom"/>
            <w:shd w:val="clear" w:color="auto" w:fill="F0F5F1"/>
          </w:tcPr>
          <w:p>
            <w:pPr>
              <w:spacing w:after="0"/>
              <w:rPr>
                <w:sz w:val="14"/>
                <w:szCs w:val="14"/>
                <w:color w:val="auto"/>
              </w:rPr>
            </w:pPr>
          </w:p>
        </w:tc>
        <w:tc>
          <w:tcPr>
            <w:tcW w:w="180" w:type="dxa"/>
            <w:vAlign w:val="bottom"/>
            <w:shd w:val="clear" w:color="auto" w:fill="F0F5F1"/>
          </w:tcPr>
          <w:p>
            <w:pPr>
              <w:spacing w:after="0"/>
              <w:rPr>
                <w:sz w:val="14"/>
                <w:szCs w:val="14"/>
                <w:color w:val="auto"/>
              </w:rPr>
            </w:pPr>
          </w:p>
        </w:tc>
        <w:tc>
          <w:tcPr>
            <w:tcW w:w="320" w:type="dxa"/>
            <w:vAlign w:val="bottom"/>
            <w:shd w:val="clear" w:color="auto" w:fill="F0F5F1"/>
          </w:tcPr>
          <w:p>
            <w:pPr>
              <w:spacing w:after="0"/>
              <w:rPr>
                <w:sz w:val="14"/>
                <w:szCs w:val="14"/>
                <w:color w:val="auto"/>
              </w:rPr>
            </w:pPr>
          </w:p>
        </w:tc>
        <w:tc>
          <w:tcPr>
            <w:tcW w:w="1000" w:type="dxa"/>
            <w:vAlign w:val="bottom"/>
            <w:shd w:val="clear" w:color="auto" w:fill="F0F5F1"/>
          </w:tcPr>
          <w:p>
            <w:pPr>
              <w:jc w:val="right"/>
              <w:ind w:right="294"/>
              <w:spacing w:after="0"/>
              <w:rPr>
                <w:sz w:val="20"/>
                <w:szCs w:val="20"/>
                <w:color w:val="auto"/>
              </w:rPr>
            </w:pPr>
            <w:r>
              <w:rPr>
                <w:rFonts w:ascii="Arial" w:cs="Arial" w:eastAsia="Arial" w:hAnsi="Arial"/>
                <w:sz w:val="11"/>
                <w:szCs w:val="11"/>
                <w:color w:val="auto"/>
                <w:w w:val="97"/>
              </w:rPr>
              <w:t>TOTAL FAIR</w:t>
            </w:r>
          </w:p>
        </w:tc>
        <w:tc>
          <w:tcPr>
            <w:tcW w:w="200" w:type="dxa"/>
            <w:vAlign w:val="bottom"/>
            <w:shd w:val="clear" w:color="auto" w:fill="F0F5F1"/>
          </w:tcPr>
          <w:p>
            <w:pPr>
              <w:spacing w:after="0"/>
              <w:rPr>
                <w:sz w:val="14"/>
                <w:szCs w:val="14"/>
                <w:color w:val="auto"/>
              </w:rPr>
            </w:pPr>
          </w:p>
        </w:tc>
        <w:tc>
          <w:tcPr>
            <w:tcW w:w="1360" w:type="dxa"/>
            <w:vAlign w:val="bottom"/>
            <w:shd w:val="clear" w:color="auto" w:fill="F0F5F1"/>
          </w:tcPr>
          <w:p>
            <w:pPr>
              <w:jc w:val="center"/>
              <w:spacing w:after="0"/>
              <w:rPr>
                <w:sz w:val="20"/>
                <w:szCs w:val="20"/>
                <w:color w:val="auto"/>
              </w:rPr>
            </w:pPr>
            <w:r>
              <w:rPr>
                <w:rFonts w:ascii="Arial" w:cs="Arial" w:eastAsia="Arial" w:hAnsi="Arial"/>
                <w:sz w:val="11"/>
                <w:szCs w:val="11"/>
                <w:color w:val="auto"/>
              </w:rPr>
              <w:t>LEVEL 1</w:t>
            </w:r>
          </w:p>
        </w:tc>
        <w:tc>
          <w:tcPr>
            <w:tcW w:w="200" w:type="dxa"/>
            <w:vAlign w:val="bottom"/>
            <w:shd w:val="clear" w:color="auto" w:fill="F0F5F1"/>
          </w:tcPr>
          <w:p>
            <w:pPr>
              <w:spacing w:after="0"/>
              <w:rPr>
                <w:sz w:val="14"/>
                <w:szCs w:val="14"/>
                <w:color w:val="auto"/>
              </w:rPr>
            </w:pPr>
          </w:p>
        </w:tc>
        <w:tc>
          <w:tcPr>
            <w:tcW w:w="1580" w:type="dxa"/>
            <w:vAlign w:val="bottom"/>
            <w:gridSpan w:val="2"/>
            <w:shd w:val="clear" w:color="auto" w:fill="F0F5F1"/>
          </w:tcPr>
          <w:p>
            <w:pPr>
              <w:jc w:val="center"/>
              <w:ind w:right="154"/>
              <w:spacing w:after="0"/>
              <w:rPr>
                <w:sz w:val="20"/>
                <w:szCs w:val="20"/>
                <w:color w:val="auto"/>
              </w:rPr>
            </w:pPr>
            <w:r>
              <w:rPr>
                <w:rFonts w:ascii="Arial" w:cs="Arial" w:eastAsia="Arial" w:hAnsi="Arial"/>
                <w:sz w:val="11"/>
                <w:szCs w:val="11"/>
                <w:color w:val="auto"/>
                <w:w w:val="97"/>
              </w:rPr>
              <w:t>SIGNIFICANT</w:t>
            </w:r>
          </w:p>
        </w:tc>
        <w:tc>
          <w:tcPr>
            <w:tcW w:w="1580" w:type="dxa"/>
            <w:vAlign w:val="bottom"/>
            <w:gridSpan w:val="2"/>
            <w:shd w:val="clear" w:color="auto" w:fill="F0F5F1"/>
          </w:tcPr>
          <w:p>
            <w:pPr>
              <w:jc w:val="center"/>
              <w:spacing w:after="0"/>
              <w:rPr>
                <w:sz w:val="20"/>
                <w:szCs w:val="20"/>
                <w:color w:val="auto"/>
              </w:rPr>
            </w:pPr>
            <w:r>
              <w:rPr>
                <w:rFonts w:ascii="Arial" w:cs="Arial" w:eastAsia="Arial" w:hAnsi="Arial"/>
                <w:sz w:val="11"/>
                <w:szCs w:val="11"/>
                <w:color w:val="auto"/>
                <w:w w:val="97"/>
              </w:rPr>
              <w:t>UNOBSERVABLE</w:t>
            </w:r>
          </w:p>
        </w:tc>
        <w:tc>
          <w:tcPr>
            <w:tcW w:w="1780" w:type="dxa"/>
            <w:vAlign w:val="bottom"/>
          </w:tcPr>
          <w:p>
            <w:pPr>
              <w:spacing w:after="0"/>
              <w:rPr>
                <w:sz w:val="14"/>
                <w:szCs w:val="14"/>
                <w:color w:val="auto"/>
              </w:rPr>
            </w:pPr>
          </w:p>
        </w:tc>
      </w:tr>
      <w:tr>
        <w:trPr>
          <w:trHeight w:val="214"/>
        </w:trPr>
        <w:tc>
          <w:tcPr>
            <w:tcW w:w="3040" w:type="dxa"/>
            <w:vAlign w:val="bottom"/>
            <w:tcBorders>
              <w:bottom w:val="single" w:sz="8" w:color="F0F5F1"/>
            </w:tcBorders>
            <w:shd w:val="clear" w:color="auto" w:fill="F0F5F1"/>
          </w:tcPr>
          <w:p>
            <w:pPr>
              <w:spacing w:after="0"/>
              <w:rPr>
                <w:sz w:val="18"/>
                <w:szCs w:val="18"/>
                <w:color w:val="auto"/>
              </w:rPr>
            </w:pPr>
          </w:p>
        </w:tc>
        <w:tc>
          <w:tcPr>
            <w:tcW w:w="180" w:type="dxa"/>
            <w:vAlign w:val="bottom"/>
            <w:tcBorders>
              <w:bottom w:val="single" w:sz="8" w:color="F0F5F1"/>
            </w:tcBorders>
            <w:shd w:val="clear" w:color="auto" w:fill="F0F5F1"/>
          </w:tcPr>
          <w:p>
            <w:pPr>
              <w:spacing w:after="0"/>
              <w:rPr>
                <w:sz w:val="18"/>
                <w:szCs w:val="18"/>
                <w:color w:val="auto"/>
              </w:rPr>
            </w:pPr>
          </w:p>
        </w:tc>
        <w:tc>
          <w:tcPr>
            <w:tcW w:w="1320" w:type="dxa"/>
            <w:vAlign w:val="bottom"/>
            <w:tcBorders>
              <w:bottom w:val="single" w:sz="8" w:color="F0F5F1"/>
            </w:tcBorders>
            <w:gridSpan w:val="2"/>
            <w:shd w:val="clear" w:color="auto" w:fill="F0F5F1"/>
          </w:tcPr>
          <w:p>
            <w:pPr>
              <w:ind w:left="200"/>
              <w:spacing w:after="0"/>
              <w:rPr>
                <w:sz w:val="20"/>
                <w:szCs w:val="20"/>
                <w:color w:val="auto"/>
              </w:rPr>
            </w:pPr>
            <w:r>
              <w:rPr>
                <w:rFonts w:ascii="Arial" w:cs="Arial" w:eastAsia="Arial" w:hAnsi="Arial"/>
                <w:sz w:val="11"/>
                <w:szCs w:val="11"/>
                <w:color w:val="auto"/>
              </w:rPr>
              <w:t>VALUE AT 9-30-25</w:t>
            </w:r>
          </w:p>
        </w:tc>
        <w:tc>
          <w:tcPr>
            <w:tcW w:w="200" w:type="dxa"/>
            <w:vAlign w:val="bottom"/>
            <w:tcBorders>
              <w:bottom w:val="single" w:sz="8" w:color="F0F5F1"/>
            </w:tcBorders>
            <w:shd w:val="clear" w:color="auto" w:fill="F0F5F1"/>
          </w:tcPr>
          <w:p>
            <w:pPr>
              <w:spacing w:after="0"/>
              <w:rPr>
                <w:sz w:val="18"/>
                <w:szCs w:val="18"/>
                <w:color w:val="auto"/>
              </w:rPr>
            </w:pPr>
          </w:p>
        </w:tc>
        <w:tc>
          <w:tcPr>
            <w:tcW w:w="1360" w:type="dxa"/>
            <w:vAlign w:val="bottom"/>
            <w:tcBorders>
              <w:bottom w:val="single" w:sz="8" w:color="F0F5F1"/>
            </w:tcBorders>
            <w:shd w:val="clear" w:color="auto" w:fill="F0F5F1"/>
          </w:tcPr>
          <w:p>
            <w:pPr>
              <w:jc w:val="center"/>
              <w:spacing w:after="0"/>
              <w:rPr>
                <w:sz w:val="20"/>
                <w:szCs w:val="20"/>
                <w:color w:val="auto"/>
              </w:rPr>
            </w:pPr>
            <w:r>
              <w:rPr>
                <w:rFonts w:ascii="Arial" w:cs="Arial" w:eastAsia="Arial" w:hAnsi="Arial"/>
                <w:sz w:val="11"/>
                <w:szCs w:val="11"/>
                <w:color w:val="auto"/>
                <w:w w:val="97"/>
              </w:rPr>
              <w:t>QUOTED PRICE</w:t>
            </w:r>
          </w:p>
        </w:tc>
        <w:tc>
          <w:tcPr>
            <w:tcW w:w="200" w:type="dxa"/>
            <w:vAlign w:val="bottom"/>
            <w:tcBorders>
              <w:bottom w:val="single" w:sz="8" w:color="F0F5F1"/>
            </w:tcBorders>
            <w:shd w:val="clear" w:color="auto" w:fill="F0F5F1"/>
          </w:tcPr>
          <w:p>
            <w:pPr>
              <w:spacing w:after="0"/>
              <w:rPr>
                <w:sz w:val="18"/>
                <w:szCs w:val="18"/>
                <w:color w:val="auto"/>
              </w:rPr>
            </w:pPr>
          </w:p>
        </w:tc>
        <w:tc>
          <w:tcPr>
            <w:tcW w:w="1580" w:type="dxa"/>
            <w:vAlign w:val="bottom"/>
            <w:tcBorders>
              <w:bottom w:val="single" w:sz="8" w:color="F0F5F1"/>
            </w:tcBorders>
            <w:gridSpan w:val="2"/>
            <w:shd w:val="clear" w:color="auto" w:fill="F0F5F1"/>
          </w:tcPr>
          <w:p>
            <w:pPr>
              <w:jc w:val="center"/>
              <w:ind w:right="134"/>
              <w:spacing w:after="0"/>
              <w:rPr>
                <w:sz w:val="20"/>
                <w:szCs w:val="20"/>
                <w:color w:val="auto"/>
              </w:rPr>
            </w:pPr>
            <w:r>
              <w:rPr>
                <w:rFonts w:ascii="Arial" w:cs="Arial" w:eastAsia="Arial" w:hAnsi="Arial"/>
                <w:sz w:val="11"/>
                <w:szCs w:val="11"/>
                <w:color w:val="auto"/>
                <w:w w:val="97"/>
              </w:rPr>
              <w:t>OBSERVABLE INPUTS</w:t>
            </w:r>
          </w:p>
        </w:tc>
        <w:tc>
          <w:tcPr>
            <w:tcW w:w="480" w:type="dxa"/>
            <w:vAlign w:val="bottom"/>
            <w:tcBorders>
              <w:bottom w:val="single" w:sz="8" w:color="F0F5F1"/>
            </w:tcBorders>
            <w:shd w:val="clear" w:color="auto" w:fill="F0F5F1"/>
          </w:tcPr>
          <w:p>
            <w:pPr>
              <w:spacing w:after="0"/>
              <w:rPr>
                <w:sz w:val="18"/>
                <w:szCs w:val="18"/>
                <w:color w:val="auto"/>
              </w:rPr>
            </w:pPr>
          </w:p>
        </w:tc>
        <w:tc>
          <w:tcPr>
            <w:tcW w:w="1100" w:type="dxa"/>
            <w:vAlign w:val="bottom"/>
            <w:tcBorders>
              <w:bottom w:val="single" w:sz="8" w:color="F0F5F1"/>
            </w:tcBorders>
            <w:shd w:val="clear" w:color="auto" w:fill="F0F5F1"/>
          </w:tcPr>
          <w:p>
            <w:pPr>
              <w:jc w:val="center"/>
              <w:ind w:right="477"/>
              <w:spacing w:after="0"/>
              <w:rPr>
                <w:sz w:val="20"/>
                <w:szCs w:val="20"/>
                <w:color w:val="auto"/>
              </w:rPr>
            </w:pPr>
            <w:r>
              <w:rPr>
                <w:rFonts w:ascii="Arial" w:cs="Arial" w:eastAsia="Arial" w:hAnsi="Arial"/>
                <w:sz w:val="11"/>
                <w:szCs w:val="11"/>
                <w:color w:val="auto"/>
                <w:w w:val="99"/>
              </w:rPr>
              <w:t>INPUTS</w:t>
            </w:r>
          </w:p>
        </w:tc>
        <w:tc>
          <w:tcPr>
            <w:tcW w:w="1780" w:type="dxa"/>
            <w:vAlign w:val="bottom"/>
          </w:tcPr>
          <w:p>
            <w:pPr>
              <w:spacing w:after="0"/>
              <w:rPr>
                <w:sz w:val="18"/>
                <w:szCs w:val="18"/>
                <w:color w:val="auto"/>
              </w:rPr>
            </w:pPr>
          </w:p>
        </w:tc>
      </w:tr>
      <w:tr>
        <w:trPr>
          <w:trHeight w:val="295"/>
        </w:trPr>
        <w:tc>
          <w:tcPr>
            <w:tcW w:w="3040" w:type="dxa"/>
            <w:vAlign w:val="bottom"/>
            <w:tcBorders>
              <w:top w:val="single" w:sz="8" w:color="auto"/>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F0F5F1"/>
              <w:bottom w:val="single" w:sz="8" w:color="F0F5F1"/>
            </w:tcBorders>
            <w:shd w:val="clear" w:color="auto" w:fill="F0F5F1"/>
          </w:tcPr>
          <w:p>
            <w:pPr>
              <w:spacing w:after="0"/>
              <w:rPr>
                <w:sz w:val="24"/>
                <w:szCs w:val="24"/>
                <w:color w:val="auto"/>
              </w:rPr>
            </w:pPr>
          </w:p>
        </w:tc>
        <w:tc>
          <w:tcPr>
            <w:tcW w:w="320" w:type="dxa"/>
            <w:vAlign w:val="bottom"/>
            <w:tcBorders>
              <w:top w:val="single" w:sz="8" w:color="auto"/>
              <w:bottom w:val="single" w:sz="8" w:color="F0F5F1"/>
            </w:tcBorders>
            <w:shd w:val="clear" w:color="auto" w:fill="F0F5F1"/>
          </w:tcPr>
          <w:p>
            <w:pPr>
              <w:spacing w:after="0"/>
              <w:rPr>
                <w:sz w:val="24"/>
                <w:szCs w:val="24"/>
                <w:color w:val="auto"/>
              </w:rPr>
            </w:pPr>
          </w:p>
        </w:tc>
        <w:tc>
          <w:tcPr>
            <w:tcW w:w="1000" w:type="dxa"/>
            <w:vAlign w:val="bottom"/>
            <w:tcBorders>
              <w:top w:val="single" w:sz="8" w:color="auto"/>
              <w:bottom w:val="single" w:sz="8" w:color="F0F5F1"/>
            </w:tcBorders>
            <w:shd w:val="clear" w:color="auto" w:fill="F0F5F1"/>
          </w:tcPr>
          <w:p>
            <w:pPr>
              <w:spacing w:after="0"/>
              <w:rPr>
                <w:sz w:val="24"/>
                <w:szCs w:val="24"/>
                <w:color w:val="auto"/>
              </w:rPr>
            </w:pPr>
          </w:p>
        </w:tc>
        <w:tc>
          <w:tcPr>
            <w:tcW w:w="200" w:type="dxa"/>
            <w:vAlign w:val="bottom"/>
            <w:tcBorders>
              <w:top w:val="single" w:sz="8" w:color="F0F5F1"/>
              <w:bottom w:val="single" w:sz="8" w:color="F0F5F1"/>
            </w:tcBorders>
            <w:shd w:val="clear" w:color="auto" w:fill="F0F5F1"/>
          </w:tcPr>
          <w:p>
            <w:pPr>
              <w:spacing w:after="0"/>
              <w:rPr>
                <w:sz w:val="24"/>
                <w:szCs w:val="24"/>
                <w:color w:val="auto"/>
              </w:rPr>
            </w:pPr>
          </w:p>
        </w:tc>
        <w:tc>
          <w:tcPr>
            <w:tcW w:w="1360" w:type="dxa"/>
            <w:vAlign w:val="bottom"/>
            <w:tcBorders>
              <w:top w:val="single" w:sz="8" w:color="auto"/>
              <w:bottom w:val="single" w:sz="8" w:color="F0F5F1"/>
            </w:tcBorders>
            <w:shd w:val="clear" w:color="auto" w:fill="F0F5F1"/>
          </w:tcPr>
          <w:p>
            <w:pPr>
              <w:spacing w:after="0"/>
              <w:rPr>
                <w:sz w:val="24"/>
                <w:szCs w:val="24"/>
                <w:color w:val="auto"/>
              </w:rPr>
            </w:pPr>
          </w:p>
        </w:tc>
        <w:tc>
          <w:tcPr>
            <w:tcW w:w="200" w:type="dxa"/>
            <w:vAlign w:val="bottom"/>
            <w:tcBorders>
              <w:top w:val="single" w:sz="8" w:color="F0F5F1"/>
              <w:bottom w:val="single" w:sz="8" w:color="F0F5F1"/>
            </w:tcBorders>
            <w:shd w:val="clear" w:color="auto" w:fill="F0F5F1"/>
          </w:tcPr>
          <w:p>
            <w:pPr>
              <w:spacing w:after="0"/>
              <w:rPr>
                <w:sz w:val="24"/>
                <w:szCs w:val="24"/>
                <w:color w:val="auto"/>
              </w:rPr>
            </w:pPr>
          </w:p>
        </w:tc>
        <w:tc>
          <w:tcPr>
            <w:tcW w:w="440" w:type="dxa"/>
            <w:vAlign w:val="bottom"/>
            <w:tcBorders>
              <w:top w:val="single" w:sz="8" w:color="auto"/>
              <w:bottom w:val="single" w:sz="8" w:color="F0F5F1"/>
            </w:tcBorders>
            <w:shd w:val="clear" w:color="auto" w:fill="F0F5F1"/>
          </w:tcPr>
          <w:p>
            <w:pPr>
              <w:spacing w:after="0"/>
              <w:rPr>
                <w:sz w:val="24"/>
                <w:szCs w:val="24"/>
                <w:color w:val="auto"/>
              </w:rPr>
            </w:pPr>
          </w:p>
        </w:tc>
        <w:tc>
          <w:tcPr>
            <w:tcW w:w="1140" w:type="dxa"/>
            <w:vAlign w:val="bottom"/>
            <w:tcBorders>
              <w:top w:val="single" w:sz="8" w:color="auto"/>
              <w:bottom w:val="single" w:sz="8" w:color="F0F5F1"/>
            </w:tcBorders>
            <w:shd w:val="clear" w:color="auto" w:fill="F0F5F1"/>
          </w:tcPr>
          <w:p>
            <w:pPr>
              <w:spacing w:after="0"/>
              <w:rPr>
                <w:sz w:val="24"/>
                <w:szCs w:val="24"/>
                <w:color w:val="auto"/>
              </w:rPr>
            </w:pPr>
          </w:p>
        </w:tc>
        <w:tc>
          <w:tcPr>
            <w:tcW w:w="480" w:type="dxa"/>
            <w:vAlign w:val="bottom"/>
            <w:tcBorders>
              <w:top w:val="single" w:sz="8" w:color="auto"/>
              <w:bottom w:val="single" w:sz="8" w:color="F0F5F1"/>
            </w:tcBorders>
            <w:shd w:val="clear" w:color="auto" w:fill="F0F5F1"/>
          </w:tcPr>
          <w:p>
            <w:pPr>
              <w:spacing w:after="0"/>
              <w:rPr>
                <w:sz w:val="24"/>
                <w:szCs w:val="24"/>
                <w:color w:val="auto"/>
              </w:rPr>
            </w:pPr>
          </w:p>
        </w:tc>
        <w:tc>
          <w:tcPr>
            <w:tcW w:w="1100" w:type="dxa"/>
            <w:vAlign w:val="bottom"/>
            <w:tcBorders>
              <w:top w:val="single" w:sz="8" w:color="auto"/>
              <w:bottom w:val="single" w:sz="8" w:color="F0F5F1"/>
            </w:tcBorders>
            <w:shd w:val="clear" w:color="auto" w:fill="F0F5F1"/>
          </w:tcPr>
          <w:p>
            <w:pPr>
              <w:spacing w:after="0"/>
              <w:rPr>
                <w:sz w:val="24"/>
                <w:szCs w:val="24"/>
                <w:color w:val="auto"/>
              </w:rPr>
            </w:pPr>
          </w:p>
        </w:tc>
        <w:tc>
          <w:tcPr>
            <w:tcW w:w="1780" w:type="dxa"/>
            <w:vAlign w:val="bottom"/>
          </w:tcPr>
          <w:p>
            <w:pPr>
              <w:spacing w:after="0"/>
              <w:rPr>
                <w:sz w:val="24"/>
                <w:szCs w:val="24"/>
                <w:color w:val="auto"/>
              </w:rPr>
            </w:pPr>
          </w:p>
        </w:tc>
      </w:tr>
      <w:tr>
        <w:trPr>
          <w:trHeight w:val="262"/>
        </w:trPr>
        <w:tc>
          <w:tcPr>
            <w:tcW w:w="304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Derivatives:</w:t>
            </w:r>
          </w:p>
        </w:tc>
        <w:tc>
          <w:tcPr>
            <w:tcW w:w="180" w:type="dxa"/>
            <w:vAlign w:val="bottom"/>
            <w:tcBorders>
              <w:top w:val="single" w:sz="8" w:color="auto"/>
            </w:tcBorders>
            <w:shd w:val="clear" w:color="auto" w:fill="F0F5F1"/>
          </w:tcPr>
          <w:p>
            <w:pPr>
              <w:spacing w:after="0"/>
              <w:rPr>
                <w:sz w:val="22"/>
                <w:szCs w:val="22"/>
                <w:color w:val="auto"/>
              </w:rPr>
            </w:pPr>
          </w:p>
        </w:tc>
        <w:tc>
          <w:tcPr>
            <w:tcW w:w="320" w:type="dxa"/>
            <w:vAlign w:val="bottom"/>
            <w:tcBorders>
              <w:top w:val="single" w:sz="8" w:color="F0F5F1"/>
            </w:tcBorders>
            <w:shd w:val="clear" w:color="auto" w:fill="F0F5F1"/>
          </w:tcPr>
          <w:p>
            <w:pPr>
              <w:spacing w:after="0"/>
              <w:rPr>
                <w:sz w:val="22"/>
                <w:szCs w:val="22"/>
                <w:color w:val="auto"/>
              </w:rPr>
            </w:pPr>
          </w:p>
        </w:tc>
        <w:tc>
          <w:tcPr>
            <w:tcW w:w="1000" w:type="dxa"/>
            <w:vAlign w:val="bottom"/>
            <w:tcBorders>
              <w:top w:val="single" w:sz="8" w:color="F0F5F1"/>
            </w:tcBorders>
            <w:shd w:val="clear" w:color="auto" w:fill="F0F5F1"/>
          </w:tcPr>
          <w:p>
            <w:pPr>
              <w:spacing w:after="0"/>
              <w:rPr>
                <w:sz w:val="22"/>
                <w:szCs w:val="22"/>
                <w:color w:val="auto"/>
              </w:rPr>
            </w:pPr>
          </w:p>
        </w:tc>
        <w:tc>
          <w:tcPr>
            <w:tcW w:w="200" w:type="dxa"/>
            <w:vAlign w:val="bottom"/>
            <w:tcBorders>
              <w:top w:val="single" w:sz="8" w:color="F0F5F1"/>
            </w:tcBorders>
            <w:shd w:val="clear" w:color="auto" w:fill="F0F5F1"/>
          </w:tcPr>
          <w:p>
            <w:pPr>
              <w:spacing w:after="0"/>
              <w:rPr>
                <w:sz w:val="22"/>
                <w:szCs w:val="22"/>
                <w:color w:val="auto"/>
              </w:rPr>
            </w:pPr>
          </w:p>
        </w:tc>
        <w:tc>
          <w:tcPr>
            <w:tcW w:w="1360" w:type="dxa"/>
            <w:vAlign w:val="bottom"/>
            <w:tcBorders>
              <w:top w:val="single" w:sz="8" w:color="F0F5F1"/>
            </w:tcBorders>
            <w:shd w:val="clear" w:color="auto" w:fill="F0F5F1"/>
          </w:tcPr>
          <w:p>
            <w:pPr>
              <w:spacing w:after="0"/>
              <w:rPr>
                <w:sz w:val="22"/>
                <w:szCs w:val="22"/>
                <w:color w:val="auto"/>
              </w:rPr>
            </w:pPr>
          </w:p>
        </w:tc>
        <w:tc>
          <w:tcPr>
            <w:tcW w:w="200" w:type="dxa"/>
            <w:vAlign w:val="bottom"/>
            <w:tcBorders>
              <w:top w:val="single" w:sz="8" w:color="F0F5F1"/>
            </w:tcBorders>
            <w:shd w:val="clear" w:color="auto" w:fill="F0F5F1"/>
          </w:tcPr>
          <w:p>
            <w:pPr>
              <w:spacing w:after="0"/>
              <w:rPr>
                <w:sz w:val="22"/>
                <w:szCs w:val="22"/>
                <w:color w:val="auto"/>
              </w:rPr>
            </w:pPr>
          </w:p>
        </w:tc>
        <w:tc>
          <w:tcPr>
            <w:tcW w:w="440" w:type="dxa"/>
            <w:vAlign w:val="bottom"/>
            <w:tcBorders>
              <w:top w:val="single" w:sz="8" w:color="F0F5F1"/>
            </w:tcBorders>
            <w:shd w:val="clear" w:color="auto" w:fill="F0F5F1"/>
          </w:tcPr>
          <w:p>
            <w:pPr>
              <w:spacing w:after="0"/>
              <w:rPr>
                <w:sz w:val="22"/>
                <w:szCs w:val="22"/>
                <w:color w:val="auto"/>
              </w:rPr>
            </w:pPr>
          </w:p>
        </w:tc>
        <w:tc>
          <w:tcPr>
            <w:tcW w:w="1140" w:type="dxa"/>
            <w:vAlign w:val="bottom"/>
            <w:tcBorders>
              <w:top w:val="single" w:sz="8" w:color="F0F5F1"/>
            </w:tcBorders>
            <w:shd w:val="clear" w:color="auto" w:fill="F0F5F1"/>
          </w:tcPr>
          <w:p>
            <w:pPr>
              <w:spacing w:after="0"/>
              <w:rPr>
                <w:sz w:val="22"/>
                <w:szCs w:val="22"/>
                <w:color w:val="auto"/>
              </w:rPr>
            </w:pPr>
          </w:p>
        </w:tc>
        <w:tc>
          <w:tcPr>
            <w:tcW w:w="480" w:type="dxa"/>
            <w:vAlign w:val="bottom"/>
            <w:tcBorders>
              <w:top w:val="single" w:sz="8" w:color="F0F5F1"/>
            </w:tcBorders>
            <w:shd w:val="clear" w:color="auto" w:fill="F0F5F1"/>
          </w:tcPr>
          <w:p>
            <w:pPr>
              <w:spacing w:after="0"/>
              <w:rPr>
                <w:sz w:val="22"/>
                <w:szCs w:val="22"/>
                <w:color w:val="auto"/>
              </w:rPr>
            </w:pPr>
          </w:p>
        </w:tc>
        <w:tc>
          <w:tcPr>
            <w:tcW w:w="1100" w:type="dxa"/>
            <w:vAlign w:val="bottom"/>
            <w:tcBorders>
              <w:top w:val="single" w:sz="8" w:color="F0F5F1"/>
            </w:tcBorders>
            <w:shd w:val="clear" w:color="auto" w:fill="F0F5F1"/>
          </w:tcPr>
          <w:p>
            <w:pPr>
              <w:spacing w:after="0"/>
              <w:rPr>
                <w:sz w:val="22"/>
                <w:szCs w:val="22"/>
                <w:color w:val="auto"/>
              </w:rPr>
            </w:pPr>
          </w:p>
        </w:tc>
        <w:tc>
          <w:tcPr>
            <w:tcW w:w="1780" w:type="dxa"/>
            <w:vAlign w:val="bottom"/>
          </w:tcPr>
          <w:p>
            <w:pPr>
              <w:spacing w:after="0"/>
              <w:rPr>
                <w:sz w:val="22"/>
                <w:szCs w:val="22"/>
                <w:color w:val="auto"/>
              </w:rPr>
            </w:pPr>
          </w:p>
        </w:tc>
      </w:tr>
      <w:tr>
        <w:trPr>
          <w:trHeight w:val="337"/>
        </w:trPr>
        <w:tc>
          <w:tcPr>
            <w:tcW w:w="3040" w:type="dxa"/>
            <w:vAlign w:val="bottom"/>
            <w:shd w:val="clear" w:color="auto" w:fill="F0F5F1"/>
          </w:tcPr>
          <w:p>
            <w:pPr>
              <w:ind w:left="120"/>
              <w:spacing w:after="0"/>
              <w:rPr>
                <w:sz w:val="20"/>
                <w:szCs w:val="20"/>
                <w:color w:val="auto"/>
              </w:rPr>
            </w:pPr>
            <w:r>
              <w:rPr>
                <w:rFonts w:ascii="Arial" w:cs="Arial" w:eastAsia="Arial" w:hAnsi="Arial"/>
                <w:sz w:val="14"/>
                <w:szCs w:val="14"/>
                <w:b w:val="1"/>
                <w:bCs w:val="1"/>
                <w:color w:val="auto"/>
              </w:rPr>
              <w:t>Equity Risk Contracts</w:t>
            </w:r>
          </w:p>
        </w:tc>
        <w:tc>
          <w:tcPr>
            <w:tcW w:w="180" w:type="dxa"/>
            <w:vAlign w:val="bottom"/>
            <w:shd w:val="clear" w:color="auto" w:fill="F0F5F1"/>
          </w:tcPr>
          <w:p>
            <w:pPr>
              <w:spacing w:after="0"/>
              <w:rPr>
                <w:sz w:val="24"/>
                <w:szCs w:val="24"/>
                <w:color w:val="auto"/>
              </w:rPr>
            </w:pPr>
          </w:p>
        </w:tc>
        <w:tc>
          <w:tcPr>
            <w:tcW w:w="320" w:type="dxa"/>
            <w:vAlign w:val="bottom"/>
            <w:shd w:val="clear" w:color="auto" w:fill="F0F5F1"/>
          </w:tcPr>
          <w:p>
            <w:pPr>
              <w:spacing w:after="0"/>
              <w:rPr>
                <w:sz w:val="24"/>
                <w:szCs w:val="24"/>
                <w:color w:val="auto"/>
              </w:rPr>
            </w:pPr>
          </w:p>
        </w:tc>
        <w:tc>
          <w:tcPr>
            <w:tcW w:w="1000" w:type="dxa"/>
            <w:vAlign w:val="bottom"/>
            <w:shd w:val="clear" w:color="auto" w:fill="F0F5F1"/>
          </w:tcPr>
          <w:p>
            <w:pPr>
              <w:spacing w:after="0"/>
              <w:rPr>
                <w:sz w:val="24"/>
                <w:szCs w:val="24"/>
                <w:color w:val="auto"/>
              </w:rPr>
            </w:pPr>
          </w:p>
        </w:tc>
        <w:tc>
          <w:tcPr>
            <w:tcW w:w="200" w:type="dxa"/>
            <w:vAlign w:val="bottom"/>
            <w:shd w:val="clear" w:color="auto" w:fill="F0F5F1"/>
          </w:tcPr>
          <w:p>
            <w:pPr>
              <w:spacing w:after="0"/>
              <w:rPr>
                <w:sz w:val="24"/>
                <w:szCs w:val="24"/>
                <w:color w:val="auto"/>
              </w:rPr>
            </w:pPr>
          </w:p>
        </w:tc>
        <w:tc>
          <w:tcPr>
            <w:tcW w:w="1360" w:type="dxa"/>
            <w:vAlign w:val="bottom"/>
            <w:shd w:val="clear" w:color="auto" w:fill="F0F5F1"/>
          </w:tcPr>
          <w:p>
            <w:pPr>
              <w:spacing w:after="0"/>
              <w:rPr>
                <w:sz w:val="24"/>
                <w:szCs w:val="24"/>
                <w:color w:val="auto"/>
              </w:rPr>
            </w:pPr>
          </w:p>
        </w:tc>
        <w:tc>
          <w:tcPr>
            <w:tcW w:w="200" w:type="dxa"/>
            <w:vAlign w:val="bottom"/>
            <w:shd w:val="clear" w:color="auto" w:fill="F0F5F1"/>
          </w:tcPr>
          <w:p>
            <w:pPr>
              <w:spacing w:after="0"/>
              <w:rPr>
                <w:sz w:val="24"/>
                <w:szCs w:val="24"/>
                <w:color w:val="auto"/>
              </w:rPr>
            </w:pPr>
          </w:p>
        </w:tc>
        <w:tc>
          <w:tcPr>
            <w:tcW w:w="440" w:type="dxa"/>
            <w:vAlign w:val="bottom"/>
            <w:shd w:val="clear" w:color="auto" w:fill="F0F5F1"/>
          </w:tcPr>
          <w:p>
            <w:pPr>
              <w:spacing w:after="0"/>
              <w:rPr>
                <w:sz w:val="24"/>
                <w:szCs w:val="24"/>
                <w:color w:val="auto"/>
              </w:rPr>
            </w:pPr>
          </w:p>
        </w:tc>
        <w:tc>
          <w:tcPr>
            <w:tcW w:w="1140" w:type="dxa"/>
            <w:vAlign w:val="bottom"/>
            <w:shd w:val="clear" w:color="auto" w:fill="F0F5F1"/>
          </w:tcPr>
          <w:p>
            <w:pPr>
              <w:spacing w:after="0"/>
              <w:rPr>
                <w:sz w:val="24"/>
                <w:szCs w:val="24"/>
                <w:color w:val="auto"/>
              </w:rPr>
            </w:pPr>
          </w:p>
        </w:tc>
        <w:tc>
          <w:tcPr>
            <w:tcW w:w="480" w:type="dxa"/>
            <w:vAlign w:val="bottom"/>
            <w:shd w:val="clear" w:color="auto" w:fill="F0F5F1"/>
          </w:tcPr>
          <w:p>
            <w:pPr>
              <w:spacing w:after="0"/>
              <w:rPr>
                <w:sz w:val="24"/>
                <w:szCs w:val="24"/>
                <w:color w:val="auto"/>
              </w:rPr>
            </w:pPr>
          </w:p>
        </w:tc>
        <w:tc>
          <w:tcPr>
            <w:tcW w:w="1100" w:type="dxa"/>
            <w:vAlign w:val="bottom"/>
            <w:shd w:val="clear" w:color="auto" w:fill="F0F5F1"/>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3040" w:type="dxa"/>
            <w:vAlign w:val="bottom"/>
            <w:shd w:val="clear" w:color="auto" w:fill="F0F5F1"/>
          </w:tcPr>
          <w:p>
            <w:pPr>
              <w:ind w:left="260"/>
              <w:spacing w:after="0"/>
              <w:rPr>
                <w:sz w:val="20"/>
                <w:szCs w:val="20"/>
                <w:color w:val="auto"/>
              </w:rPr>
            </w:pPr>
            <w:r>
              <w:rPr>
                <w:rFonts w:ascii="Arial" w:cs="Arial" w:eastAsia="Arial" w:hAnsi="Arial"/>
                <w:sz w:val="14"/>
                <w:szCs w:val="14"/>
                <w:b w:val="1"/>
                <w:bCs w:val="1"/>
                <w:color w:val="auto"/>
              </w:rPr>
              <w:t>Written Options</w:t>
            </w:r>
          </w:p>
        </w:tc>
        <w:tc>
          <w:tcPr>
            <w:tcW w:w="180" w:type="dxa"/>
            <w:vAlign w:val="bottom"/>
            <w:shd w:val="clear" w:color="auto" w:fill="F0F5F1"/>
          </w:tcPr>
          <w:p>
            <w:pPr>
              <w:spacing w:after="0"/>
              <w:rPr>
                <w:sz w:val="23"/>
                <w:szCs w:val="23"/>
                <w:color w:val="auto"/>
              </w:rPr>
            </w:pPr>
          </w:p>
        </w:tc>
        <w:tc>
          <w:tcPr>
            <w:tcW w:w="320" w:type="dxa"/>
            <w:vAlign w:val="bottom"/>
            <w:shd w:val="clear" w:color="auto" w:fill="F0F5F1"/>
          </w:tcPr>
          <w:p>
            <w:pPr>
              <w:ind w:lef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F0F5F1"/>
          </w:tcPr>
          <w:p>
            <w:pPr>
              <w:jc w:val="right"/>
              <w:ind w:right="134"/>
              <w:spacing w:after="0"/>
              <w:rPr>
                <w:sz w:val="20"/>
                <w:szCs w:val="20"/>
                <w:color w:val="auto"/>
              </w:rPr>
            </w:pPr>
            <w:r>
              <w:rPr>
                <w:rFonts w:ascii="Arial" w:cs="Arial" w:eastAsia="Arial" w:hAnsi="Arial"/>
                <w:sz w:val="14"/>
                <w:szCs w:val="14"/>
                <w:b w:val="1"/>
                <w:bCs w:val="1"/>
                <w:color w:val="auto"/>
              </w:rPr>
              <w:t>(1,381,755)</w:t>
            </w:r>
          </w:p>
        </w:tc>
        <w:tc>
          <w:tcPr>
            <w:tcW w:w="200" w:type="dxa"/>
            <w:vAlign w:val="bottom"/>
            <w:shd w:val="clear" w:color="auto" w:fill="F0F5F1"/>
          </w:tcPr>
          <w:p>
            <w:pPr>
              <w:spacing w:after="0"/>
              <w:rPr>
                <w:sz w:val="23"/>
                <w:szCs w:val="23"/>
                <w:color w:val="auto"/>
              </w:rPr>
            </w:pPr>
          </w:p>
        </w:tc>
        <w:tc>
          <w:tcPr>
            <w:tcW w:w="1360" w:type="dxa"/>
            <w:vAlign w:val="bottom"/>
            <w:shd w:val="clear" w:color="auto" w:fill="F0F5F1"/>
          </w:tcPr>
          <w:p>
            <w:pPr>
              <w:jc w:val="right"/>
              <w:ind w:right="197"/>
              <w:spacing w:after="0"/>
              <w:rPr>
                <w:sz w:val="20"/>
                <w:szCs w:val="20"/>
                <w:color w:val="auto"/>
              </w:rPr>
            </w:pPr>
            <w:r>
              <w:rPr>
                <w:rFonts w:ascii="Arial" w:cs="Arial" w:eastAsia="Arial" w:hAnsi="Arial"/>
                <w:sz w:val="14"/>
                <w:szCs w:val="14"/>
                <w:color w:val="auto"/>
              </w:rPr>
              <w:t>$ (1,381,755)</w:t>
            </w:r>
          </w:p>
        </w:tc>
        <w:tc>
          <w:tcPr>
            <w:tcW w:w="640" w:type="dxa"/>
            <w:vAlign w:val="bottom"/>
            <w:gridSpan w:val="2"/>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F0F5F1"/>
          </w:tcPr>
          <w:p>
            <w:pPr>
              <w:ind w:left="48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5F1"/>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F0F5F1"/>
          </w:tcPr>
          <w:p>
            <w:pPr>
              <w:ind w:left="540"/>
              <w:spacing w:after="0"/>
              <w:rPr>
                <w:sz w:val="20"/>
                <w:szCs w:val="20"/>
                <w:color w:val="auto"/>
              </w:rPr>
            </w:pPr>
            <w:r>
              <w:rPr>
                <w:rFonts w:ascii="Arial" w:cs="Arial" w:eastAsia="Arial" w:hAnsi="Arial"/>
                <w:sz w:val="14"/>
                <w:szCs w:val="14"/>
                <w:color w:val="auto"/>
              </w:rPr>
              <w:t>—</w:t>
            </w:r>
          </w:p>
        </w:tc>
        <w:tc>
          <w:tcPr>
            <w:tcW w:w="1780" w:type="dxa"/>
            <w:vAlign w:val="bottom"/>
          </w:tcPr>
          <w:p>
            <w:pPr>
              <w:spacing w:after="0"/>
              <w:rPr>
                <w:sz w:val="23"/>
                <w:szCs w:val="23"/>
                <w:color w:val="auto"/>
              </w:rPr>
            </w:pPr>
          </w:p>
        </w:tc>
      </w:tr>
      <w:tr>
        <w:trPr>
          <w:trHeight w:val="178"/>
        </w:trPr>
        <w:tc>
          <w:tcPr>
            <w:tcW w:w="3040" w:type="dxa"/>
            <w:vAlign w:val="bottom"/>
            <w:tcBorders>
              <w:bottom w:val="single" w:sz="8" w:color="F0F5F1"/>
            </w:tcBorders>
            <w:shd w:val="clear" w:color="auto" w:fill="F0F5F1"/>
          </w:tcPr>
          <w:p>
            <w:pPr>
              <w:spacing w:after="0"/>
              <w:rPr>
                <w:sz w:val="15"/>
                <w:szCs w:val="15"/>
                <w:color w:val="auto"/>
              </w:rPr>
            </w:pPr>
          </w:p>
        </w:tc>
        <w:tc>
          <w:tcPr>
            <w:tcW w:w="180" w:type="dxa"/>
            <w:vAlign w:val="bottom"/>
            <w:tcBorders>
              <w:bottom w:val="single" w:sz="8" w:color="F0F5F1"/>
            </w:tcBorders>
            <w:shd w:val="clear" w:color="auto" w:fill="F0F5F1"/>
          </w:tcPr>
          <w:p>
            <w:pPr>
              <w:spacing w:after="0"/>
              <w:rPr>
                <w:sz w:val="15"/>
                <w:szCs w:val="15"/>
                <w:color w:val="auto"/>
              </w:rPr>
            </w:pPr>
          </w:p>
        </w:tc>
        <w:tc>
          <w:tcPr>
            <w:tcW w:w="320" w:type="dxa"/>
            <w:vAlign w:val="bottom"/>
            <w:tcBorders>
              <w:bottom w:val="single" w:sz="8" w:color="auto"/>
            </w:tcBorders>
            <w:shd w:val="clear" w:color="auto" w:fill="F0F5F1"/>
          </w:tcPr>
          <w:p>
            <w:pPr>
              <w:spacing w:after="0"/>
              <w:rPr>
                <w:sz w:val="15"/>
                <w:szCs w:val="15"/>
                <w:color w:val="auto"/>
              </w:rPr>
            </w:pPr>
          </w:p>
        </w:tc>
        <w:tc>
          <w:tcPr>
            <w:tcW w:w="100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1360" w:type="dxa"/>
            <w:vAlign w:val="bottom"/>
            <w:tcBorders>
              <w:bottom w:val="single" w:sz="8" w:color="auto"/>
            </w:tcBorders>
            <w:shd w:val="clear" w:color="auto" w:fill="F0F5F1"/>
          </w:tcPr>
          <w:p>
            <w:pPr>
              <w:spacing w:after="0"/>
              <w:rPr>
                <w:sz w:val="15"/>
                <w:szCs w:val="15"/>
                <w:color w:val="auto"/>
              </w:rPr>
            </w:pPr>
          </w:p>
        </w:tc>
        <w:tc>
          <w:tcPr>
            <w:tcW w:w="200" w:type="dxa"/>
            <w:vAlign w:val="bottom"/>
            <w:tcBorders>
              <w:bottom w:val="single" w:sz="8" w:color="F0F5F1"/>
            </w:tcBorders>
            <w:shd w:val="clear" w:color="auto" w:fill="F0F5F1"/>
          </w:tcPr>
          <w:p>
            <w:pPr>
              <w:spacing w:after="0"/>
              <w:rPr>
                <w:sz w:val="15"/>
                <w:szCs w:val="15"/>
                <w:color w:val="auto"/>
              </w:rPr>
            </w:pPr>
          </w:p>
        </w:tc>
        <w:tc>
          <w:tcPr>
            <w:tcW w:w="440" w:type="dxa"/>
            <w:vAlign w:val="bottom"/>
            <w:tcBorders>
              <w:bottom w:val="single" w:sz="8" w:color="auto"/>
            </w:tcBorders>
            <w:shd w:val="clear" w:color="auto" w:fill="F0F5F1"/>
          </w:tcPr>
          <w:p>
            <w:pPr>
              <w:spacing w:after="0"/>
              <w:rPr>
                <w:sz w:val="15"/>
                <w:szCs w:val="15"/>
                <w:color w:val="auto"/>
              </w:rPr>
            </w:pPr>
          </w:p>
        </w:tc>
        <w:tc>
          <w:tcPr>
            <w:tcW w:w="1140" w:type="dxa"/>
            <w:vAlign w:val="bottom"/>
            <w:tcBorders>
              <w:bottom w:val="single" w:sz="8" w:color="auto"/>
            </w:tcBorders>
            <w:shd w:val="clear" w:color="auto" w:fill="F0F5F1"/>
          </w:tcPr>
          <w:p>
            <w:pPr>
              <w:spacing w:after="0"/>
              <w:rPr>
                <w:sz w:val="15"/>
                <w:szCs w:val="15"/>
                <w:color w:val="auto"/>
              </w:rPr>
            </w:pPr>
          </w:p>
        </w:tc>
        <w:tc>
          <w:tcPr>
            <w:tcW w:w="480" w:type="dxa"/>
            <w:vAlign w:val="bottom"/>
            <w:tcBorders>
              <w:bottom w:val="single" w:sz="8" w:color="auto"/>
            </w:tcBorders>
            <w:shd w:val="clear" w:color="auto" w:fill="F0F5F1"/>
          </w:tcPr>
          <w:p>
            <w:pPr>
              <w:spacing w:after="0"/>
              <w:rPr>
                <w:sz w:val="15"/>
                <w:szCs w:val="15"/>
                <w:color w:val="auto"/>
              </w:rPr>
            </w:pPr>
          </w:p>
        </w:tc>
        <w:tc>
          <w:tcPr>
            <w:tcW w:w="1100" w:type="dxa"/>
            <w:vAlign w:val="bottom"/>
            <w:tcBorders>
              <w:bottom w:val="single" w:sz="8" w:color="auto"/>
            </w:tcBorders>
            <w:shd w:val="clear" w:color="auto" w:fill="F0F5F1"/>
          </w:tcPr>
          <w:p>
            <w:pPr>
              <w:spacing w:after="0"/>
              <w:rPr>
                <w:sz w:val="15"/>
                <w:szCs w:val="15"/>
                <w:color w:val="auto"/>
              </w:rPr>
            </w:pPr>
          </w:p>
        </w:tc>
        <w:tc>
          <w:tcPr>
            <w:tcW w:w="1780" w:type="dxa"/>
            <w:vAlign w:val="bottom"/>
          </w:tcPr>
          <w:p>
            <w:pPr>
              <w:spacing w:after="0"/>
              <w:rPr>
                <w:sz w:val="15"/>
                <w:szCs w:val="15"/>
                <w:color w:val="auto"/>
              </w:rPr>
            </w:pPr>
          </w:p>
        </w:tc>
      </w:tr>
      <w:tr>
        <w:trPr>
          <w:trHeight w:val="270"/>
        </w:trPr>
        <w:tc>
          <w:tcPr>
            <w:tcW w:w="304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F0F5F1"/>
            </w:tcBorders>
            <w:shd w:val="clear" w:color="auto" w:fill="F0F5F1"/>
          </w:tcPr>
          <w:p>
            <w:pPr>
              <w:spacing w:after="0"/>
              <w:rPr>
                <w:sz w:val="23"/>
                <w:szCs w:val="23"/>
                <w:color w:val="auto"/>
              </w:rPr>
            </w:pPr>
          </w:p>
        </w:tc>
        <w:tc>
          <w:tcPr>
            <w:tcW w:w="320" w:type="dxa"/>
            <w:vAlign w:val="bottom"/>
            <w:tcBorders>
              <w:bottom w:val="single" w:sz="8" w:color="F0F5F1"/>
            </w:tcBorders>
            <w:shd w:val="clear" w:color="auto" w:fill="F0F5F1"/>
          </w:tcPr>
          <w:p>
            <w:pPr>
              <w:ind w:left="20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F0F5F1"/>
            </w:tcBorders>
            <w:shd w:val="clear" w:color="auto" w:fill="F0F5F1"/>
          </w:tcPr>
          <w:p>
            <w:pPr>
              <w:jc w:val="right"/>
              <w:ind w:right="134"/>
              <w:spacing w:after="0"/>
              <w:rPr>
                <w:sz w:val="20"/>
                <w:szCs w:val="20"/>
                <w:color w:val="auto"/>
              </w:rPr>
            </w:pPr>
            <w:r>
              <w:rPr>
                <w:rFonts w:ascii="Arial" w:cs="Arial" w:eastAsia="Arial" w:hAnsi="Arial"/>
                <w:sz w:val="14"/>
                <w:szCs w:val="14"/>
                <w:b w:val="1"/>
                <w:bCs w:val="1"/>
                <w:color w:val="auto"/>
              </w:rPr>
              <w:t>(1,381,755)</w:t>
            </w:r>
          </w:p>
        </w:tc>
        <w:tc>
          <w:tcPr>
            <w:tcW w:w="200" w:type="dxa"/>
            <w:vAlign w:val="bottom"/>
            <w:tcBorders>
              <w:bottom w:val="single" w:sz="8" w:color="F0F5F1"/>
            </w:tcBorders>
            <w:shd w:val="clear" w:color="auto" w:fill="F0F5F1"/>
          </w:tcPr>
          <w:p>
            <w:pPr>
              <w:spacing w:after="0"/>
              <w:rPr>
                <w:sz w:val="23"/>
                <w:szCs w:val="23"/>
                <w:color w:val="auto"/>
              </w:rPr>
            </w:pPr>
          </w:p>
        </w:tc>
        <w:tc>
          <w:tcPr>
            <w:tcW w:w="1360" w:type="dxa"/>
            <w:vAlign w:val="bottom"/>
            <w:tcBorders>
              <w:bottom w:val="single" w:sz="8" w:color="F0F5F1"/>
            </w:tcBorders>
            <w:shd w:val="clear" w:color="auto" w:fill="F0F5F1"/>
          </w:tcPr>
          <w:p>
            <w:pPr>
              <w:jc w:val="right"/>
              <w:ind w:right="217"/>
              <w:spacing w:after="0"/>
              <w:rPr>
                <w:sz w:val="20"/>
                <w:szCs w:val="20"/>
                <w:color w:val="auto"/>
              </w:rPr>
            </w:pPr>
            <w:r>
              <w:rPr>
                <w:rFonts w:ascii="Arial" w:cs="Arial" w:eastAsia="Arial" w:hAnsi="Arial"/>
                <w:sz w:val="14"/>
                <w:szCs w:val="14"/>
                <w:b w:val="1"/>
                <w:bCs w:val="1"/>
                <w:color w:val="auto"/>
              </w:rPr>
              <w:t>$(1,381,755)</w:t>
            </w:r>
          </w:p>
        </w:tc>
        <w:tc>
          <w:tcPr>
            <w:tcW w:w="640" w:type="dxa"/>
            <w:vAlign w:val="bottom"/>
            <w:tcBorders>
              <w:bottom w:val="single" w:sz="8" w:color="F0F5F1"/>
            </w:tcBorders>
            <w:gridSpan w:val="2"/>
            <w:shd w:val="clear" w:color="auto" w:fill="F0F5F1"/>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F0F5F1"/>
            </w:tcBorders>
            <w:shd w:val="clear" w:color="auto" w:fill="F0F5F1"/>
          </w:tcPr>
          <w:p>
            <w:pPr>
              <w:ind w:left="480"/>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F0F5F1"/>
            </w:tcBorders>
            <w:shd w:val="clear" w:color="auto" w:fill="F0F5F1"/>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F0F5F1"/>
            </w:tcBorders>
            <w:shd w:val="clear" w:color="auto" w:fill="F0F5F1"/>
          </w:tcPr>
          <w:p>
            <w:pPr>
              <w:ind w:left="540"/>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spacing w:after="0"/>
              <w:rPr>
                <w:sz w:val="23"/>
                <w:szCs w:val="23"/>
                <w:color w:val="auto"/>
              </w:rPr>
            </w:pPr>
          </w:p>
        </w:tc>
      </w:tr>
      <w:tr>
        <w:trPr>
          <w:trHeight w:val="20"/>
        </w:trPr>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1640"/>
        <w:spacing w:after="0" w:line="299" w:lineRule="auto"/>
        <w:rPr>
          <w:sz w:val="20"/>
          <w:szCs w:val="20"/>
          <w:color w:val="auto"/>
        </w:rPr>
      </w:pPr>
      <w:r>
        <w:rPr>
          <w:rFonts w:ascii="Arial" w:cs="Arial" w:eastAsia="Arial" w:hAnsi="Arial"/>
          <w:sz w:val="17"/>
          <w:szCs w:val="17"/>
          <w:color w:val="auto"/>
        </w:rPr>
        <w:t>The Level 3 categorized assets listed above have been valued via the use of a) independent third party valuation firms, or, b) fair valued as determined in good faith by the Board of Directors, in accordance with procedures established by the Board of Directors.</w:t>
      </w:r>
    </w:p>
    <w:p>
      <w:pPr>
        <w:spacing w:after="0" w:line="133" w:lineRule="exact"/>
        <w:rPr>
          <w:sz w:val="20"/>
          <w:szCs w:val="20"/>
          <w:color w:val="auto"/>
        </w:rPr>
      </w:pPr>
    </w:p>
    <w:p>
      <w:pPr>
        <w:jc w:val="both"/>
        <w:ind w:right="1640"/>
        <w:spacing w:after="0" w:line="286" w:lineRule="auto"/>
        <w:rPr>
          <w:sz w:val="20"/>
          <w:szCs w:val="20"/>
          <w:color w:val="auto"/>
        </w:rPr>
      </w:pPr>
      <w:r>
        <w:rPr>
          <w:rFonts w:ascii="Arial" w:cs="Arial" w:eastAsia="Arial" w:hAnsi="Arial"/>
          <w:sz w:val="17"/>
          <w:szCs w:val="17"/>
          <w:color w:val="auto"/>
        </w:rPr>
        <w:t>For fair valuations using significant unobservable inputs, U.S. GAAP requires AMFC to present a reconciliation of the beginning to ending balances for reported fair values that presents changes attributable to total realized and unrealized gains or losses, purchase and sales, and transfers in and out of Level 3 during the period. Transfers in and out between levels are based on values at the end of a period. U.S. GAAP also requires AMFC to disclose amounts and reasons for all transfers in and out of Level 1 and Level 2 fair value measurements. A reconciliation of Level 3 investments is presented below:</w:t>
      </w:r>
    </w:p>
    <w:p>
      <w:pPr>
        <w:sectPr>
          <w:pgSz w:w="11900" w:h="16838" w:orient="portrait"/>
          <w:cols w:equalWidth="0" w:num="1">
            <w:col w:w="11240"/>
          </w:cols>
          <w:pgMar w:left="320" w:top="108" w:right="339" w:bottom="263"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50"/>
        </w:trPr>
        <w:tc>
          <w:tcPr>
            <w:tcW w:w="3640" w:type="dxa"/>
            <w:vAlign w:val="bottom"/>
            <w:shd w:val="clear" w:color="auto" w:fill="F0F5F1"/>
          </w:tcPr>
          <w:p>
            <w:pPr>
              <w:spacing w:after="0"/>
              <w:rPr>
                <w:sz w:val="21"/>
                <w:szCs w:val="21"/>
                <w:color w:val="auto"/>
              </w:rPr>
            </w:pPr>
          </w:p>
        </w:tc>
        <w:tc>
          <w:tcPr>
            <w:tcW w:w="1220" w:type="dxa"/>
            <w:vAlign w:val="bottom"/>
            <w:shd w:val="clear" w:color="auto" w:fill="F0F5F1"/>
          </w:tcPr>
          <w:p>
            <w:pPr>
              <w:spacing w:after="0"/>
              <w:rPr>
                <w:sz w:val="21"/>
                <w:szCs w:val="21"/>
                <w:color w:val="auto"/>
              </w:rPr>
            </w:pPr>
          </w:p>
        </w:tc>
        <w:tc>
          <w:tcPr>
            <w:tcW w:w="200" w:type="dxa"/>
            <w:vAlign w:val="bottom"/>
            <w:shd w:val="clear" w:color="auto" w:fill="F0F5F1"/>
          </w:tcPr>
          <w:p>
            <w:pPr>
              <w:spacing w:after="0"/>
              <w:rPr>
                <w:sz w:val="21"/>
                <w:szCs w:val="21"/>
                <w:color w:val="auto"/>
              </w:rPr>
            </w:pPr>
          </w:p>
        </w:tc>
        <w:tc>
          <w:tcPr>
            <w:tcW w:w="126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7"/>
              </w:rPr>
              <w:t>REGULATORY</w:t>
            </w:r>
          </w:p>
        </w:tc>
        <w:tc>
          <w:tcPr>
            <w:tcW w:w="180" w:type="dxa"/>
            <w:vAlign w:val="bottom"/>
            <w:shd w:val="clear" w:color="auto" w:fill="F0F5F1"/>
          </w:tcPr>
          <w:p>
            <w:pPr>
              <w:spacing w:after="0"/>
              <w:rPr>
                <w:sz w:val="21"/>
                <w:szCs w:val="21"/>
                <w:color w:val="auto"/>
              </w:rPr>
            </w:pPr>
          </w:p>
        </w:tc>
        <w:tc>
          <w:tcPr>
            <w:tcW w:w="128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8"/>
              </w:rPr>
              <w:t>TRUST PREFERRED</w:t>
            </w:r>
          </w:p>
        </w:tc>
        <w:tc>
          <w:tcPr>
            <w:tcW w:w="180" w:type="dxa"/>
            <w:vAlign w:val="bottom"/>
            <w:shd w:val="clear" w:color="auto" w:fill="F0F5F1"/>
          </w:tcPr>
          <w:p>
            <w:pPr>
              <w:spacing w:after="0"/>
              <w:rPr>
                <w:sz w:val="21"/>
                <w:szCs w:val="21"/>
                <w:color w:val="auto"/>
              </w:rPr>
            </w:pPr>
          </w:p>
        </w:tc>
        <w:tc>
          <w:tcPr>
            <w:tcW w:w="1480" w:type="dxa"/>
            <w:vAlign w:val="bottom"/>
            <w:shd w:val="clear" w:color="auto" w:fill="F0F5F1"/>
          </w:tcPr>
          <w:p>
            <w:pPr>
              <w:spacing w:after="0"/>
              <w:rPr>
                <w:sz w:val="21"/>
                <w:szCs w:val="21"/>
                <w:color w:val="auto"/>
              </w:rPr>
            </w:pPr>
          </w:p>
        </w:tc>
      </w:tr>
      <w:tr>
        <w:trPr>
          <w:trHeight w:val="162"/>
        </w:trPr>
        <w:tc>
          <w:tcPr>
            <w:tcW w:w="3640" w:type="dxa"/>
            <w:vAlign w:val="bottom"/>
            <w:shd w:val="clear" w:color="auto" w:fill="F0F5F1"/>
          </w:tcPr>
          <w:p>
            <w:pPr>
              <w:spacing w:after="0"/>
              <w:rPr>
                <w:sz w:val="14"/>
                <w:szCs w:val="14"/>
                <w:color w:val="auto"/>
              </w:rPr>
            </w:pPr>
          </w:p>
        </w:tc>
        <w:tc>
          <w:tcPr>
            <w:tcW w:w="122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126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5"/>
              </w:rPr>
              <w:t>CAPITAL</w:t>
            </w:r>
          </w:p>
        </w:tc>
        <w:tc>
          <w:tcPr>
            <w:tcW w:w="180" w:type="dxa"/>
            <w:vAlign w:val="bottom"/>
            <w:shd w:val="clear" w:color="auto" w:fill="F0F5F1"/>
          </w:tcPr>
          <w:p>
            <w:pPr>
              <w:spacing w:after="0"/>
              <w:rPr>
                <w:sz w:val="14"/>
                <w:szCs w:val="14"/>
                <w:color w:val="auto"/>
              </w:rPr>
            </w:pPr>
          </w:p>
        </w:tc>
        <w:tc>
          <w:tcPr>
            <w:tcW w:w="128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4"/>
              </w:rPr>
              <w:t>AND</w:t>
            </w:r>
          </w:p>
        </w:tc>
        <w:tc>
          <w:tcPr>
            <w:tcW w:w="180" w:type="dxa"/>
            <w:vAlign w:val="bottom"/>
            <w:shd w:val="clear" w:color="auto" w:fill="F0F5F1"/>
          </w:tcPr>
          <w:p>
            <w:pPr>
              <w:spacing w:after="0"/>
              <w:rPr>
                <w:sz w:val="14"/>
                <w:szCs w:val="14"/>
                <w:color w:val="auto"/>
              </w:rPr>
            </w:pPr>
          </w:p>
        </w:tc>
        <w:tc>
          <w:tcPr>
            <w:tcW w:w="1480" w:type="dxa"/>
            <w:vAlign w:val="bottom"/>
            <w:shd w:val="clear" w:color="auto" w:fill="F0F5F1"/>
          </w:tcPr>
          <w:p>
            <w:pPr>
              <w:spacing w:after="0"/>
              <w:rPr>
                <w:sz w:val="14"/>
                <w:szCs w:val="14"/>
                <w:color w:val="auto"/>
              </w:rPr>
            </w:pPr>
          </w:p>
        </w:tc>
      </w:tr>
      <w:tr>
        <w:trPr>
          <w:trHeight w:val="162"/>
        </w:trPr>
        <w:tc>
          <w:tcPr>
            <w:tcW w:w="3640" w:type="dxa"/>
            <w:vAlign w:val="bottom"/>
            <w:shd w:val="clear" w:color="auto" w:fill="F0F5F1"/>
          </w:tcPr>
          <w:p>
            <w:pPr>
              <w:spacing w:after="0"/>
              <w:rPr>
                <w:sz w:val="14"/>
                <w:szCs w:val="14"/>
                <w:color w:val="auto"/>
              </w:rPr>
            </w:pPr>
          </w:p>
        </w:tc>
        <w:tc>
          <w:tcPr>
            <w:tcW w:w="1220" w:type="dxa"/>
            <w:vAlign w:val="bottom"/>
            <w:shd w:val="clear" w:color="auto" w:fill="F0F5F1"/>
          </w:tcPr>
          <w:p>
            <w:pPr>
              <w:spacing w:after="0"/>
              <w:rPr>
                <w:sz w:val="14"/>
                <w:szCs w:val="14"/>
                <w:color w:val="auto"/>
              </w:rPr>
            </w:pPr>
          </w:p>
        </w:tc>
        <w:tc>
          <w:tcPr>
            <w:tcW w:w="200" w:type="dxa"/>
            <w:vAlign w:val="bottom"/>
            <w:shd w:val="clear" w:color="auto" w:fill="F0F5F1"/>
          </w:tcPr>
          <w:p>
            <w:pPr>
              <w:spacing w:after="0"/>
              <w:rPr>
                <w:sz w:val="14"/>
                <w:szCs w:val="14"/>
                <w:color w:val="auto"/>
              </w:rPr>
            </w:pPr>
          </w:p>
        </w:tc>
        <w:tc>
          <w:tcPr>
            <w:tcW w:w="1260" w:type="dxa"/>
            <w:vAlign w:val="bottom"/>
            <w:shd w:val="clear" w:color="auto" w:fill="F0F5F1"/>
          </w:tcPr>
          <w:p>
            <w:pPr>
              <w:jc w:val="center"/>
              <w:spacing w:after="0"/>
              <w:rPr>
                <w:sz w:val="20"/>
                <w:szCs w:val="20"/>
                <w:color w:val="auto"/>
              </w:rPr>
            </w:pPr>
            <w:r>
              <w:rPr>
                <w:rFonts w:ascii="Arial" w:cs="Arial" w:eastAsia="Arial" w:hAnsi="Arial"/>
                <w:sz w:val="11"/>
                <w:szCs w:val="11"/>
                <w:color w:val="auto"/>
                <w:w w:val="98"/>
              </w:rPr>
              <w:t>RELIEF</w:t>
            </w:r>
          </w:p>
        </w:tc>
        <w:tc>
          <w:tcPr>
            <w:tcW w:w="180" w:type="dxa"/>
            <w:vAlign w:val="bottom"/>
            <w:shd w:val="clear" w:color="auto" w:fill="F0F5F1"/>
          </w:tcPr>
          <w:p>
            <w:pPr>
              <w:spacing w:after="0"/>
              <w:rPr>
                <w:sz w:val="14"/>
                <w:szCs w:val="14"/>
                <w:color w:val="auto"/>
              </w:rPr>
            </w:pPr>
          </w:p>
        </w:tc>
        <w:tc>
          <w:tcPr>
            <w:tcW w:w="1280" w:type="dxa"/>
            <w:vAlign w:val="bottom"/>
            <w:shd w:val="clear" w:color="auto" w:fill="F0F5F1"/>
          </w:tcPr>
          <w:p>
            <w:pPr>
              <w:jc w:val="right"/>
              <w:ind w:right="254"/>
              <w:spacing w:after="0"/>
              <w:rPr>
                <w:sz w:val="20"/>
                <w:szCs w:val="20"/>
                <w:color w:val="auto"/>
              </w:rPr>
            </w:pPr>
            <w:r>
              <w:rPr>
                <w:rFonts w:ascii="Arial" w:cs="Arial" w:eastAsia="Arial" w:hAnsi="Arial"/>
                <w:sz w:val="11"/>
                <w:szCs w:val="11"/>
                <w:color w:val="auto"/>
              </w:rPr>
              <w:t>PREFERRED</w:t>
            </w:r>
          </w:p>
        </w:tc>
        <w:tc>
          <w:tcPr>
            <w:tcW w:w="180" w:type="dxa"/>
            <w:vAlign w:val="bottom"/>
            <w:shd w:val="clear" w:color="auto" w:fill="F0F5F1"/>
          </w:tcPr>
          <w:p>
            <w:pPr>
              <w:spacing w:after="0"/>
              <w:rPr>
                <w:sz w:val="14"/>
                <w:szCs w:val="14"/>
                <w:color w:val="auto"/>
              </w:rPr>
            </w:pPr>
          </w:p>
        </w:tc>
        <w:tc>
          <w:tcPr>
            <w:tcW w:w="1480" w:type="dxa"/>
            <w:vAlign w:val="bottom"/>
            <w:shd w:val="clear" w:color="auto" w:fill="F0F5F1"/>
          </w:tcPr>
          <w:p>
            <w:pPr>
              <w:spacing w:after="0"/>
              <w:rPr>
                <w:sz w:val="14"/>
                <w:szCs w:val="14"/>
                <w:color w:val="auto"/>
              </w:rPr>
            </w:pPr>
          </w:p>
        </w:tc>
      </w:tr>
      <w:tr>
        <w:trPr>
          <w:trHeight w:val="214"/>
        </w:trPr>
        <w:tc>
          <w:tcPr>
            <w:tcW w:w="3640" w:type="dxa"/>
            <w:vAlign w:val="bottom"/>
            <w:tcBorders>
              <w:bottom w:val="single" w:sz="8" w:color="F0F5F1"/>
            </w:tcBorders>
            <w:shd w:val="clear" w:color="auto" w:fill="F0F5F1"/>
          </w:tcPr>
          <w:p>
            <w:pPr>
              <w:spacing w:after="0"/>
              <w:rPr>
                <w:sz w:val="18"/>
                <w:szCs w:val="18"/>
                <w:color w:val="auto"/>
              </w:rPr>
            </w:pPr>
          </w:p>
        </w:tc>
        <w:tc>
          <w:tcPr>
            <w:tcW w:w="1220" w:type="dxa"/>
            <w:vAlign w:val="bottom"/>
            <w:tcBorders>
              <w:bottom w:val="single" w:sz="8" w:color="F0F5F1"/>
            </w:tcBorders>
            <w:shd w:val="clear" w:color="auto" w:fill="F0F5F1"/>
          </w:tcPr>
          <w:p>
            <w:pPr>
              <w:jc w:val="right"/>
              <w:ind w:right="210"/>
              <w:spacing w:after="0"/>
              <w:rPr>
                <w:sz w:val="20"/>
                <w:szCs w:val="20"/>
                <w:color w:val="auto"/>
              </w:rPr>
            </w:pPr>
            <w:r>
              <w:rPr>
                <w:rFonts w:ascii="Arial" w:cs="Arial" w:eastAsia="Arial" w:hAnsi="Arial"/>
                <w:sz w:val="11"/>
                <w:szCs w:val="11"/>
                <w:color w:val="auto"/>
              </w:rPr>
              <w:t>TERM LOANS</w:t>
            </w:r>
          </w:p>
        </w:tc>
        <w:tc>
          <w:tcPr>
            <w:tcW w:w="200" w:type="dxa"/>
            <w:vAlign w:val="bottom"/>
            <w:tcBorders>
              <w:bottom w:val="single" w:sz="8" w:color="F0F5F1"/>
            </w:tcBorders>
            <w:shd w:val="clear" w:color="auto" w:fill="F0F5F1"/>
          </w:tcPr>
          <w:p>
            <w:pPr>
              <w:spacing w:after="0"/>
              <w:rPr>
                <w:sz w:val="18"/>
                <w:szCs w:val="18"/>
                <w:color w:val="auto"/>
              </w:rPr>
            </w:pPr>
          </w:p>
        </w:tc>
        <w:tc>
          <w:tcPr>
            <w:tcW w:w="1260" w:type="dxa"/>
            <w:vAlign w:val="bottom"/>
            <w:tcBorders>
              <w:bottom w:val="single" w:sz="8" w:color="F0F5F1"/>
            </w:tcBorders>
            <w:shd w:val="clear" w:color="auto" w:fill="F0F5F1"/>
          </w:tcPr>
          <w:p>
            <w:pPr>
              <w:jc w:val="center"/>
              <w:spacing w:after="0"/>
              <w:rPr>
                <w:sz w:val="20"/>
                <w:szCs w:val="20"/>
                <w:color w:val="auto"/>
              </w:rPr>
            </w:pPr>
            <w:r>
              <w:rPr>
                <w:rFonts w:ascii="Arial" w:cs="Arial" w:eastAsia="Arial" w:hAnsi="Arial"/>
                <w:sz w:val="11"/>
                <w:szCs w:val="11"/>
                <w:color w:val="auto"/>
                <w:w w:val="96"/>
              </w:rPr>
              <w:t>SECURITIES</w:t>
            </w:r>
          </w:p>
        </w:tc>
        <w:tc>
          <w:tcPr>
            <w:tcW w:w="180" w:type="dxa"/>
            <w:vAlign w:val="bottom"/>
            <w:tcBorders>
              <w:bottom w:val="single" w:sz="8" w:color="F0F5F1"/>
            </w:tcBorders>
            <w:shd w:val="clear" w:color="auto" w:fill="F0F5F1"/>
          </w:tcPr>
          <w:p>
            <w:pPr>
              <w:spacing w:after="0"/>
              <w:rPr>
                <w:sz w:val="18"/>
                <w:szCs w:val="18"/>
                <w:color w:val="auto"/>
              </w:rPr>
            </w:pPr>
          </w:p>
        </w:tc>
        <w:tc>
          <w:tcPr>
            <w:tcW w:w="1280" w:type="dxa"/>
            <w:vAlign w:val="bottom"/>
            <w:tcBorders>
              <w:bottom w:val="single" w:sz="8" w:color="F0F5F1"/>
            </w:tcBorders>
            <w:shd w:val="clear" w:color="auto" w:fill="F0F5F1"/>
          </w:tcPr>
          <w:p>
            <w:pPr>
              <w:jc w:val="right"/>
              <w:ind w:right="254"/>
              <w:spacing w:after="0"/>
              <w:rPr>
                <w:sz w:val="20"/>
                <w:szCs w:val="20"/>
                <w:color w:val="auto"/>
              </w:rPr>
            </w:pPr>
            <w:r>
              <w:rPr>
                <w:rFonts w:ascii="Arial" w:cs="Arial" w:eastAsia="Arial" w:hAnsi="Arial"/>
                <w:sz w:val="11"/>
                <w:szCs w:val="11"/>
                <w:color w:val="auto"/>
              </w:rPr>
              <w:t>SECURITIES</w:t>
            </w:r>
          </w:p>
        </w:tc>
        <w:tc>
          <w:tcPr>
            <w:tcW w:w="180" w:type="dxa"/>
            <w:vAlign w:val="bottom"/>
            <w:tcBorders>
              <w:bottom w:val="single" w:sz="8" w:color="F0F5F1"/>
            </w:tcBorders>
            <w:shd w:val="clear" w:color="auto" w:fill="F0F5F1"/>
          </w:tcPr>
          <w:p>
            <w:pPr>
              <w:spacing w:after="0"/>
              <w:rPr>
                <w:sz w:val="18"/>
                <w:szCs w:val="18"/>
                <w:color w:val="auto"/>
              </w:rPr>
            </w:pPr>
          </w:p>
        </w:tc>
        <w:tc>
          <w:tcPr>
            <w:tcW w:w="1480" w:type="dxa"/>
            <w:vAlign w:val="bottom"/>
            <w:tcBorders>
              <w:bottom w:val="single" w:sz="8" w:color="F0F5F1"/>
            </w:tcBorders>
            <w:shd w:val="clear" w:color="auto" w:fill="F0F5F1"/>
          </w:tcPr>
          <w:p>
            <w:pPr>
              <w:jc w:val="right"/>
              <w:ind w:right="532"/>
              <w:spacing w:after="0"/>
              <w:rPr>
                <w:sz w:val="20"/>
                <w:szCs w:val="20"/>
                <w:color w:val="auto"/>
              </w:rPr>
            </w:pPr>
            <w:r>
              <w:rPr>
                <w:rFonts w:ascii="Arial" w:cs="Arial" w:eastAsia="Arial" w:hAnsi="Arial"/>
                <w:sz w:val="11"/>
                <w:szCs w:val="11"/>
                <w:color w:val="auto"/>
              </w:rPr>
              <w:t>TOTAL</w:t>
            </w:r>
          </w:p>
        </w:tc>
      </w:tr>
      <w:tr>
        <w:trPr>
          <w:trHeight w:val="221"/>
        </w:trPr>
        <w:tc>
          <w:tcPr>
            <w:tcW w:w="364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Balance at December 31, 2024</w:t>
            </w:r>
          </w:p>
        </w:tc>
        <w:tc>
          <w:tcPr>
            <w:tcW w:w="1220" w:type="dxa"/>
            <w:vAlign w:val="bottom"/>
            <w:tcBorders>
              <w:top w:val="single" w:sz="8" w:color="auto"/>
            </w:tcBorders>
            <w:shd w:val="clear" w:color="auto" w:fill="F0F5F1"/>
          </w:tcPr>
          <w:p>
            <w:pPr>
              <w:jc w:val="right"/>
              <w:ind w:right="190"/>
              <w:spacing w:after="0"/>
              <w:rPr>
                <w:sz w:val="20"/>
                <w:szCs w:val="20"/>
                <w:color w:val="auto"/>
              </w:rPr>
            </w:pPr>
            <w:r>
              <w:rPr>
                <w:rFonts w:ascii="Arial" w:cs="Arial" w:eastAsia="Arial" w:hAnsi="Arial"/>
                <w:sz w:val="14"/>
                <w:szCs w:val="14"/>
                <w:b w:val="1"/>
                <w:bCs w:val="1"/>
                <w:color w:val="auto"/>
              </w:rPr>
              <w:t>$8,380,000</w:t>
            </w:r>
          </w:p>
        </w:tc>
        <w:tc>
          <w:tcPr>
            <w:tcW w:w="1460" w:type="dxa"/>
            <w:vAlign w:val="bottom"/>
            <w:tcBorders>
              <w:top w:val="single" w:sz="8" w:color="auto"/>
            </w:tcBorders>
            <w:gridSpan w:val="2"/>
            <w:shd w:val="clear" w:color="auto" w:fill="F0F5F1"/>
          </w:tcPr>
          <w:p>
            <w:pPr>
              <w:jc w:val="right"/>
              <w:ind w:right="134"/>
              <w:spacing w:after="0"/>
              <w:rPr>
                <w:sz w:val="20"/>
                <w:szCs w:val="20"/>
                <w:color w:val="auto"/>
              </w:rPr>
            </w:pPr>
            <w:r>
              <w:rPr>
                <w:rFonts w:ascii="Arial" w:cs="Arial" w:eastAsia="Arial" w:hAnsi="Arial"/>
                <w:sz w:val="14"/>
                <w:szCs w:val="14"/>
                <w:b w:val="1"/>
                <w:bCs w:val="1"/>
                <w:color w:val="auto"/>
              </w:rPr>
              <w:t>$ 93,281,213</w:t>
            </w:r>
          </w:p>
        </w:tc>
        <w:tc>
          <w:tcPr>
            <w:tcW w:w="1460" w:type="dxa"/>
            <w:vAlign w:val="bottom"/>
            <w:tcBorders>
              <w:top w:val="single" w:sz="8" w:color="auto"/>
            </w:tcBorders>
            <w:gridSpan w:val="2"/>
            <w:shd w:val="clear" w:color="auto" w:fill="F0F5F1"/>
          </w:tcPr>
          <w:p>
            <w:pPr>
              <w:jc w:val="center"/>
              <w:ind w:left="108"/>
              <w:spacing w:after="0"/>
              <w:rPr>
                <w:sz w:val="20"/>
                <w:szCs w:val="20"/>
                <w:color w:val="auto"/>
              </w:rPr>
            </w:pPr>
            <w:r>
              <w:rPr>
                <w:rFonts w:ascii="Arial" w:cs="Arial" w:eastAsia="Arial" w:hAnsi="Arial"/>
                <w:sz w:val="14"/>
                <w:szCs w:val="14"/>
                <w:b w:val="1"/>
                <w:bCs w:val="1"/>
                <w:color w:val="auto"/>
              </w:rPr>
              <w:t>$1,793,400</w:t>
            </w:r>
          </w:p>
        </w:tc>
        <w:tc>
          <w:tcPr>
            <w:tcW w:w="1660" w:type="dxa"/>
            <w:vAlign w:val="bottom"/>
            <w:tcBorders>
              <w:top w:val="single" w:sz="8" w:color="auto"/>
            </w:tcBorders>
            <w:gridSpan w:val="2"/>
            <w:shd w:val="clear" w:color="auto" w:fill="F0F5F1"/>
          </w:tcPr>
          <w:p>
            <w:pPr>
              <w:jc w:val="right"/>
              <w:ind w:right="252"/>
              <w:spacing w:after="0"/>
              <w:rPr>
                <w:sz w:val="20"/>
                <w:szCs w:val="20"/>
                <w:color w:val="auto"/>
              </w:rPr>
            </w:pPr>
            <w:r>
              <w:rPr>
                <w:rFonts w:ascii="Arial" w:cs="Arial" w:eastAsia="Arial" w:hAnsi="Arial"/>
                <w:sz w:val="14"/>
                <w:szCs w:val="14"/>
                <w:b w:val="1"/>
                <w:bCs w:val="1"/>
                <w:color w:val="auto"/>
              </w:rPr>
              <w:t>$103,454,613</w:t>
            </w:r>
          </w:p>
        </w:tc>
      </w:tr>
      <w:tr>
        <w:trPr>
          <w:trHeight w:val="224"/>
        </w:trPr>
        <w:tc>
          <w:tcPr>
            <w:tcW w:w="364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Realized loss including earnings</w:t>
            </w:r>
          </w:p>
        </w:tc>
        <w:tc>
          <w:tcPr>
            <w:tcW w:w="1220" w:type="dxa"/>
            <w:vAlign w:val="bottom"/>
            <w:shd w:val="clear" w:color="auto" w:fill="F0F5F1"/>
          </w:tcPr>
          <w:p>
            <w:pPr>
              <w:jc w:val="right"/>
              <w:ind w:right="21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19"/>
                <w:szCs w:val="19"/>
                <w:color w:val="auto"/>
              </w:rPr>
            </w:pPr>
          </w:p>
        </w:tc>
        <w:tc>
          <w:tcPr>
            <w:tcW w:w="1260" w:type="dxa"/>
            <w:vAlign w:val="bottom"/>
            <w:shd w:val="clear" w:color="auto" w:fill="F0F5F1"/>
          </w:tcPr>
          <w:p>
            <w:pPr>
              <w:jc w:val="right"/>
              <w:ind w:right="94"/>
              <w:spacing w:after="0"/>
              <w:rPr>
                <w:sz w:val="20"/>
                <w:szCs w:val="20"/>
                <w:color w:val="auto"/>
              </w:rPr>
            </w:pPr>
            <w:r>
              <w:rPr>
                <w:rFonts w:ascii="Arial" w:cs="Arial" w:eastAsia="Arial" w:hAnsi="Arial"/>
                <w:sz w:val="14"/>
                <w:szCs w:val="14"/>
                <w:color w:val="auto"/>
              </w:rPr>
              <w:t>(3,078,588)</w:t>
            </w:r>
          </w:p>
        </w:tc>
        <w:tc>
          <w:tcPr>
            <w:tcW w:w="180" w:type="dxa"/>
            <w:vAlign w:val="bottom"/>
            <w:shd w:val="clear" w:color="auto" w:fill="F0F5F1"/>
          </w:tcPr>
          <w:p>
            <w:pPr>
              <w:spacing w:after="0"/>
              <w:rPr>
                <w:sz w:val="19"/>
                <w:szCs w:val="19"/>
                <w:color w:val="auto"/>
              </w:rPr>
            </w:pPr>
          </w:p>
        </w:tc>
        <w:tc>
          <w:tcPr>
            <w:tcW w:w="1280" w:type="dxa"/>
            <w:vAlign w:val="bottom"/>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F0F5F1"/>
          </w:tcPr>
          <w:p>
            <w:pPr>
              <w:jc w:val="right"/>
              <w:ind w:right="212"/>
              <w:spacing w:after="0"/>
              <w:rPr>
                <w:sz w:val="20"/>
                <w:szCs w:val="20"/>
                <w:color w:val="auto"/>
              </w:rPr>
            </w:pPr>
            <w:r>
              <w:rPr>
                <w:rFonts w:ascii="Arial" w:cs="Arial" w:eastAsia="Arial" w:hAnsi="Arial"/>
                <w:sz w:val="14"/>
                <w:szCs w:val="14"/>
                <w:color w:val="auto"/>
              </w:rPr>
              <w:t>(3,078,588)</w:t>
            </w:r>
          </w:p>
        </w:tc>
      </w:tr>
      <w:tr>
        <w:trPr>
          <w:trHeight w:val="229"/>
        </w:trPr>
        <w:tc>
          <w:tcPr>
            <w:tcW w:w="3640" w:type="dxa"/>
            <w:vAlign w:val="bottom"/>
            <w:shd w:val="clear" w:color="auto" w:fill="F0F5F1"/>
          </w:tcPr>
          <w:p>
            <w:pPr>
              <w:ind w:left="120"/>
              <w:spacing w:after="0"/>
              <w:rPr>
                <w:sz w:val="20"/>
                <w:szCs w:val="20"/>
                <w:color w:val="auto"/>
              </w:rPr>
            </w:pPr>
            <w:r>
              <w:rPr>
                <w:rFonts w:ascii="Arial" w:cs="Arial" w:eastAsia="Arial" w:hAnsi="Arial"/>
                <w:sz w:val="14"/>
                <w:szCs w:val="14"/>
                <w:color w:val="auto"/>
              </w:rPr>
              <w:t>Unrealized depreciation on investments</w:t>
            </w:r>
          </w:p>
        </w:tc>
        <w:tc>
          <w:tcPr>
            <w:tcW w:w="1220" w:type="dxa"/>
            <w:vAlign w:val="bottom"/>
            <w:shd w:val="clear" w:color="auto" w:fill="F0F5F1"/>
          </w:tcPr>
          <w:p>
            <w:pPr>
              <w:jc w:val="right"/>
              <w:ind w:right="190"/>
              <w:spacing w:after="0"/>
              <w:rPr>
                <w:sz w:val="20"/>
                <w:szCs w:val="20"/>
                <w:color w:val="auto"/>
              </w:rPr>
            </w:pPr>
            <w:r>
              <w:rPr>
                <w:rFonts w:ascii="Arial" w:cs="Arial" w:eastAsia="Arial" w:hAnsi="Arial"/>
                <w:sz w:val="14"/>
                <w:szCs w:val="14"/>
                <w:color w:val="auto"/>
              </w:rPr>
              <w:t>180,000</w:t>
            </w:r>
          </w:p>
        </w:tc>
        <w:tc>
          <w:tcPr>
            <w:tcW w:w="200" w:type="dxa"/>
            <w:vAlign w:val="bottom"/>
            <w:shd w:val="clear" w:color="auto" w:fill="F0F5F1"/>
          </w:tcPr>
          <w:p>
            <w:pPr>
              <w:spacing w:after="0"/>
              <w:rPr>
                <w:sz w:val="19"/>
                <w:szCs w:val="19"/>
                <w:color w:val="auto"/>
              </w:rPr>
            </w:pPr>
          </w:p>
        </w:tc>
        <w:tc>
          <w:tcPr>
            <w:tcW w:w="1260" w:type="dxa"/>
            <w:vAlign w:val="bottom"/>
            <w:shd w:val="clear" w:color="auto" w:fill="F0F5F1"/>
          </w:tcPr>
          <w:p>
            <w:pPr>
              <w:jc w:val="right"/>
              <w:ind w:right="114"/>
              <w:spacing w:after="0"/>
              <w:rPr>
                <w:sz w:val="20"/>
                <w:szCs w:val="20"/>
                <w:color w:val="auto"/>
              </w:rPr>
            </w:pPr>
            <w:r>
              <w:rPr>
                <w:rFonts w:ascii="Arial" w:cs="Arial" w:eastAsia="Arial" w:hAnsi="Arial"/>
                <w:sz w:val="14"/>
                <w:szCs w:val="14"/>
                <w:color w:val="auto"/>
              </w:rPr>
              <w:t>7,704,409</w:t>
            </w:r>
          </w:p>
        </w:tc>
        <w:tc>
          <w:tcPr>
            <w:tcW w:w="180" w:type="dxa"/>
            <w:vAlign w:val="bottom"/>
            <w:shd w:val="clear" w:color="auto" w:fill="F0F5F1"/>
          </w:tcPr>
          <w:p>
            <w:pPr>
              <w:spacing w:after="0"/>
              <w:rPr>
                <w:sz w:val="19"/>
                <w:szCs w:val="19"/>
                <w:color w:val="auto"/>
              </w:rPr>
            </w:pPr>
          </w:p>
        </w:tc>
        <w:tc>
          <w:tcPr>
            <w:tcW w:w="1280" w:type="dxa"/>
            <w:vAlign w:val="bottom"/>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F0F5F1"/>
          </w:tcPr>
          <w:p>
            <w:pPr>
              <w:jc w:val="right"/>
              <w:ind w:right="252"/>
              <w:spacing w:after="0"/>
              <w:rPr>
                <w:sz w:val="20"/>
                <w:szCs w:val="20"/>
                <w:color w:val="auto"/>
              </w:rPr>
            </w:pPr>
            <w:r>
              <w:rPr>
                <w:rFonts w:ascii="Arial" w:cs="Arial" w:eastAsia="Arial" w:hAnsi="Arial"/>
                <w:sz w:val="14"/>
                <w:szCs w:val="14"/>
                <w:color w:val="auto"/>
              </w:rPr>
              <w:t>7,884,409</w:t>
            </w:r>
          </w:p>
        </w:tc>
      </w:tr>
      <w:tr>
        <w:trPr>
          <w:trHeight w:val="229"/>
        </w:trPr>
        <w:tc>
          <w:tcPr>
            <w:tcW w:w="3640" w:type="dxa"/>
            <w:vAlign w:val="bottom"/>
            <w:shd w:val="clear" w:color="auto" w:fill="F0F5F1"/>
          </w:tcPr>
          <w:p>
            <w:pPr>
              <w:ind w:left="120"/>
              <w:spacing w:after="0"/>
              <w:rPr>
                <w:sz w:val="20"/>
                <w:szCs w:val="20"/>
                <w:color w:val="auto"/>
              </w:rPr>
            </w:pPr>
            <w:r>
              <w:rPr>
                <w:rFonts w:ascii="Arial" w:cs="Arial" w:eastAsia="Arial" w:hAnsi="Arial"/>
                <w:sz w:val="14"/>
                <w:szCs w:val="14"/>
                <w:color w:val="auto"/>
              </w:rPr>
              <w:t>Purchases</w:t>
            </w:r>
          </w:p>
        </w:tc>
        <w:tc>
          <w:tcPr>
            <w:tcW w:w="1220" w:type="dxa"/>
            <w:vAlign w:val="bottom"/>
            <w:shd w:val="clear" w:color="auto" w:fill="F0F5F1"/>
          </w:tcPr>
          <w:p>
            <w:pPr>
              <w:jc w:val="right"/>
              <w:ind w:right="170"/>
              <w:spacing w:after="0"/>
              <w:rPr>
                <w:sz w:val="20"/>
                <w:szCs w:val="20"/>
                <w:color w:val="auto"/>
              </w:rPr>
            </w:pPr>
            <w:r>
              <w:rPr>
                <w:rFonts w:ascii="Arial" w:cs="Arial" w:eastAsia="Arial" w:hAnsi="Arial"/>
                <w:sz w:val="14"/>
                <w:szCs w:val="14"/>
                <w:color w:val="auto"/>
              </w:rPr>
              <w:t>2,000,000</w:t>
            </w:r>
          </w:p>
        </w:tc>
        <w:tc>
          <w:tcPr>
            <w:tcW w:w="200" w:type="dxa"/>
            <w:vAlign w:val="bottom"/>
            <w:shd w:val="clear" w:color="auto" w:fill="F0F5F1"/>
          </w:tcPr>
          <w:p>
            <w:pPr>
              <w:spacing w:after="0"/>
              <w:rPr>
                <w:sz w:val="19"/>
                <w:szCs w:val="19"/>
                <w:color w:val="auto"/>
              </w:rPr>
            </w:pPr>
          </w:p>
        </w:tc>
        <w:tc>
          <w:tcPr>
            <w:tcW w:w="1260" w:type="dxa"/>
            <w:vAlign w:val="bottom"/>
            <w:shd w:val="clear" w:color="auto" w:fill="F0F5F1"/>
          </w:tcPr>
          <w:p>
            <w:pPr>
              <w:jc w:val="right"/>
              <w:ind w:right="114"/>
              <w:spacing w:after="0"/>
              <w:rPr>
                <w:sz w:val="20"/>
                <w:szCs w:val="20"/>
                <w:color w:val="auto"/>
              </w:rPr>
            </w:pPr>
            <w:r>
              <w:rPr>
                <w:rFonts w:ascii="Arial" w:cs="Arial" w:eastAsia="Arial" w:hAnsi="Arial"/>
                <w:sz w:val="14"/>
                <w:szCs w:val="14"/>
                <w:color w:val="auto"/>
              </w:rPr>
              <w:t>33,223,103</w:t>
            </w:r>
          </w:p>
        </w:tc>
        <w:tc>
          <w:tcPr>
            <w:tcW w:w="180" w:type="dxa"/>
            <w:vAlign w:val="bottom"/>
            <w:shd w:val="clear" w:color="auto" w:fill="F0F5F1"/>
          </w:tcPr>
          <w:p>
            <w:pPr>
              <w:spacing w:after="0"/>
              <w:rPr>
                <w:sz w:val="19"/>
                <w:szCs w:val="19"/>
                <w:color w:val="auto"/>
              </w:rPr>
            </w:pPr>
          </w:p>
        </w:tc>
        <w:tc>
          <w:tcPr>
            <w:tcW w:w="1280" w:type="dxa"/>
            <w:vAlign w:val="bottom"/>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F0F5F1"/>
          </w:tcPr>
          <w:p>
            <w:pPr>
              <w:jc w:val="right"/>
              <w:ind w:right="252"/>
              <w:spacing w:after="0"/>
              <w:rPr>
                <w:sz w:val="20"/>
                <w:szCs w:val="20"/>
                <w:color w:val="auto"/>
              </w:rPr>
            </w:pPr>
            <w:r>
              <w:rPr>
                <w:rFonts w:ascii="Arial" w:cs="Arial" w:eastAsia="Arial" w:hAnsi="Arial"/>
                <w:sz w:val="14"/>
                <w:szCs w:val="14"/>
                <w:color w:val="auto"/>
              </w:rPr>
              <w:t>35,223,103</w:t>
            </w:r>
          </w:p>
        </w:tc>
      </w:tr>
      <w:tr>
        <w:trPr>
          <w:trHeight w:val="230"/>
        </w:trPr>
        <w:tc>
          <w:tcPr>
            <w:tcW w:w="3640" w:type="dxa"/>
            <w:vAlign w:val="bottom"/>
            <w:shd w:val="clear" w:color="auto" w:fill="F0F5F1"/>
          </w:tcPr>
          <w:p>
            <w:pPr>
              <w:ind w:left="120"/>
              <w:spacing w:after="0"/>
              <w:rPr>
                <w:sz w:val="20"/>
                <w:szCs w:val="20"/>
                <w:color w:val="auto"/>
              </w:rPr>
            </w:pPr>
            <w:r>
              <w:rPr>
                <w:rFonts w:ascii="Arial" w:cs="Arial" w:eastAsia="Arial" w:hAnsi="Arial"/>
                <w:sz w:val="14"/>
                <w:szCs w:val="14"/>
                <w:color w:val="auto"/>
              </w:rPr>
              <w:t>Sales</w:t>
            </w:r>
          </w:p>
        </w:tc>
        <w:tc>
          <w:tcPr>
            <w:tcW w:w="1220" w:type="dxa"/>
            <w:vAlign w:val="bottom"/>
            <w:shd w:val="clear" w:color="auto" w:fill="F0F5F1"/>
          </w:tcPr>
          <w:p>
            <w:pPr>
              <w:jc w:val="right"/>
              <w:ind w:right="150"/>
              <w:spacing w:after="0"/>
              <w:rPr>
                <w:sz w:val="20"/>
                <w:szCs w:val="20"/>
                <w:color w:val="auto"/>
              </w:rPr>
            </w:pPr>
            <w:r>
              <w:rPr>
                <w:rFonts w:ascii="Arial" w:cs="Arial" w:eastAsia="Arial" w:hAnsi="Arial"/>
                <w:sz w:val="14"/>
                <w:szCs w:val="14"/>
                <w:color w:val="auto"/>
              </w:rPr>
              <w:t>(5,000,000)</w:t>
            </w:r>
          </w:p>
        </w:tc>
        <w:tc>
          <w:tcPr>
            <w:tcW w:w="200" w:type="dxa"/>
            <w:vAlign w:val="bottom"/>
            <w:shd w:val="clear" w:color="auto" w:fill="F0F5F1"/>
          </w:tcPr>
          <w:p>
            <w:pPr>
              <w:spacing w:after="0"/>
              <w:rPr>
                <w:sz w:val="19"/>
                <w:szCs w:val="19"/>
                <w:color w:val="auto"/>
              </w:rPr>
            </w:pPr>
          </w:p>
        </w:tc>
        <w:tc>
          <w:tcPr>
            <w:tcW w:w="1260" w:type="dxa"/>
            <w:vAlign w:val="bottom"/>
            <w:shd w:val="clear" w:color="auto" w:fill="F0F5F1"/>
          </w:tcPr>
          <w:p>
            <w:pPr>
              <w:jc w:val="right"/>
              <w:ind w:right="94"/>
              <w:spacing w:after="0"/>
              <w:rPr>
                <w:sz w:val="20"/>
                <w:szCs w:val="20"/>
                <w:color w:val="auto"/>
              </w:rPr>
            </w:pPr>
            <w:r>
              <w:rPr>
                <w:rFonts w:ascii="Arial" w:cs="Arial" w:eastAsia="Arial" w:hAnsi="Arial"/>
                <w:sz w:val="14"/>
                <w:szCs w:val="14"/>
                <w:color w:val="auto"/>
              </w:rPr>
              <w:t>(29,236,215)</w:t>
            </w:r>
          </w:p>
        </w:tc>
        <w:tc>
          <w:tcPr>
            <w:tcW w:w="180" w:type="dxa"/>
            <w:vAlign w:val="bottom"/>
            <w:shd w:val="clear" w:color="auto" w:fill="F0F5F1"/>
          </w:tcPr>
          <w:p>
            <w:pPr>
              <w:spacing w:after="0"/>
              <w:rPr>
                <w:sz w:val="19"/>
                <w:szCs w:val="19"/>
                <w:color w:val="auto"/>
              </w:rPr>
            </w:pPr>
          </w:p>
        </w:tc>
        <w:tc>
          <w:tcPr>
            <w:tcW w:w="1280" w:type="dxa"/>
            <w:vAlign w:val="bottom"/>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F0F5F1"/>
          </w:tcPr>
          <w:p>
            <w:pPr>
              <w:jc w:val="right"/>
              <w:ind w:right="212"/>
              <w:spacing w:after="0"/>
              <w:rPr>
                <w:sz w:val="20"/>
                <w:szCs w:val="20"/>
                <w:color w:val="auto"/>
              </w:rPr>
            </w:pPr>
            <w:r>
              <w:rPr>
                <w:rFonts w:ascii="Arial" w:cs="Arial" w:eastAsia="Arial" w:hAnsi="Arial"/>
                <w:sz w:val="14"/>
                <w:szCs w:val="14"/>
                <w:color w:val="auto"/>
              </w:rPr>
              <w:t>(34,236,215)</w:t>
            </w:r>
          </w:p>
        </w:tc>
      </w:tr>
      <w:tr>
        <w:trPr>
          <w:trHeight w:val="229"/>
        </w:trPr>
        <w:tc>
          <w:tcPr>
            <w:tcW w:w="3640" w:type="dxa"/>
            <w:vAlign w:val="bottom"/>
            <w:shd w:val="clear" w:color="auto" w:fill="F0F5F1"/>
          </w:tcPr>
          <w:p>
            <w:pPr>
              <w:ind w:left="120"/>
              <w:spacing w:after="0"/>
              <w:rPr>
                <w:sz w:val="20"/>
                <w:szCs w:val="20"/>
                <w:color w:val="auto"/>
              </w:rPr>
            </w:pPr>
            <w:r>
              <w:rPr>
                <w:rFonts w:ascii="Arial" w:cs="Arial" w:eastAsia="Arial" w:hAnsi="Arial"/>
                <w:sz w:val="14"/>
                <w:szCs w:val="14"/>
                <w:color w:val="auto"/>
              </w:rPr>
              <w:t>Transfers in</w:t>
            </w:r>
          </w:p>
        </w:tc>
        <w:tc>
          <w:tcPr>
            <w:tcW w:w="1220" w:type="dxa"/>
            <w:vAlign w:val="bottom"/>
            <w:shd w:val="clear" w:color="auto" w:fill="F0F5F1"/>
          </w:tcPr>
          <w:p>
            <w:pPr>
              <w:jc w:val="right"/>
              <w:ind w:right="21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19"/>
                <w:szCs w:val="19"/>
                <w:color w:val="auto"/>
              </w:rPr>
            </w:pPr>
          </w:p>
        </w:tc>
        <w:tc>
          <w:tcPr>
            <w:tcW w:w="1260" w:type="dxa"/>
            <w:vAlign w:val="bottom"/>
            <w:shd w:val="clear" w:color="auto" w:fill="F0F5F1"/>
          </w:tcPr>
          <w:p>
            <w:pPr>
              <w:jc w:val="right"/>
              <w:ind w:right="114"/>
              <w:spacing w:after="0"/>
              <w:rPr>
                <w:sz w:val="20"/>
                <w:szCs w:val="20"/>
                <w:color w:val="auto"/>
              </w:rPr>
            </w:pPr>
            <w:r>
              <w:rPr>
                <w:rFonts w:ascii="Arial" w:cs="Arial" w:eastAsia="Arial" w:hAnsi="Arial"/>
                <w:sz w:val="14"/>
                <w:szCs w:val="14"/>
                <w:color w:val="auto"/>
              </w:rPr>
              <w:t>19,868,640</w:t>
            </w:r>
          </w:p>
        </w:tc>
        <w:tc>
          <w:tcPr>
            <w:tcW w:w="180" w:type="dxa"/>
            <w:vAlign w:val="bottom"/>
            <w:shd w:val="clear" w:color="auto" w:fill="F0F5F1"/>
          </w:tcPr>
          <w:p>
            <w:pPr>
              <w:spacing w:after="0"/>
              <w:rPr>
                <w:sz w:val="19"/>
                <w:szCs w:val="19"/>
                <w:color w:val="auto"/>
              </w:rPr>
            </w:pPr>
          </w:p>
        </w:tc>
        <w:tc>
          <w:tcPr>
            <w:tcW w:w="1280" w:type="dxa"/>
            <w:vAlign w:val="bottom"/>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480" w:type="dxa"/>
            <w:vAlign w:val="bottom"/>
            <w:shd w:val="clear" w:color="auto" w:fill="F0F5F1"/>
          </w:tcPr>
          <w:p>
            <w:pPr>
              <w:jc w:val="right"/>
              <w:ind w:right="252"/>
              <w:spacing w:after="0"/>
              <w:rPr>
                <w:sz w:val="20"/>
                <w:szCs w:val="20"/>
                <w:color w:val="auto"/>
              </w:rPr>
            </w:pPr>
            <w:r>
              <w:rPr>
                <w:rFonts w:ascii="Arial" w:cs="Arial" w:eastAsia="Arial" w:hAnsi="Arial"/>
                <w:sz w:val="14"/>
                <w:szCs w:val="14"/>
                <w:color w:val="auto"/>
              </w:rPr>
              <w:t>19,868,640</w:t>
            </w:r>
          </w:p>
        </w:tc>
      </w:tr>
      <w:tr>
        <w:trPr>
          <w:trHeight w:val="229"/>
        </w:trPr>
        <w:tc>
          <w:tcPr>
            <w:tcW w:w="3640" w:type="dxa"/>
            <w:vAlign w:val="bottom"/>
            <w:shd w:val="clear" w:color="auto" w:fill="F0F5F1"/>
          </w:tcPr>
          <w:p>
            <w:pPr>
              <w:ind w:left="120"/>
              <w:spacing w:after="0"/>
              <w:rPr>
                <w:sz w:val="20"/>
                <w:szCs w:val="20"/>
                <w:color w:val="auto"/>
              </w:rPr>
            </w:pPr>
            <w:r>
              <w:rPr>
                <w:rFonts w:ascii="Arial" w:cs="Arial" w:eastAsia="Arial" w:hAnsi="Arial"/>
                <w:sz w:val="14"/>
                <w:szCs w:val="14"/>
                <w:color w:val="auto"/>
              </w:rPr>
              <w:t>Transfers out</w:t>
            </w:r>
          </w:p>
        </w:tc>
        <w:tc>
          <w:tcPr>
            <w:tcW w:w="1220" w:type="dxa"/>
            <w:vAlign w:val="bottom"/>
            <w:shd w:val="clear" w:color="auto" w:fill="F0F5F1"/>
          </w:tcPr>
          <w:p>
            <w:pPr>
              <w:jc w:val="right"/>
              <w:ind w:right="210"/>
              <w:spacing w:after="0"/>
              <w:rPr>
                <w:sz w:val="20"/>
                <w:szCs w:val="20"/>
                <w:color w:val="auto"/>
              </w:rPr>
            </w:pPr>
            <w:r>
              <w:rPr>
                <w:rFonts w:ascii="Arial" w:cs="Arial" w:eastAsia="Arial" w:hAnsi="Arial"/>
                <w:sz w:val="14"/>
                <w:szCs w:val="14"/>
                <w:color w:val="auto"/>
              </w:rPr>
              <w:t>—</w:t>
            </w:r>
          </w:p>
        </w:tc>
        <w:tc>
          <w:tcPr>
            <w:tcW w:w="200" w:type="dxa"/>
            <w:vAlign w:val="bottom"/>
            <w:shd w:val="clear" w:color="auto" w:fill="F0F5F1"/>
          </w:tcPr>
          <w:p>
            <w:pPr>
              <w:spacing w:after="0"/>
              <w:rPr>
                <w:sz w:val="19"/>
                <w:szCs w:val="19"/>
                <w:color w:val="auto"/>
              </w:rPr>
            </w:pPr>
          </w:p>
        </w:tc>
        <w:tc>
          <w:tcPr>
            <w:tcW w:w="1260" w:type="dxa"/>
            <w:vAlign w:val="bottom"/>
            <w:shd w:val="clear" w:color="auto" w:fill="F0F5F1"/>
          </w:tcPr>
          <w:p>
            <w:pPr>
              <w:jc w:val="right"/>
              <w:ind w:right="154"/>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280" w:type="dxa"/>
            <w:vAlign w:val="bottom"/>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80" w:type="dxa"/>
            <w:vAlign w:val="bottom"/>
            <w:shd w:val="clear" w:color="auto" w:fill="F0F5F1"/>
          </w:tcPr>
          <w:p>
            <w:pPr>
              <w:spacing w:after="0"/>
              <w:rPr>
                <w:sz w:val="19"/>
                <w:szCs w:val="19"/>
                <w:color w:val="auto"/>
              </w:rPr>
            </w:pPr>
          </w:p>
        </w:tc>
        <w:tc>
          <w:tcPr>
            <w:tcW w:w="1480" w:type="dxa"/>
            <w:vAlign w:val="bottom"/>
            <w:shd w:val="clear" w:color="auto" w:fill="F0F5F1"/>
          </w:tcPr>
          <w:p>
            <w:pPr>
              <w:jc w:val="right"/>
              <w:ind w:right="292"/>
              <w:spacing w:after="0"/>
              <w:rPr>
                <w:sz w:val="20"/>
                <w:szCs w:val="20"/>
                <w:color w:val="auto"/>
              </w:rPr>
            </w:pPr>
            <w:r>
              <w:rPr>
                <w:rFonts w:ascii="Arial" w:cs="Arial" w:eastAsia="Arial" w:hAnsi="Arial"/>
                <w:sz w:val="14"/>
                <w:szCs w:val="14"/>
                <w:color w:val="auto"/>
              </w:rPr>
              <w:t>—</w:t>
            </w:r>
          </w:p>
        </w:tc>
      </w:tr>
      <w:tr>
        <w:trPr>
          <w:trHeight w:val="270"/>
        </w:trPr>
        <w:tc>
          <w:tcPr>
            <w:tcW w:w="3640" w:type="dxa"/>
            <w:vAlign w:val="bottom"/>
            <w:tcBorders>
              <w:bottom w:val="single" w:sz="8" w:color="F0F5F1"/>
            </w:tcBorders>
            <w:shd w:val="clear" w:color="auto" w:fill="F0F5F1"/>
          </w:tcPr>
          <w:p>
            <w:pPr>
              <w:ind w:left="120"/>
              <w:spacing w:after="0"/>
              <w:rPr>
                <w:sz w:val="20"/>
                <w:szCs w:val="20"/>
                <w:color w:val="auto"/>
              </w:rPr>
            </w:pPr>
            <w:r>
              <w:rPr>
                <w:rFonts w:ascii="Arial" w:cs="Arial" w:eastAsia="Arial" w:hAnsi="Arial"/>
                <w:sz w:val="14"/>
                <w:szCs w:val="14"/>
                <w:color w:val="auto"/>
              </w:rPr>
              <w:t>Amortization</w:t>
            </w:r>
          </w:p>
        </w:tc>
        <w:tc>
          <w:tcPr>
            <w:tcW w:w="1220" w:type="dxa"/>
            <w:vAlign w:val="bottom"/>
            <w:tcBorders>
              <w:bottom w:val="single" w:sz="8" w:color="F0F5F1"/>
            </w:tcBorders>
            <w:shd w:val="clear" w:color="auto" w:fill="F0F5F1"/>
          </w:tcPr>
          <w:p>
            <w:pPr>
              <w:jc w:val="right"/>
              <w:ind w:right="2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F0F5F1"/>
            </w:tcBorders>
            <w:shd w:val="clear" w:color="auto" w:fill="F0F5F1"/>
          </w:tcPr>
          <w:p>
            <w:pPr>
              <w:spacing w:after="0"/>
              <w:rPr>
                <w:sz w:val="23"/>
                <w:szCs w:val="23"/>
                <w:color w:val="auto"/>
              </w:rPr>
            </w:pPr>
          </w:p>
        </w:tc>
        <w:tc>
          <w:tcPr>
            <w:tcW w:w="1260" w:type="dxa"/>
            <w:vAlign w:val="bottom"/>
            <w:tcBorders>
              <w:bottom w:val="single" w:sz="8" w:color="F0F5F1"/>
            </w:tcBorders>
            <w:shd w:val="clear" w:color="auto" w:fill="F0F5F1"/>
          </w:tcPr>
          <w:p>
            <w:pPr>
              <w:jc w:val="right"/>
              <w:ind w:right="134"/>
              <w:spacing w:after="0"/>
              <w:rPr>
                <w:sz w:val="20"/>
                <w:szCs w:val="20"/>
                <w:color w:val="auto"/>
              </w:rPr>
            </w:pPr>
            <w:r>
              <w:rPr>
                <w:rFonts w:ascii="Arial" w:cs="Arial" w:eastAsia="Arial" w:hAnsi="Arial"/>
                <w:sz w:val="14"/>
                <w:szCs w:val="14"/>
                <w:color w:val="auto"/>
              </w:rPr>
              <w:t>2,797</w:t>
            </w:r>
          </w:p>
        </w:tc>
        <w:tc>
          <w:tcPr>
            <w:tcW w:w="180" w:type="dxa"/>
            <w:vAlign w:val="bottom"/>
            <w:tcBorders>
              <w:bottom w:val="single" w:sz="8" w:color="F0F5F1"/>
            </w:tcBorders>
            <w:shd w:val="clear" w:color="auto" w:fill="F0F5F1"/>
          </w:tcPr>
          <w:p>
            <w:pPr>
              <w:spacing w:after="0"/>
              <w:rPr>
                <w:sz w:val="23"/>
                <w:szCs w:val="23"/>
                <w:color w:val="auto"/>
              </w:rPr>
            </w:pPr>
          </w:p>
        </w:tc>
        <w:tc>
          <w:tcPr>
            <w:tcW w:w="1280" w:type="dxa"/>
            <w:vAlign w:val="bottom"/>
            <w:tcBorders>
              <w:bottom w:val="single" w:sz="8" w:color="F0F5F1"/>
            </w:tcBorders>
            <w:shd w:val="clear" w:color="auto" w:fill="F0F5F1"/>
          </w:tcPr>
          <w:p>
            <w:pPr>
              <w:jc w:val="right"/>
              <w:ind w:right="234"/>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F0F5F1"/>
            </w:tcBorders>
            <w:shd w:val="clear" w:color="auto" w:fill="F0F5F1"/>
          </w:tcPr>
          <w:p>
            <w:pPr>
              <w:spacing w:after="0"/>
              <w:rPr>
                <w:sz w:val="23"/>
                <w:szCs w:val="23"/>
                <w:color w:val="auto"/>
              </w:rPr>
            </w:pPr>
          </w:p>
        </w:tc>
        <w:tc>
          <w:tcPr>
            <w:tcW w:w="1480" w:type="dxa"/>
            <w:vAlign w:val="bottom"/>
            <w:tcBorders>
              <w:bottom w:val="single" w:sz="8" w:color="F0F5F1"/>
            </w:tcBorders>
            <w:shd w:val="clear" w:color="auto" w:fill="F0F5F1"/>
          </w:tcPr>
          <w:p>
            <w:pPr>
              <w:jc w:val="right"/>
              <w:ind w:right="272"/>
              <w:spacing w:after="0"/>
              <w:rPr>
                <w:sz w:val="20"/>
                <w:szCs w:val="20"/>
                <w:color w:val="auto"/>
              </w:rPr>
            </w:pPr>
            <w:r>
              <w:rPr>
                <w:rFonts w:ascii="Arial" w:cs="Arial" w:eastAsia="Arial" w:hAnsi="Arial"/>
                <w:sz w:val="14"/>
                <w:szCs w:val="14"/>
                <w:color w:val="auto"/>
              </w:rPr>
              <w:t>2,797</w:t>
            </w:r>
          </w:p>
        </w:tc>
      </w:tr>
      <w:tr>
        <w:trPr>
          <w:trHeight w:val="230"/>
        </w:trPr>
        <w:tc>
          <w:tcPr>
            <w:tcW w:w="3640" w:type="dxa"/>
            <w:vAlign w:val="bottom"/>
            <w:tcBorders>
              <w:top w:val="single" w:sz="8" w:color="F0F5F1"/>
              <w:bottom w:val="single" w:sz="8" w:color="F0F5F1"/>
            </w:tcBorders>
            <w:shd w:val="clear" w:color="auto" w:fill="F0F5F1"/>
          </w:tcPr>
          <w:p>
            <w:pPr>
              <w:ind w:left="120"/>
              <w:spacing w:after="0"/>
              <w:rPr>
                <w:sz w:val="20"/>
                <w:szCs w:val="20"/>
                <w:color w:val="auto"/>
              </w:rPr>
            </w:pPr>
            <w:r>
              <w:rPr>
                <w:rFonts w:ascii="Arial" w:cs="Arial" w:eastAsia="Arial" w:hAnsi="Arial"/>
                <w:sz w:val="14"/>
                <w:szCs w:val="14"/>
                <w:b w:val="1"/>
                <w:bCs w:val="1"/>
                <w:color w:val="auto"/>
              </w:rPr>
              <w:t>Balance at September 30, 2025</w:t>
            </w:r>
          </w:p>
        </w:tc>
        <w:tc>
          <w:tcPr>
            <w:tcW w:w="1220" w:type="dxa"/>
            <w:vAlign w:val="bottom"/>
            <w:tcBorders>
              <w:top w:val="single" w:sz="8" w:color="auto"/>
              <w:bottom w:val="single" w:sz="8" w:color="F0F5F1"/>
            </w:tcBorders>
            <w:shd w:val="clear" w:color="auto" w:fill="F0F5F1"/>
          </w:tcPr>
          <w:p>
            <w:pPr>
              <w:jc w:val="right"/>
              <w:ind w:right="190"/>
              <w:spacing w:after="0"/>
              <w:rPr>
                <w:sz w:val="20"/>
                <w:szCs w:val="20"/>
                <w:color w:val="auto"/>
              </w:rPr>
            </w:pPr>
            <w:r>
              <w:rPr>
                <w:rFonts w:ascii="Arial" w:cs="Arial" w:eastAsia="Arial" w:hAnsi="Arial"/>
                <w:sz w:val="14"/>
                <w:szCs w:val="14"/>
                <w:b w:val="1"/>
                <w:bCs w:val="1"/>
                <w:color w:val="auto"/>
              </w:rPr>
              <w:t>$5,560,000</w:t>
            </w:r>
          </w:p>
        </w:tc>
        <w:tc>
          <w:tcPr>
            <w:tcW w:w="200" w:type="dxa"/>
            <w:vAlign w:val="bottom"/>
            <w:tcBorders>
              <w:top w:val="single" w:sz="8" w:color="F0F5F1"/>
              <w:bottom w:val="single" w:sz="8" w:color="F0F5F1"/>
            </w:tcBorders>
            <w:shd w:val="clear" w:color="auto" w:fill="F0F5F1"/>
          </w:tcPr>
          <w:p>
            <w:pPr>
              <w:spacing w:after="0"/>
              <w:rPr>
                <w:sz w:val="20"/>
                <w:szCs w:val="20"/>
                <w:color w:val="auto"/>
              </w:rPr>
            </w:pPr>
          </w:p>
        </w:tc>
        <w:tc>
          <w:tcPr>
            <w:tcW w:w="1260" w:type="dxa"/>
            <w:vAlign w:val="bottom"/>
            <w:tcBorders>
              <w:top w:val="single" w:sz="8" w:color="auto"/>
              <w:bottom w:val="single" w:sz="8" w:color="F0F5F1"/>
            </w:tcBorders>
            <w:shd w:val="clear" w:color="auto" w:fill="F0F5F1"/>
          </w:tcPr>
          <w:p>
            <w:pPr>
              <w:jc w:val="right"/>
              <w:ind w:right="134"/>
              <w:spacing w:after="0"/>
              <w:rPr>
                <w:sz w:val="20"/>
                <w:szCs w:val="20"/>
                <w:color w:val="auto"/>
              </w:rPr>
            </w:pPr>
            <w:r>
              <w:rPr>
                <w:rFonts w:ascii="Arial" w:cs="Arial" w:eastAsia="Arial" w:hAnsi="Arial"/>
                <w:sz w:val="14"/>
                <w:szCs w:val="14"/>
                <w:b w:val="1"/>
                <w:bCs w:val="1"/>
                <w:color w:val="auto"/>
              </w:rPr>
              <w:t>$121,765,359</w:t>
            </w:r>
          </w:p>
        </w:tc>
        <w:tc>
          <w:tcPr>
            <w:tcW w:w="180" w:type="dxa"/>
            <w:vAlign w:val="bottom"/>
            <w:tcBorders>
              <w:top w:val="single" w:sz="8" w:color="F0F5F1"/>
              <w:bottom w:val="single" w:sz="8" w:color="F0F5F1"/>
            </w:tcBorders>
            <w:shd w:val="clear" w:color="auto" w:fill="F0F5F1"/>
          </w:tcPr>
          <w:p>
            <w:pPr>
              <w:spacing w:after="0"/>
              <w:rPr>
                <w:sz w:val="20"/>
                <w:szCs w:val="20"/>
                <w:color w:val="auto"/>
              </w:rPr>
            </w:pPr>
          </w:p>
        </w:tc>
        <w:tc>
          <w:tcPr>
            <w:tcW w:w="1280" w:type="dxa"/>
            <w:vAlign w:val="bottom"/>
            <w:tcBorders>
              <w:top w:val="single" w:sz="8" w:color="auto"/>
              <w:bottom w:val="single" w:sz="8" w:color="F0F5F1"/>
            </w:tcBorders>
            <w:shd w:val="clear" w:color="auto" w:fill="F0F5F1"/>
          </w:tcPr>
          <w:p>
            <w:pPr>
              <w:jc w:val="center"/>
              <w:spacing w:after="0"/>
              <w:rPr>
                <w:sz w:val="20"/>
                <w:szCs w:val="20"/>
                <w:color w:val="auto"/>
              </w:rPr>
            </w:pPr>
            <w:r>
              <w:rPr>
                <w:rFonts w:ascii="Arial" w:cs="Arial" w:eastAsia="Arial" w:hAnsi="Arial"/>
                <w:sz w:val="14"/>
                <w:szCs w:val="14"/>
                <w:b w:val="1"/>
                <w:bCs w:val="1"/>
                <w:color w:val="auto"/>
              </w:rPr>
              <w:t>$1,793,400</w:t>
            </w:r>
          </w:p>
        </w:tc>
        <w:tc>
          <w:tcPr>
            <w:tcW w:w="180" w:type="dxa"/>
            <w:vAlign w:val="bottom"/>
            <w:tcBorders>
              <w:top w:val="single" w:sz="8" w:color="F0F5F1"/>
              <w:bottom w:val="single" w:sz="8" w:color="F0F5F1"/>
            </w:tcBorders>
            <w:shd w:val="clear" w:color="auto" w:fill="F0F5F1"/>
          </w:tcPr>
          <w:p>
            <w:pPr>
              <w:spacing w:after="0"/>
              <w:rPr>
                <w:sz w:val="20"/>
                <w:szCs w:val="20"/>
                <w:color w:val="auto"/>
              </w:rPr>
            </w:pPr>
          </w:p>
        </w:tc>
        <w:tc>
          <w:tcPr>
            <w:tcW w:w="1480" w:type="dxa"/>
            <w:vAlign w:val="bottom"/>
            <w:tcBorders>
              <w:top w:val="single" w:sz="8" w:color="auto"/>
              <w:bottom w:val="single" w:sz="8" w:color="F0F5F1"/>
            </w:tcBorders>
            <w:shd w:val="clear" w:color="auto" w:fill="F0F5F1"/>
          </w:tcPr>
          <w:p>
            <w:pPr>
              <w:jc w:val="right"/>
              <w:ind w:right="252"/>
              <w:spacing w:after="0"/>
              <w:rPr>
                <w:sz w:val="20"/>
                <w:szCs w:val="20"/>
                <w:color w:val="auto"/>
              </w:rPr>
            </w:pPr>
            <w:r>
              <w:rPr>
                <w:rFonts w:ascii="Arial" w:cs="Arial" w:eastAsia="Arial" w:hAnsi="Arial"/>
                <w:sz w:val="14"/>
                <w:szCs w:val="14"/>
                <w:b w:val="1"/>
                <w:bCs w:val="1"/>
                <w:color w:val="auto"/>
              </w:rPr>
              <w:t>$129,118,759</w:t>
            </w:r>
          </w:p>
        </w:tc>
      </w:tr>
      <w:tr>
        <w:trPr>
          <w:trHeight w:val="20"/>
        </w:trPr>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The change in unrealized depreciation on Level 3 securities held as of September 30, 2025 was $7,884,409.</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860" w:type="dxa"/>
            <w:vAlign w:val="bottom"/>
            <w:shd w:val="clear" w:color="auto" w:fill="F0F5F1"/>
          </w:tcPr>
          <w:p>
            <w:pPr>
              <w:spacing w:after="0"/>
              <w:rPr>
                <w:sz w:val="20"/>
                <w:szCs w:val="20"/>
                <w:color w:val="auto"/>
              </w:rPr>
            </w:pPr>
          </w:p>
        </w:tc>
        <w:tc>
          <w:tcPr>
            <w:tcW w:w="480" w:type="dxa"/>
            <w:vAlign w:val="bottom"/>
            <w:shd w:val="clear" w:color="auto" w:fill="F0F5F1"/>
          </w:tcPr>
          <w:p>
            <w:pPr>
              <w:spacing w:after="0"/>
              <w:rPr>
                <w:sz w:val="20"/>
                <w:szCs w:val="20"/>
                <w:color w:val="auto"/>
              </w:rPr>
            </w:pPr>
          </w:p>
        </w:tc>
        <w:tc>
          <w:tcPr>
            <w:tcW w:w="1060" w:type="dxa"/>
            <w:vAlign w:val="bottom"/>
            <w:shd w:val="clear" w:color="auto" w:fill="F0F5F1"/>
          </w:tcPr>
          <w:p>
            <w:pPr>
              <w:spacing w:after="0"/>
              <w:rPr>
                <w:sz w:val="20"/>
                <w:szCs w:val="20"/>
                <w:color w:val="auto"/>
              </w:rPr>
            </w:pPr>
          </w:p>
        </w:tc>
        <w:tc>
          <w:tcPr>
            <w:tcW w:w="1580" w:type="dxa"/>
            <w:vAlign w:val="bottom"/>
            <w:shd w:val="clear" w:color="auto" w:fill="F0F5F1"/>
          </w:tcPr>
          <w:p>
            <w:pPr>
              <w:spacing w:after="0"/>
              <w:rPr>
                <w:sz w:val="20"/>
                <w:szCs w:val="20"/>
                <w:color w:val="auto"/>
              </w:rPr>
            </w:pPr>
          </w:p>
        </w:tc>
        <w:tc>
          <w:tcPr>
            <w:tcW w:w="1500" w:type="dxa"/>
            <w:vAlign w:val="bottom"/>
            <w:shd w:val="clear" w:color="auto" w:fill="F0F5F1"/>
          </w:tcPr>
          <w:p>
            <w:pPr>
              <w:spacing w:after="0"/>
              <w:rPr>
                <w:sz w:val="20"/>
                <w:szCs w:val="20"/>
                <w:color w:val="auto"/>
              </w:rPr>
            </w:pPr>
          </w:p>
        </w:tc>
        <w:tc>
          <w:tcPr>
            <w:tcW w:w="1540" w:type="dxa"/>
            <w:vAlign w:val="bottom"/>
            <w:shd w:val="clear" w:color="auto" w:fill="F0F5F1"/>
          </w:tcPr>
          <w:p>
            <w:pPr>
              <w:spacing w:after="0"/>
              <w:rPr>
                <w:sz w:val="20"/>
                <w:szCs w:val="20"/>
                <w:color w:val="auto"/>
              </w:rPr>
            </w:pPr>
          </w:p>
        </w:tc>
        <w:tc>
          <w:tcPr>
            <w:tcW w:w="1520" w:type="dxa"/>
            <w:vAlign w:val="bottom"/>
            <w:shd w:val="clear" w:color="auto" w:fill="F0F5F1"/>
          </w:tcPr>
          <w:p>
            <w:pPr>
              <w:jc w:val="center"/>
              <w:ind w:right="16"/>
              <w:spacing w:after="0"/>
              <w:rPr>
                <w:sz w:val="20"/>
                <w:szCs w:val="20"/>
                <w:color w:val="auto"/>
              </w:rPr>
            </w:pPr>
            <w:r>
              <w:rPr>
                <w:rFonts w:ascii="Arial" w:cs="Arial" w:eastAsia="Arial" w:hAnsi="Arial"/>
                <w:sz w:val="11"/>
                <w:szCs w:val="11"/>
                <w:color w:val="auto"/>
                <w:w w:val="93"/>
              </w:rPr>
              <w:t>IMPACT TO</w:t>
            </w:r>
          </w:p>
        </w:tc>
      </w:tr>
      <w:tr>
        <w:trPr>
          <w:trHeight w:val="162"/>
        </w:trPr>
        <w:tc>
          <w:tcPr>
            <w:tcW w:w="1860" w:type="dxa"/>
            <w:vAlign w:val="bottom"/>
            <w:shd w:val="clear" w:color="auto" w:fill="F0F5F1"/>
          </w:tcPr>
          <w:p>
            <w:pPr>
              <w:spacing w:after="0"/>
              <w:rPr>
                <w:sz w:val="14"/>
                <w:szCs w:val="14"/>
                <w:color w:val="auto"/>
              </w:rPr>
            </w:pPr>
          </w:p>
        </w:tc>
        <w:tc>
          <w:tcPr>
            <w:tcW w:w="1540" w:type="dxa"/>
            <w:vAlign w:val="bottom"/>
            <w:gridSpan w:val="2"/>
            <w:shd w:val="clear" w:color="auto" w:fill="F0F5F1"/>
          </w:tcPr>
          <w:p>
            <w:pPr>
              <w:jc w:val="right"/>
              <w:ind w:right="333"/>
              <w:spacing w:after="0"/>
              <w:rPr>
                <w:sz w:val="20"/>
                <w:szCs w:val="20"/>
                <w:color w:val="auto"/>
              </w:rPr>
            </w:pPr>
            <w:r>
              <w:rPr>
                <w:rFonts w:ascii="Arial" w:cs="Arial" w:eastAsia="Arial" w:hAnsi="Arial"/>
                <w:sz w:val="11"/>
                <w:szCs w:val="11"/>
                <w:color w:val="auto"/>
              </w:rPr>
              <w:t>FAIR VALUE AT</w:t>
            </w:r>
          </w:p>
        </w:tc>
        <w:tc>
          <w:tcPr>
            <w:tcW w:w="1580" w:type="dxa"/>
            <w:vAlign w:val="bottom"/>
            <w:shd w:val="clear" w:color="auto" w:fill="F0F5F1"/>
          </w:tcPr>
          <w:p>
            <w:pPr>
              <w:ind w:left="520"/>
              <w:spacing w:after="0"/>
              <w:rPr>
                <w:sz w:val="20"/>
                <w:szCs w:val="20"/>
                <w:color w:val="auto"/>
              </w:rPr>
            </w:pPr>
            <w:r>
              <w:rPr>
                <w:rFonts w:ascii="Arial" w:cs="Arial" w:eastAsia="Arial" w:hAnsi="Arial"/>
                <w:sz w:val="11"/>
                <w:szCs w:val="11"/>
                <w:color w:val="auto"/>
              </w:rPr>
              <w:t>VALUATION</w:t>
            </w:r>
          </w:p>
        </w:tc>
        <w:tc>
          <w:tcPr>
            <w:tcW w:w="1500" w:type="dxa"/>
            <w:vAlign w:val="bottom"/>
            <w:shd w:val="clear" w:color="auto" w:fill="F0F5F1"/>
          </w:tcPr>
          <w:p>
            <w:pPr>
              <w:ind w:left="320"/>
              <w:spacing w:after="0"/>
              <w:rPr>
                <w:sz w:val="20"/>
                <w:szCs w:val="20"/>
                <w:color w:val="auto"/>
              </w:rPr>
            </w:pPr>
            <w:r>
              <w:rPr>
                <w:rFonts w:ascii="Arial" w:cs="Arial" w:eastAsia="Arial" w:hAnsi="Arial"/>
                <w:sz w:val="11"/>
                <w:szCs w:val="11"/>
                <w:color w:val="auto"/>
              </w:rPr>
              <w:t>UNOBSERVABLE</w:t>
            </w:r>
          </w:p>
        </w:tc>
        <w:tc>
          <w:tcPr>
            <w:tcW w:w="1540" w:type="dxa"/>
            <w:vAlign w:val="bottom"/>
            <w:shd w:val="clear" w:color="auto" w:fill="F0F5F1"/>
          </w:tcPr>
          <w:p>
            <w:pPr>
              <w:spacing w:after="0"/>
              <w:rPr>
                <w:sz w:val="14"/>
                <w:szCs w:val="14"/>
                <w:color w:val="auto"/>
              </w:rPr>
            </w:pPr>
          </w:p>
        </w:tc>
        <w:tc>
          <w:tcPr>
            <w:tcW w:w="1520" w:type="dxa"/>
            <w:vAlign w:val="bottom"/>
            <w:shd w:val="clear" w:color="auto" w:fill="F0F5F1"/>
          </w:tcPr>
          <w:p>
            <w:pPr>
              <w:jc w:val="center"/>
              <w:ind w:right="16"/>
              <w:spacing w:after="0"/>
              <w:rPr>
                <w:sz w:val="20"/>
                <w:szCs w:val="20"/>
                <w:color w:val="auto"/>
              </w:rPr>
            </w:pPr>
            <w:r>
              <w:rPr>
                <w:rFonts w:ascii="Arial" w:cs="Arial" w:eastAsia="Arial" w:hAnsi="Arial"/>
                <w:sz w:val="11"/>
                <w:szCs w:val="11"/>
                <w:color w:val="auto"/>
                <w:w w:val="96"/>
              </w:rPr>
              <w:t>VALUATION FROM AN</w:t>
            </w:r>
          </w:p>
        </w:tc>
      </w:tr>
      <w:tr>
        <w:trPr>
          <w:trHeight w:val="214"/>
        </w:trPr>
        <w:tc>
          <w:tcPr>
            <w:tcW w:w="1860" w:type="dxa"/>
            <w:vAlign w:val="bottom"/>
            <w:tcBorders>
              <w:bottom w:val="single" w:sz="8" w:color="F0F5F1"/>
            </w:tcBorders>
            <w:shd w:val="clear" w:color="auto" w:fill="F0F5F1"/>
          </w:tcPr>
          <w:p>
            <w:pPr>
              <w:spacing w:after="0"/>
              <w:rPr>
                <w:sz w:val="18"/>
                <w:szCs w:val="18"/>
                <w:color w:val="auto"/>
              </w:rPr>
            </w:pPr>
          </w:p>
        </w:tc>
        <w:tc>
          <w:tcPr>
            <w:tcW w:w="480" w:type="dxa"/>
            <w:vAlign w:val="bottom"/>
            <w:tcBorders>
              <w:bottom w:val="single" w:sz="8" w:color="F0F5F1"/>
            </w:tcBorders>
            <w:shd w:val="clear" w:color="auto" w:fill="F0F5F1"/>
          </w:tcPr>
          <w:p>
            <w:pPr>
              <w:spacing w:after="0"/>
              <w:rPr>
                <w:sz w:val="18"/>
                <w:szCs w:val="18"/>
                <w:color w:val="auto"/>
              </w:rPr>
            </w:pPr>
          </w:p>
        </w:tc>
        <w:tc>
          <w:tcPr>
            <w:tcW w:w="1060" w:type="dxa"/>
            <w:vAlign w:val="bottom"/>
            <w:tcBorders>
              <w:bottom w:val="single" w:sz="8" w:color="F0F5F1"/>
            </w:tcBorders>
            <w:shd w:val="clear" w:color="auto" w:fill="F0F5F1"/>
          </w:tcPr>
          <w:p>
            <w:pPr>
              <w:jc w:val="right"/>
              <w:ind w:right="533"/>
              <w:spacing w:after="0"/>
              <w:rPr>
                <w:sz w:val="20"/>
                <w:szCs w:val="20"/>
                <w:color w:val="auto"/>
              </w:rPr>
            </w:pPr>
            <w:r>
              <w:rPr>
                <w:rFonts w:ascii="Arial" w:cs="Arial" w:eastAsia="Arial" w:hAnsi="Arial"/>
                <w:sz w:val="11"/>
                <w:szCs w:val="11"/>
                <w:color w:val="auto"/>
              </w:rPr>
              <w:t>9-30-25</w:t>
            </w:r>
          </w:p>
        </w:tc>
        <w:tc>
          <w:tcPr>
            <w:tcW w:w="1580" w:type="dxa"/>
            <w:vAlign w:val="bottom"/>
            <w:tcBorders>
              <w:bottom w:val="single" w:sz="8" w:color="F0F5F1"/>
            </w:tcBorders>
            <w:shd w:val="clear" w:color="auto" w:fill="F0F5F1"/>
          </w:tcPr>
          <w:p>
            <w:pPr>
              <w:ind w:left="460"/>
              <w:spacing w:after="0"/>
              <w:rPr>
                <w:sz w:val="20"/>
                <w:szCs w:val="20"/>
                <w:color w:val="auto"/>
              </w:rPr>
            </w:pPr>
            <w:r>
              <w:rPr>
                <w:rFonts w:ascii="Arial" w:cs="Arial" w:eastAsia="Arial" w:hAnsi="Arial"/>
                <w:sz w:val="11"/>
                <w:szCs w:val="11"/>
                <w:color w:val="auto"/>
              </w:rPr>
              <w:t>TECHNIQUES</w:t>
            </w:r>
          </w:p>
        </w:tc>
        <w:tc>
          <w:tcPr>
            <w:tcW w:w="1500" w:type="dxa"/>
            <w:vAlign w:val="bottom"/>
            <w:tcBorders>
              <w:bottom w:val="single" w:sz="8" w:color="F0F5F1"/>
            </w:tcBorders>
            <w:shd w:val="clear" w:color="auto" w:fill="F0F5F1"/>
          </w:tcPr>
          <w:p>
            <w:pPr>
              <w:ind w:left="560"/>
              <w:spacing w:after="0"/>
              <w:rPr>
                <w:sz w:val="20"/>
                <w:szCs w:val="20"/>
                <w:color w:val="auto"/>
              </w:rPr>
            </w:pPr>
            <w:r>
              <w:rPr>
                <w:rFonts w:ascii="Arial" w:cs="Arial" w:eastAsia="Arial" w:hAnsi="Arial"/>
                <w:sz w:val="11"/>
                <w:szCs w:val="11"/>
                <w:color w:val="auto"/>
              </w:rPr>
              <w:t>INPUTS</w:t>
            </w:r>
          </w:p>
        </w:tc>
        <w:tc>
          <w:tcPr>
            <w:tcW w:w="1540" w:type="dxa"/>
            <w:vAlign w:val="bottom"/>
            <w:tcBorders>
              <w:bottom w:val="single" w:sz="8" w:color="F0F5F1"/>
            </w:tcBorders>
            <w:shd w:val="clear" w:color="auto" w:fill="F0F5F1"/>
          </w:tcPr>
          <w:p>
            <w:pPr>
              <w:ind w:left="380"/>
              <w:spacing w:after="0"/>
              <w:rPr>
                <w:sz w:val="20"/>
                <w:szCs w:val="20"/>
                <w:color w:val="auto"/>
              </w:rPr>
            </w:pPr>
            <w:r>
              <w:rPr>
                <w:rFonts w:ascii="Arial" w:cs="Arial" w:eastAsia="Arial" w:hAnsi="Arial"/>
                <w:sz w:val="11"/>
                <w:szCs w:val="11"/>
                <w:color w:val="auto"/>
              </w:rPr>
              <w:t>ASSUMPTIONS</w:t>
            </w:r>
          </w:p>
        </w:tc>
        <w:tc>
          <w:tcPr>
            <w:tcW w:w="1520" w:type="dxa"/>
            <w:vAlign w:val="bottom"/>
            <w:tcBorders>
              <w:bottom w:val="single" w:sz="8" w:color="F0F5F1"/>
            </w:tcBorders>
            <w:shd w:val="clear" w:color="auto" w:fill="F0F5F1"/>
          </w:tcPr>
          <w:p>
            <w:pPr>
              <w:jc w:val="center"/>
              <w:ind w:right="16"/>
              <w:spacing w:after="0"/>
              <w:rPr>
                <w:sz w:val="20"/>
                <w:szCs w:val="20"/>
                <w:color w:val="auto"/>
              </w:rPr>
            </w:pPr>
            <w:r>
              <w:rPr>
                <w:rFonts w:ascii="Arial" w:cs="Arial" w:eastAsia="Arial" w:hAnsi="Arial"/>
                <w:sz w:val="11"/>
                <w:szCs w:val="11"/>
                <w:color w:val="auto"/>
                <w:w w:val="97"/>
              </w:rPr>
              <w:t>INCREASE TO INPUT</w:t>
            </w:r>
          </w:p>
        </w:tc>
      </w:tr>
      <w:tr>
        <w:trPr>
          <w:trHeight w:val="215"/>
        </w:trPr>
        <w:tc>
          <w:tcPr>
            <w:tcW w:w="1860" w:type="dxa"/>
            <w:vAlign w:val="bottom"/>
            <w:tcBorders>
              <w:top w:val="single" w:sz="8" w:color="auto"/>
            </w:tcBorders>
            <w:shd w:val="clear" w:color="auto" w:fill="F0F5F1"/>
          </w:tcPr>
          <w:p>
            <w:pPr>
              <w:ind w:left="120"/>
              <w:spacing w:after="0"/>
              <w:rPr>
                <w:sz w:val="20"/>
                <w:szCs w:val="20"/>
                <w:color w:val="auto"/>
              </w:rPr>
            </w:pPr>
            <w:r>
              <w:rPr>
                <w:rFonts w:ascii="Arial" w:cs="Arial" w:eastAsia="Arial" w:hAnsi="Arial"/>
                <w:sz w:val="14"/>
                <w:szCs w:val="14"/>
                <w:color w:val="auto"/>
              </w:rPr>
              <w:t>Term Loans</w:t>
            </w:r>
          </w:p>
        </w:tc>
        <w:tc>
          <w:tcPr>
            <w:tcW w:w="480" w:type="dxa"/>
            <w:vAlign w:val="bottom"/>
            <w:tcBorders>
              <w:top w:val="single" w:sz="8" w:color="auto"/>
            </w:tcBorders>
            <w:shd w:val="clear" w:color="auto" w:fill="F0F5F1"/>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F0F5F1"/>
          </w:tcPr>
          <w:p>
            <w:pPr>
              <w:jc w:val="right"/>
              <w:ind w:right="293"/>
              <w:spacing w:after="0"/>
              <w:rPr>
                <w:sz w:val="20"/>
                <w:szCs w:val="20"/>
                <w:color w:val="auto"/>
              </w:rPr>
            </w:pPr>
            <w:r>
              <w:rPr>
                <w:rFonts w:ascii="Arial" w:cs="Arial" w:eastAsia="Arial" w:hAnsi="Arial"/>
                <w:sz w:val="14"/>
                <w:szCs w:val="14"/>
                <w:color w:val="auto"/>
              </w:rPr>
              <w:t>5,560,000</w:t>
            </w:r>
          </w:p>
        </w:tc>
        <w:tc>
          <w:tcPr>
            <w:tcW w:w="1580" w:type="dxa"/>
            <w:vAlign w:val="bottom"/>
            <w:tcBorders>
              <w:top w:val="single" w:sz="8" w:color="auto"/>
            </w:tcBorders>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1500" w:type="dxa"/>
            <w:vAlign w:val="bottom"/>
            <w:tcBorders>
              <w:top w:val="single" w:sz="8" w:color="auto"/>
            </w:tcBorders>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F0F5F1"/>
          </w:tcPr>
          <w:p>
            <w:pPr>
              <w:ind w:left="20"/>
              <w:spacing w:after="0"/>
              <w:rPr>
                <w:sz w:val="20"/>
                <w:szCs w:val="20"/>
                <w:color w:val="auto"/>
              </w:rPr>
            </w:pPr>
            <w:r>
              <w:rPr>
                <w:rFonts w:ascii="Arial" w:cs="Arial" w:eastAsia="Arial" w:hAnsi="Arial"/>
                <w:sz w:val="14"/>
                <w:szCs w:val="14"/>
                <w:color w:val="auto"/>
              </w:rPr>
              <w:t>—</w:t>
            </w:r>
          </w:p>
        </w:tc>
      </w:tr>
      <w:tr>
        <w:trPr>
          <w:trHeight w:val="216"/>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Regulatory Capital</w:t>
            </w:r>
          </w:p>
        </w:tc>
        <w:tc>
          <w:tcPr>
            <w:tcW w:w="1540" w:type="dxa"/>
            <w:vAlign w:val="bottom"/>
            <w:gridSpan w:val="2"/>
            <w:shd w:val="clear" w:color="auto" w:fill="F0F5F1"/>
          </w:tcPr>
          <w:p>
            <w:pPr>
              <w:jc w:val="right"/>
              <w:ind w:right="293"/>
              <w:spacing w:after="0"/>
              <w:rPr>
                <w:sz w:val="20"/>
                <w:szCs w:val="20"/>
                <w:color w:val="auto"/>
              </w:rPr>
            </w:pPr>
            <w:r>
              <w:rPr>
                <w:rFonts w:ascii="Arial" w:cs="Arial" w:eastAsia="Arial" w:hAnsi="Arial"/>
                <w:sz w:val="14"/>
                <w:szCs w:val="14"/>
                <w:color w:val="auto"/>
              </w:rPr>
              <w:t>$111,779,990</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150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0F5F1"/>
          </w:tcPr>
          <w:p>
            <w:pPr>
              <w:ind w:left="20"/>
              <w:spacing w:after="0"/>
              <w:rPr>
                <w:sz w:val="20"/>
                <w:szCs w:val="20"/>
                <w:color w:val="auto"/>
              </w:rPr>
            </w:pPr>
            <w:r>
              <w:rPr>
                <w:rFonts w:ascii="Arial" w:cs="Arial" w:eastAsia="Arial" w:hAnsi="Arial"/>
                <w:sz w:val="14"/>
                <w:szCs w:val="14"/>
                <w:color w:val="auto"/>
              </w:rPr>
              <w:t>—</w:t>
            </w:r>
          </w:p>
        </w:tc>
      </w:tr>
      <w:tr>
        <w:trPr>
          <w:trHeight w:val="197"/>
        </w:trPr>
        <w:tc>
          <w:tcPr>
            <w:tcW w:w="1860" w:type="dxa"/>
            <w:vAlign w:val="bottom"/>
            <w:shd w:val="clear" w:color="auto" w:fill="F0F5F1"/>
          </w:tcPr>
          <w:p>
            <w:pPr>
              <w:ind w:left="260"/>
              <w:spacing w:after="0"/>
              <w:rPr>
                <w:sz w:val="20"/>
                <w:szCs w:val="20"/>
                <w:color w:val="auto"/>
              </w:rPr>
            </w:pPr>
            <w:r>
              <w:rPr>
                <w:rFonts w:ascii="Arial" w:cs="Arial" w:eastAsia="Arial" w:hAnsi="Arial"/>
                <w:sz w:val="14"/>
                <w:szCs w:val="14"/>
                <w:color w:val="auto"/>
              </w:rPr>
              <w:t>Securities</w:t>
            </w:r>
          </w:p>
        </w:tc>
        <w:tc>
          <w:tcPr>
            <w:tcW w:w="480" w:type="dxa"/>
            <w:vAlign w:val="bottom"/>
            <w:shd w:val="clear" w:color="auto" w:fill="F0F5F1"/>
          </w:tcPr>
          <w:p>
            <w:pPr>
              <w:spacing w:after="0"/>
              <w:rPr>
                <w:sz w:val="17"/>
                <w:szCs w:val="17"/>
                <w:color w:val="auto"/>
              </w:rPr>
            </w:pPr>
          </w:p>
        </w:tc>
        <w:tc>
          <w:tcPr>
            <w:tcW w:w="1060" w:type="dxa"/>
            <w:vAlign w:val="bottom"/>
            <w:shd w:val="clear" w:color="auto" w:fill="F0F5F1"/>
          </w:tcPr>
          <w:p>
            <w:pPr>
              <w:spacing w:after="0"/>
              <w:rPr>
                <w:sz w:val="17"/>
                <w:szCs w:val="17"/>
                <w:color w:val="auto"/>
              </w:rPr>
            </w:pPr>
          </w:p>
        </w:tc>
        <w:tc>
          <w:tcPr>
            <w:tcW w:w="1580" w:type="dxa"/>
            <w:vAlign w:val="bottom"/>
            <w:shd w:val="clear" w:color="auto" w:fill="F0F5F1"/>
          </w:tcPr>
          <w:p>
            <w:pPr>
              <w:spacing w:after="0"/>
              <w:rPr>
                <w:sz w:val="17"/>
                <w:szCs w:val="17"/>
                <w:color w:val="auto"/>
              </w:rPr>
            </w:pPr>
          </w:p>
        </w:tc>
        <w:tc>
          <w:tcPr>
            <w:tcW w:w="1500" w:type="dxa"/>
            <w:vAlign w:val="bottom"/>
            <w:shd w:val="clear" w:color="auto" w:fill="F0F5F1"/>
          </w:tcPr>
          <w:p>
            <w:pPr>
              <w:spacing w:after="0"/>
              <w:rPr>
                <w:sz w:val="17"/>
                <w:szCs w:val="17"/>
                <w:color w:val="auto"/>
              </w:rPr>
            </w:pPr>
          </w:p>
        </w:tc>
        <w:tc>
          <w:tcPr>
            <w:tcW w:w="1540" w:type="dxa"/>
            <w:vAlign w:val="bottom"/>
            <w:shd w:val="clear" w:color="auto" w:fill="F0F5F1"/>
          </w:tcPr>
          <w:p>
            <w:pPr>
              <w:spacing w:after="0"/>
              <w:rPr>
                <w:sz w:val="17"/>
                <w:szCs w:val="17"/>
                <w:color w:val="auto"/>
              </w:rPr>
            </w:pPr>
          </w:p>
        </w:tc>
        <w:tc>
          <w:tcPr>
            <w:tcW w:w="1520" w:type="dxa"/>
            <w:vAlign w:val="bottom"/>
            <w:shd w:val="clear" w:color="auto" w:fill="F0F5F1"/>
          </w:tcPr>
          <w:p>
            <w:pPr>
              <w:spacing w:after="0"/>
              <w:rPr>
                <w:sz w:val="17"/>
                <w:szCs w:val="17"/>
                <w:color w:val="auto"/>
              </w:rPr>
            </w:pPr>
          </w:p>
        </w:tc>
      </w:tr>
      <w:tr>
        <w:trPr>
          <w:trHeight w:val="208"/>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Regulatory Capital</w:t>
            </w:r>
          </w:p>
        </w:tc>
        <w:tc>
          <w:tcPr>
            <w:tcW w:w="480" w:type="dxa"/>
            <w:vAlign w:val="bottom"/>
            <w:shd w:val="clear" w:color="auto" w:fill="F0F5F1"/>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5F1"/>
          </w:tcPr>
          <w:p>
            <w:pPr>
              <w:jc w:val="right"/>
              <w:ind w:right="293"/>
              <w:spacing w:after="0"/>
              <w:rPr>
                <w:sz w:val="20"/>
                <w:szCs w:val="20"/>
                <w:color w:val="auto"/>
              </w:rPr>
            </w:pPr>
            <w:r>
              <w:rPr>
                <w:rFonts w:ascii="Arial" w:cs="Arial" w:eastAsia="Arial" w:hAnsi="Arial"/>
                <w:sz w:val="14"/>
                <w:szCs w:val="14"/>
                <w:color w:val="auto"/>
              </w:rPr>
              <w:t>9,985,369</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Residual</w:t>
            </w:r>
          </w:p>
        </w:tc>
        <w:tc>
          <w:tcPr>
            <w:tcW w:w="150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0F5F1"/>
          </w:tcPr>
          <w:p>
            <w:pPr>
              <w:ind w:left="20"/>
              <w:spacing w:after="0"/>
              <w:rPr>
                <w:sz w:val="20"/>
                <w:szCs w:val="20"/>
                <w:color w:val="auto"/>
              </w:rPr>
            </w:pPr>
            <w:r>
              <w:rPr>
                <w:rFonts w:ascii="Arial" w:cs="Arial" w:eastAsia="Arial" w:hAnsi="Arial"/>
                <w:sz w:val="14"/>
                <w:szCs w:val="14"/>
                <w:color w:val="auto"/>
              </w:rPr>
              <w:t>—</w:t>
            </w:r>
          </w:p>
        </w:tc>
      </w:tr>
      <w:tr>
        <w:trPr>
          <w:trHeight w:val="197"/>
        </w:trPr>
        <w:tc>
          <w:tcPr>
            <w:tcW w:w="1860" w:type="dxa"/>
            <w:vAlign w:val="bottom"/>
            <w:shd w:val="clear" w:color="auto" w:fill="F0F5F1"/>
          </w:tcPr>
          <w:p>
            <w:pPr>
              <w:ind w:left="260"/>
              <w:spacing w:after="0"/>
              <w:rPr>
                <w:sz w:val="20"/>
                <w:szCs w:val="20"/>
                <w:color w:val="auto"/>
              </w:rPr>
            </w:pPr>
            <w:r>
              <w:rPr>
                <w:rFonts w:ascii="Arial" w:cs="Arial" w:eastAsia="Arial" w:hAnsi="Arial"/>
                <w:sz w:val="14"/>
                <w:szCs w:val="14"/>
                <w:color w:val="auto"/>
              </w:rPr>
              <w:t>Securities</w:t>
            </w:r>
          </w:p>
        </w:tc>
        <w:tc>
          <w:tcPr>
            <w:tcW w:w="480" w:type="dxa"/>
            <w:vAlign w:val="bottom"/>
            <w:shd w:val="clear" w:color="auto" w:fill="F0F5F1"/>
          </w:tcPr>
          <w:p>
            <w:pPr>
              <w:spacing w:after="0"/>
              <w:rPr>
                <w:sz w:val="17"/>
                <w:szCs w:val="17"/>
                <w:color w:val="auto"/>
              </w:rPr>
            </w:pPr>
          </w:p>
        </w:tc>
        <w:tc>
          <w:tcPr>
            <w:tcW w:w="1060" w:type="dxa"/>
            <w:vAlign w:val="bottom"/>
            <w:shd w:val="clear" w:color="auto" w:fill="F0F5F1"/>
          </w:tcPr>
          <w:p>
            <w:pPr>
              <w:spacing w:after="0"/>
              <w:rPr>
                <w:sz w:val="17"/>
                <w:szCs w:val="17"/>
                <w:color w:val="auto"/>
              </w:rPr>
            </w:pPr>
          </w:p>
        </w:tc>
        <w:tc>
          <w:tcPr>
            <w:tcW w:w="1580" w:type="dxa"/>
            <w:vAlign w:val="bottom"/>
            <w:shd w:val="clear" w:color="auto" w:fill="F0F5F1"/>
          </w:tcPr>
          <w:p>
            <w:pPr>
              <w:spacing w:after="0"/>
              <w:rPr>
                <w:sz w:val="17"/>
                <w:szCs w:val="17"/>
                <w:color w:val="auto"/>
              </w:rPr>
            </w:pPr>
          </w:p>
        </w:tc>
        <w:tc>
          <w:tcPr>
            <w:tcW w:w="1500" w:type="dxa"/>
            <w:vAlign w:val="bottom"/>
            <w:shd w:val="clear" w:color="auto" w:fill="F0F5F1"/>
          </w:tcPr>
          <w:p>
            <w:pPr>
              <w:spacing w:after="0"/>
              <w:rPr>
                <w:sz w:val="17"/>
                <w:szCs w:val="17"/>
                <w:color w:val="auto"/>
              </w:rPr>
            </w:pPr>
          </w:p>
        </w:tc>
        <w:tc>
          <w:tcPr>
            <w:tcW w:w="1540" w:type="dxa"/>
            <w:vAlign w:val="bottom"/>
            <w:shd w:val="clear" w:color="auto" w:fill="F0F5F1"/>
          </w:tcPr>
          <w:p>
            <w:pPr>
              <w:spacing w:after="0"/>
              <w:rPr>
                <w:sz w:val="17"/>
                <w:szCs w:val="17"/>
                <w:color w:val="auto"/>
              </w:rPr>
            </w:pPr>
          </w:p>
        </w:tc>
        <w:tc>
          <w:tcPr>
            <w:tcW w:w="1520" w:type="dxa"/>
            <w:vAlign w:val="bottom"/>
            <w:shd w:val="clear" w:color="auto" w:fill="F0F5F1"/>
          </w:tcPr>
          <w:p>
            <w:pPr>
              <w:spacing w:after="0"/>
              <w:rPr>
                <w:sz w:val="17"/>
                <w:szCs w:val="17"/>
                <w:color w:val="auto"/>
              </w:rPr>
            </w:pPr>
          </w:p>
        </w:tc>
      </w:tr>
      <w:tr>
        <w:trPr>
          <w:trHeight w:val="208"/>
        </w:trPr>
        <w:tc>
          <w:tcPr>
            <w:tcW w:w="1860" w:type="dxa"/>
            <w:vAlign w:val="bottom"/>
            <w:shd w:val="clear" w:color="auto" w:fill="F0F5F1"/>
          </w:tcPr>
          <w:p>
            <w:pPr>
              <w:ind w:left="120"/>
              <w:spacing w:after="0"/>
              <w:rPr>
                <w:sz w:val="20"/>
                <w:szCs w:val="20"/>
                <w:color w:val="auto"/>
              </w:rPr>
            </w:pPr>
            <w:r>
              <w:rPr>
                <w:rFonts w:ascii="Arial" w:cs="Arial" w:eastAsia="Arial" w:hAnsi="Arial"/>
                <w:sz w:val="14"/>
                <w:szCs w:val="14"/>
                <w:color w:val="auto"/>
              </w:rPr>
              <w:t>Trust Preferred and</w:t>
            </w:r>
          </w:p>
        </w:tc>
        <w:tc>
          <w:tcPr>
            <w:tcW w:w="480" w:type="dxa"/>
            <w:vAlign w:val="bottom"/>
            <w:shd w:val="clear" w:color="auto" w:fill="F0F5F1"/>
          </w:tcPr>
          <w:p>
            <w:pPr>
              <w:jc w:val="right"/>
              <w:ind w:right="11"/>
              <w:spacing w:after="0"/>
              <w:rPr>
                <w:sz w:val="20"/>
                <w:szCs w:val="20"/>
                <w:color w:val="auto"/>
              </w:rPr>
            </w:pPr>
            <w:r>
              <w:rPr>
                <w:rFonts w:ascii="Arial" w:cs="Arial" w:eastAsia="Arial" w:hAnsi="Arial"/>
                <w:sz w:val="14"/>
                <w:szCs w:val="14"/>
                <w:color w:val="auto"/>
              </w:rPr>
              <w:t>$</w:t>
            </w:r>
          </w:p>
        </w:tc>
        <w:tc>
          <w:tcPr>
            <w:tcW w:w="1060" w:type="dxa"/>
            <w:vAlign w:val="bottom"/>
            <w:shd w:val="clear" w:color="auto" w:fill="F0F5F1"/>
          </w:tcPr>
          <w:p>
            <w:pPr>
              <w:jc w:val="right"/>
              <w:ind w:right="293"/>
              <w:spacing w:after="0"/>
              <w:rPr>
                <w:sz w:val="20"/>
                <w:szCs w:val="20"/>
                <w:color w:val="auto"/>
              </w:rPr>
            </w:pPr>
            <w:r>
              <w:rPr>
                <w:rFonts w:ascii="Arial" w:cs="Arial" w:eastAsia="Arial" w:hAnsi="Arial"/>
                <w:sz w:val="14"/>
                <w:szCs w:val="14"/>
                <w:color w:val="auto"/>
              </w:rPr>
              <w:t>1,793,400</w:t>
            </w:r>
          </w:p>
        </w:tc>
        <w:tc>
          <w:tcPr>
            <w:tcW w:w="1580" w:type="dxa"/>
            <w:vAlign w:val="bottom"/>
            <w:shd w:val="clear" w:color="auto" w:fill="F0F5F1"/>
          </w:tcPr>
          <w:p>
            <w:pPr>
              <w:ind w:left="80"/>
              <w:spacing w:after="0"/>
              <w:rPr>
                <w:sz w:val="20"/>
                <w:szCs w:val="20"/>
                <w:color w:val="auto"/>
              </w:rPr>
            </w:pPr>
            <w:r>
              <w:rPr>
                <w:rFonts w:ascii="Arial" w:cs="Arial" w:eastAsia="Arial" w:hAnsi="Arial"/>
                <w:sz w:val="14"/>
                <w:szCs w:val="14"/>
                <w:color w:val="auto"/>
              </w:rPr>
              <w:t>Broker Quote</w:t>
            </w:r>
          </w:p>
        </w:tc>
        <w:tc>
          <w:tcPr>
            <w:tcW w:w="150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F0F5F1"/>
          </w:tcPr>
          <w:p>
            <w:pPr>
              <w:ind w:left="40"/>
              <w:spacing w:after="0"/>
              <w:rPr>
                <w:sz w:val="20"/>
                <w:szCs w:val="20"/>
                <w:color w:val="auto"/>
              </w:rPr>
            </w:pPr>
            <w:r>
              <w:rPr>
                <w:rFonts w:ascii="Arial" w:cs="Arial" w:eastAsia="Arial" w:hAnsi="Arial"/>
                <w:sz w:val="14"/>
                <w:szCs w:val="14"/>
                <w:color w:val="auto"/>
              </w:rPr>
              <w:t>—</w:t>
            </w:r>
          </w:p>
        </w:tc>
        <w:tc>
          <w:tcPr>
            <w:tcW w:w="1520" w:type="dxa"/>
            <w:vAlign w:val="bottom"/>
            <w:shd w:val="clear" w:color="auto" w:fill="F0F5F1"/>
          </w:tcPr>
          <w:p>
            <w:pPr>
              <w:ind w:left="20"/>
              <w:spacing w:after="0"/>
              <w:rPr>
                <w:sz w:val="20"/>
                <w:szCs w:val="20"/>
                <w:color w:val="auto"/>
              </w:rPr>
            </w:pPr>
            <w:r>
              <w:rPr>
                <w:rFonts w:ascii="Arial" w:cs="Arial" w:eastAsia="Arial" w:hAnsi="Arial"/>
                <w:sz w:val="14"/>
                <w:szCs w:val="14"/>
                <w:color w:val="auto"/>
              </w:rPr>
              <w:t>—</w:t>
            </w:r>
          </w:p>
        </w:tc>
      </w:tr>
      <w:tr>
        <w:trPr>
          <w:trHeight w:val="229"/>
        </w:trPr>
        <w:tc>
          <w:tcPr>
            <w:tcW w:w="1860" w:type="dxa"/>
            <w:vAlign w:val="bottom"/>
            <w:tcBorders>
              <w:bottom w:val="single" w:sz="8" w:color="F0F5F1"/>
            </w:tcBorders>
            <w:shd w:val="clear" w:color="auto" w:fill="F0F5F1"/>
          </w:tcPr>
          <w:p>
            <w:pPr>
              <w:ind w:left="260"/>
              <w:spacing w:after="0"/>
              <w:rPr>
                <w:sz w:val="20"/>
                <w:szCs w:val="20"/>
                <w:color w:val="auto"/>
              </w:rPr>
            </w:pPr>
            <w:r>
              <w:rPr>
                <w:rFonts w:ascii="Arial" w:cs="Arial" w:eastAsia="Arial" w:hAnsi="Arial"/>
                <w:sz w:val="14"/>
                <w:szCs w:val="14"/>
                <w:color w:val="auto"/>
              </w:rPr>
              <w:t>Preferred Stock</w:t>
            </w:r>
          </w:p>
        </w:tc>
        <w:tc>
          <w:tcPr>
            <w:tcW w:w="480" w:type="dxa"/>
            <w:vAlign w:val="bottom"/>
            <w:tcBorders>
              <w:bottom w:val="single" w:sz="8" w:color="F0F5F1"/>
            </w:tcBorders>
            <w:shd w:val="clear" w:color="auto" w:fill="F0F5F1"/>
          </w:tcPr>
          <w:p>
            <w:pPr>
              <w:spacing w:after="0"/>
              <w:rPr>
                <w:sz w:val="19"/>
                <w:szCs w:val="19"/>
                <w:color w:val="auto"/>
              </w:rPr>
            </w:pPr>
          </w:p>
        </w:tc>
        <w:tc>
          <w:tcPr>
            <w:tcW w:w="1060" w:type="dxa"/>
            <w:vAlign w:val="bottom"/>
            <w:tcBorders>
              <w:bottom w:val="single" w:sz="8" w:color="F0F5F1"/>
            </w:tcBorders>
            <w:shd w:val="clear" w:color="auto" w:fill="F0F5F1"/>
          </w:tcPr>
          <w:p>
            <w:pPr>
              <w:spacing w:after="0"/>
              <w:rPr>
                <w:sz w:val="19"/>
                <w:szCs w:val="19"/>
                <w:color w:val="auto"/>
              </w:rPr>
            </w:pPr>
          </w:p>
        </w:tc>
        <w:tc>
          <w:tcPr>
            <w:tcW w:w="1580" w:type="dxa"/>
            <w:vAlign w:val="bottom"/>
            <w:tcBorders>
              <w:bottom w:val="single" w:sz="8" w:color="F0F5F1"/>
            </w:tcBorders>
            <w:shd w:val="clear" w:color="auto" w:fill="F0F5F1"/>
          </w:tcPr>
          <w:p>
            <w:pPr>
              <w:spacing w:after="0"/>
              <w:rPr>
                <w:sz w:val="19"/>
                <w:szCs w:val="19"/>
                <w:color w:val="auto"/>
              </w:rPr>
            </w:pPr>
          </w:p>
        </w:tc>
        <w:tc>
          <w:tcPr>
            <w:tcW w:w="1500" w:type="dxa"/>
            <w:vAlign w:val="bottom"/>
            <w:tcBorders>
              <w:bottom w:val="single" w:sz="8" w:color="F0F5F1"/>
            </w:tcBorders>
            <w:shd w:val="clear" w:color="auto" w:fill="F0F5F1"/>
          </w:tcPr>
          <w:p>
            <w:pPr>
              <w:spacing w:after="0"/>
              <w:rPr>
                <w:sz w:val="19"/>
                <w:szCs w:val="19"/>
                <w:color w:val="auto"/>
              </w:rPr>
            </w:pPr>
          </w:p>
        </w:tc>
        <w:tc>
          <w:tcPr>
            <w:tcW w:w="1540" w:type="dxa"/>
            <w:vAlign w:val="bottom"/>
            <w:tcBorders>
              <w:bottom w:val="single" w:sz="8" w:color="F0F5F1"/>
            </w:tcBorders>
            <w:shd w:val="clear" w:color="auto" w:fill="F0F5F1"/>
          </w:tcPr>
          <w:p>
            <w:pPr>
              <w:spacing w:after="0"/>
              <w:rPr>
                <w:sz w:val="19"/>
                <w:szCs w:val="19"/>
                <w:color w:val="auto"/>
              </w:rPr>
            </w:pPr>
          </w:p>
        </w:tc>
        <w:tc>
          <w:tcPr>
            <w:tcW w:w="1520" w:type="dxa"/>
            <w:vAlign w:val="bottom"/>
            <w:tcBorders>
              <w:bottom w:val="single" w:sz="8" w:color="F0F5F1"/>
            </w:tcBorders>
            <w:shd w:val="clear" w:color="auto" w:fill="F0F5F1"/>
          </w:tcPr>
          <w:p>
            <w:pPr>
              <w:spacing w:after="0"/>
              <w:rPr>
                <w:sz w:val="19"/>
                <w:szCs w:val="19"/>
                <w:color w:val="auto"/>
              </w:rPr>
            </w:pPr>
          </w:p>
        </w:tc>
      </w:tr>
      <w:tr>
        <w:trPr>
          <w:trHeight w:val="215"/>
        </w:trPr>
        <w:tc>
          <w:tcPr>
            <w:tcW w:w="1860" w:type="dxa"/>
            <w:vAlign w:val="bottom"/>
            <w:tcBorders>
              <w:top w:val="single" w:sz="8" w:color="F0F5F1"/>
            </w:tcBorders>
            <w:shd w:val="clear" w:color="auto" w:fill="F0F5F1"/>
          </w:tcPr>
          <w:p>
            <w:pPr>
              <w:spacing w:after="0"/>
              <w:rPr>
                <w:sz w:val="18"/>
                <w:szCs w:val="18"/>
                <w:color w:val="auto"/>
              </w:rPr>
            </w:pPr>
          </w:p>
        </w:tc>
        <w:tc>
          <w:tcPr>
            <w:tcW w:w="1540" w:type="dxa"/>
            <w:vAlign w:val="bottom"/>
            <w:tcBorders>
              <w:top w:val="single" w:sz="8" w:color="auto"/>
            </w:tcBorders>
            <w:gridSpan w:val="2"/>
            <w:shd w:val="clear" w:color="auto" w:fill="F0F5F1"/>
          </w:tcPr>
          <w:p>
            <w:pPr>
              <w:jc w:val="right"/>
              <w:ind w:right="273"/>
              <w:spacing w:after="0"/>
              <w:rPr>
                <w:sz w:val="20"/>
                <w:szCs w:val="20"/>
                <w:color w:val="auto"/>
              </w:rPr>
            </w:pPr>
            <w:r>
              <w:rPr>
                <w:rFonts w:ascii="Arial" w:cs="Arial" w:eastAsia="Arial" w:hAnsi="Arial"/>
                <w:sz w:val="14"/>
                <w:szCs w:val="14"/>
                <w:color w:val="auto"/>
              </w:rPr>
              <w:t>$129,118,759</w:t>
            </w:r>
          </w:p>
        </w:tc>
        <w:tc>
          <w:tcPr>
            <w:tcW w:w="1580" w:type="dxa"/>
            <w:vAlign w:val="bottom"/>
            <w:tcBorders>
              <w:top w:val="single" w:sz="8" w:color="F0F5F1"/>
            </w:tcBorders>
            <w:shd w:val="clear" w:color="auto" w:fill="F0F5F1"/>
          </w:tcPr>
          <w:p>
            <w:pPr>
              <w:spacing w:after="0"/>
              <w:rPr>
                <w:sz w:val="18"/>
                <w:szCs w:val="18"/>
                <w:color w:val="auto"/>
              </w:rPr>
            </w:pPr>
          </w:p>
        </w:tc>
        <w:tc>
          <w:tcPr>
            <w:tcW w:w="1500" w:type="dxa"/>
            <w:vAlign w:val="bottom"/>
            <w:tcBorders>
              <w:top w:val="single" w:sz="8" w:color="F0F5F1"/>
            </w:tcBorders>
            <w:shd w:val="clear" w:color="auto" w:fill="F0F5F1"/>
          </w:tcPr>
          <w:p>
            <w:pPr>
              <w:spacing w:after="0"/>
              <w:rPr>
                <w:sz w:val="18"/>
                <w:szCs w:val="18"/>
                <w:color w:val="auto"/>
              </w:rPr>
            </w:pPr>
          </w:p>
        </w:tc>
        <w:tc>
          <w:tcPr>
            <w:tcW w:w="1540" w:type="dxa"/>
            <w:vAlign w:val="bottom"/>
            <w:tcBorders>
              <w:top w:val="single" w:sz="8" w:color="F0F5F1"/>
            </w:tcBorders>
            <w:shd w:val="clear" w:color="auto" w:fill="F0F5F1"/>
          </w:tcPr>
          <w:p>
            <w:pPr>
              <w:spacing w:after="0"/>
              <w:rPr>
                <w:sz w:val="18"/>
                <w:szCs w:val="18"/>
                <w:color w:val="auto"/>
              </w:rPr>
            </w:pPr>
          </w:p>
        </w:tc>
        <w:tc>
          <w:tcPr>
            <w:tcW w:w="1520" w:type="dxa"/>
            <w:vAlign w:val="bottom"/>
            <w:tcBorders>
              <w:top w:val="single" w:sz="8" w:color="F0F5F1"/>
            </w:tcBorders>
            <w:shd w:val="clear" w:color="auto" w:fill="F0F5F1"/>
          </w:tcPr>
          <w:p>
            <w:pPr>
              <w:spacing w:after="0"/>
              <w:rPr>
                <w:sz w:val="18"/>
                <w:szCs w:val="18"/>
                <w:color w:val="auto"/>
              </w:rPr>
            </w:pPr>
          </w:p>
        </w:tc>
      </w:tr>
      <w:tr>
        <w:trPr>
          <w:trHeight w:val="116"/>
        </w:trPr>
        <w:tc>
          <w:tcPr>
            <w:tcW w:w="1860" w:type="dxa"/>
            <w:vAlign w:val="bottom"/>
            <w:tcBorders>
              <w:bottom w:val="single" w:sz="8" w:color="F0F5F1"/>
            </w:tcBorders>
            <w:shd w:val="clear" w:color="auto" w:fill="F0F5F1"/>
          </w:tcPr>
          <w:p>
            <w:pPr>
              <w:spacing w:after="0"/>
              <w:rPr>
                <w:sz w:val="10"/>
                <w:szCs w:val="10"/>
                <w:color w:val="auto"/>
              </w:rPr>
            </w:pPr>
          </w:p>
        </w:tc>
        <w:tc>
          <w:tcPr>
            <w:tcW w:w="480" w:type="dxa"/>
            <w:vAlign w:val="bottom"/>
            <w:tcBorders>
              <w:bottom w:val="single" w:sz="8" w:color="auto"/>
            </w:tcBorders>
            <w:shd w:val="clear" w:color="auto" w:fill="F0F5F1"/>
          </w:tcPr>
          <w:p>
            <w:pPr>
              <w:spacing w:after="0"/>
              <w:rPr>
                <w:sz w:val="10"/>
                <w:szCs w:val="10"/>
                <w:color w:val="auto"/>
              </w:rPr>
            </w:pPr>
          </w:p>
        </w:tc>
        <w:tc>
          <w:tcPr>
            <w:tcW w:w="1060" w:type="dxa"/>
            <w:vAlign w:val="bottom"/>
            <w:tcBorders>
              <w:bottom w:val="single" w:sz="8" w:color="auto"/>
            </w:tcBorders>
            <w:shd w:val="clear" w:color="auto" w:fill="F0F5F1"/>
          </w:tcPr>
          <w:p>
            <w:pPr>
              <w:spacing w:after="0"/>
              <w:rPr>
                <w:sz w:val="10"/>
                <w:szCs w:val="10"/>
                <w:color w:val="auto"/>
              </w:rPr>
            </w:pPr>
          </w:p>
        </w:tc>
        <w:tc>
          <w:tcPr>
            <w:tcW w:w="1580" w:type="dxa"/>
            <w:vAlign w:val="bottom"/>
            <w:tcBorders>
              <w:bottom w:val="single" w:sz="8" w:color="F0F5F1"/>
            </w:tcBorders>
            <w:shd w:val="clear" w:color="auto" w:fill="F0F5F1"/>
          </w:tcPr>
          <w:p>
            <w:pPr>
              <w:spacing w:after="0"/>
              <w:rPr>
                <w:sz w:val="10"/>
                <w:szCs w:val="10"/>
                <w:color w:val="auto"/>
              </w:rPr>
            </w:pPr>
          </w:p>
        </w:tc>
        <w:tc>
          <w:tcPr>
            <w:tcW w:w="1500" w:type="dxa"/>
            <w:vAlign w:val="bottom"/>
            <w:tcBorders>
              <w:bottom w:val="single" w:sz="8" w:color="F0F5F1"/>
            </w:tcBorders>
            <w:shd w:val="clear" w:color="auto" w:fill="F0F5F1"/>
          </w:tcPr>
          <w:p>
            <w:pPr>
              <w:spacing w:after="0"/>
              <w:rPr>
                <w:sz w:val="10"/>
                <w:szCs w:val="10"/>
                <w:color w:val="auto"/>
              </w:rPr>
            </w:pPr>
          </w:p>
        </w:tc>
        <w:tc>
          <w:tcPr>
            <w:tcW w:w="1540" w:type="dxa"/>
            <w:vAlign w:val="bottom"/>
            <w:tcBorders>
              <w:bottom w:val="single" w:sz="8" w:color="F0F5F1"/>
            </w:tcBorders>
            <w:shd w:val="clear" w:color="auto" w:fill="F0F5F1"/>
          </w:tcPr>
          <w:p>
            <w:pPr>
              <w:spacing w:after="0"/>
              <w:rPr>
                <w:sz w:val="10"/>
                <w:szCs w:val="10"/>
                <w:color w:val="auto"/>
              </w:rPr>
            </w:pPr>
          </w:p>
        </w:tc>
        <w:tc>
          <w:tcPr>
            <w:tcW w:w="1520" w:type="dxa"/>
            <w:vAlign w:val="bottom"/>
            <w:tcBorders>
              <w:bottom w:val="single" w:sz="8" w:color="F0F5F1"/>
            </w:tcBorders>
            <w:shd w:val="clear" w:color="auto" w:fill="F0F5F1"/>
          </w:tcPr>
          <w:p>
            <w:pPr>
              <w:spacing w:after="0"/>
              <w:rPr>
                <w:sz w:val="10"/>
                <w:szCs w:val="10"/>
                <w:color w:val="auto"/>
              </w:rPr>
            </w:pPr>
          </w:p>
        </w:tc>
      </w:tr>
      <w:tr>
        <w:trPr>
          <w:trHeight w:val="20"/>
        </w:trPr>
        <w:tc>
          <w:tcPr>
            <w:tcW w:w="1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619"/>
        <w:spacing w:after="0" w:line="317" w:lineRule="auto"/>
        <w:rPr>
          <w:sz w:val="20"/>
          <w:szCs w:val="20"/>
          <w:color w:val="auto"/>
        </w:rPr>
      </w:pPr>
      <w:r>
        <w:rPr>
          <w:rFonts w:ascii="Arial" w:cs="Arial" w:eastAsia="Arial" w:hAnsi="Arial"/>
          <w:sz w:val="17"/>
          <w:szCs w:val="17"/>
          <w:color w:val="auto"/>
        </w:rPr>
        <w:t>For more information with regard to significant accounting policies, see the most recent Company’s annual report filed with the Securities and Exchange Commissions.</w:t>
      </w:r>
    </w:p>
    <w:p>
      <w:pPr>
        <w:spacing w:after="0" w:line="200" w:lineRule="exact"/>
        <w:rPr>
          <w:sz w:val="20"/>
          <w:szCs w:val="20"/>
          <w:color w:val="auto"/>
        </w:rPr>
      </w:pPr>
    </w:p>
    <w:p>
      <w:pPr>
        <w:spacing w:after="0" w:line="331" w:lineRule="exact"/>
        <w:rPr>
          <w:sz w:val="20"/>
          <w:szCs w:val="20"/>
          <w:color w:val="auto"/>
        </w:rPr>
      </w:pPr>
    </w:p>
    <w:p>
      <w:pPr>
        <w:ind w:left="7000"/>
        <w:spacing w:after="0"/>
        <w:tabs>
          <w:tab w:leader="none" w:pos="8920" w:val="left"/>
        </w:tabs>
        <w:rPr>
          <w:sz w:val="20"/>
          <w:szCs w:val="20"/>
          <w:color w:val="auto"/>
        </w:rPr>
      </w:pPr>
      <w:r>
        <w:rPr>
          <w:rFonts w:ascii="Arial" w:cs="Arial" w:eastAsia="Arial" w:hAnsi="Arial"/>
          <w:sz w:val="13"/>
          <w:szCs w:val="13"/>
          <w:b w:val="1"/>
          <w:bCs w:val="1"/>
          <w:color w:val="296B38"/>
        </w:rPr>
        <w:t xml:space="preserve">| </w:t>
      </w:r>
      <w:r>
        <w:rPr>
          <w:rFonts w:ascii="Arial" w:cs="Arial" w:eastAsia="Arial" w:hAnsi="Arial"/>
          <w:sz w:val="14"/>
          <w:szCs w:val="14"/>
          <w:color w:val="296B38"/>
        </w:rPr>
        <w:t>ArrowMark Financial Corp.</w:t>
      </w:r>
      <w:r>
        <w:rPr>
          <w:sz w:val="20"/>
          <w:szCs w:val="20"/>
          <w:color w:val="auto"/>
        </w:rPr>
        <w:tab/>
      </w:r>
      <w:r>
        <w:rPr>
          <w:rFonts w:ascii="Arial" w:cs="Arial" w:eastAsia="Arial" w:hAnsi="Arial"/>
          <w:sz w:val="16"/>
          <w:szCs w:val="16"/>
          <w:color w:val="296B3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8" w:lineRule="exact"/>
        <w:rPr>
          <w:sz w:val="20"/>
          <w:szCs w:val="20"/>
          <w:color w:val="auto"/>
        </w:rPr>
      </w:pPr>
    </w:p>
    <w:p>
      <w:pPr>
        <w:jc w:val="both"/>
        <w:ind w:right="539"/>
        <w:spacing w:after="0" w:line="278" w:lineRule="auto"/>
        <w:rPr>
          <w:sz w:val="20"/>
          <w:szCs w:val="20"/>
          <w:color w:val="auto"/>
        </w:rPr>
      </w:pPr>
      <w:r>
        <w:rPr>
          <w:rFonts w:ascii="Arial" w:cs="Arial" w:eastAsia="Arial" w:hAnsi="Arial"/>
          <w:sz w:val="17"/>
          <w:szCs w:val="17"/>
          <w:b w:val="1"/>
          <w:bCs w:val="1"/>
          <w:color w:val="auto"/>
        </w:rPr>
        <w:t xml:space="preserve">Written Options </w:t>
      </w:r>
      <w:r>
        <w:rPr>
          <w:rFonts w:ascii="Arial" w:cs="Arial" w:eastAsia="Arial" w:hAnsi="Arial"/>
          <w:sz w:val="17"/>
          <w:szCs w:val="17"/>
          <w:color w:val="auto"/>
        </w:rPr>
        <w:t>— The Fund is subject to equity and other risk exposure in the normal course of pursuing its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objectives and may enter into options written to hedge against changes in interest rates, foreign exchange rates and values of equities. Such options may relate to particular securities or domestic stock indices, and may or may not be listed on a domestic securities exchange or issued by the Options Clearing Corporation. An option contract is a commitment that gives the purchaser of the contract the right, but not the obligation, to buy or sell an underlying asset at a specific price on or before a specified future date. On the other hand, the writer of an option contract is obligated, upon the exercise of the option, to buy or sell an underlying asset at a specific price on or before a specified future date. The maximum risk of loss associated with writing put options is limited to the exercised fair value of the option contract. The maximum risk of loss associated with writing call options is potentially unlimited. The Fund also has the additional risk of being unable to enter into a closing transaction at an acceptable price if a liquid secondary market does not exist. The Fund also may write over-the-counter options where completing the obligation depends upon the credit standing of the other party. Option contracts also involve the risk that they may result in loss due to unanticipated developments in market conditions or other causes. Written options are initially recorded as liabilities to the extent of premiums received and subsequently marked to market to reflect the current value of the option written. Gains or losses are realized when the option transaction expires or closes. When an option is exercised, the proceeds on sales for a written call option or the purchase cost for a written put option is adjusted by the amount of the premium received. Listed option contracts present minimal counterparty credit risk since they are exchange traded and the exchange’s clearinghouse, as counterparty to all exchange-traded options, guarantees the options against default. The Fund’s maximum risk of loss from counterparty credit risk related to OTC option contracts is limited to the premium paid.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2025, the Fund’s quarterly average volume of derivatives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18415</wp:posOffset>
            </wp:positionV>
            <wp:extent cx="2245995" cy="61722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2245995" cy="617220"/>
                    </a:xfrm>
                    <a:prstGeom prst="rect">
                      <a:avLst/>
                    </a:prstGeom>
                    <a:noFill/>
                  </pic:spPr>
                </pic:pic>
              </a:graphicData>
            </a:graphic>
          </wp:anchor>
        </w:drawing>
      </w:r>
    </w:p>
    <w:p>
      <w:pPr>
        <w:spacing w:after="0" w:line="117" w:lineRule="exact"/>
        <w:rPr>
          <w:sz w:val="20"/>
          <w:szCs w:val="20"/>
          <w:color w:val="auto"/>
        </w:rPr>
      </w:pPr>
    </w:p>
    <w:p>
      <w:pPr>
        <w:jc w:val="center"/>
        <w:ind w:right="539"/>
        <w:spacing w:after="0"/>
        <w:rPr>
          <w:sz w:val="20"/>
          <w:szCs w:val="20"/>
          <w:color w:val="auto"/>
        </w:rPr>
      </w:pPr>
      <w:r>
        <w:rPr>
          <w:rFonts w:ascii="Arial" w:cs="Arial" w:eastAsia="Arial" w:hAnsi="Arial"/>
          <w:sz w:val="11"/>
          <w:szCs w:val="11"/>
          <w:b w:val="1"/>
          <w:bCs w:val="1"/>
          <w:color w:val="auto"/>
        </w:rPr>
        <w:t>Written</w:t>
      </w:r>
    </w:p>
    <w:p>
      <w:pPr>
        <w:spacing w:after="0" w:line="36" w:lineRule="exact"/>
        <w:rPr>
          <w:sz w:val="20"/>
          <w:szCs w:val="20"/>
          <w:color w:val="auto"/>
        </w:rPr>
      </w:pPr>
    </w:p>
    <w:p>
      <w:pPr>
        <w:jc w:val="center"/>
        <w:ind w:right="539"/>
        <w:spacing w:after="0"/>
        <w:rPr>
          <w:sz w:val="20"/>
          <w:szCs w:val="20"/>
          <w:color w:val="auto"/>
        </w:rPr>
      </w:pPr>
      <w:r>
        <w:rPr>
          <w:rFonts w:ascii="Arial" w:cs="Arial" w:eastAsia="Arial" w:hAnsi="Arial"/>
          <w:sz w:val="11"/>
          <w:szCs w:val="11"/>
          <w:b w:val="1"/>
          <w:bCs w:val="1"/>
          <w:color w:val="auto"/>
        </w:rPr>
        <w:t>Options</w:t>
      </w:r>
    </w:p>
    <w:p>
      <w:pPr>
        <w:spacing w:after="0" w:line="36" w:lineRule="exact"/>
        <w:rPr>
          <w:sz w:val="20"/>
          <w:szCs w:val="20"/>
          <w:color w:val="auto"/>
        </w:rPr>
      </w:pPr>
    </w:p>
    <w:p>
      <w:pPr>
        <w:jc w:val="center"/>
        <w:ind w:right="539"/>
        <w:spacing w:after="0"/>
        <w:rPr>
          <w:sz w:val="20"/>
          <w:szCs w:val="20"/>
          <w:color w:val="auto"/>
        </w:rPr>
      </w:pPr>
      <w:r>
        <w:rPr>
          <w:rFonts w:ascii="Arial" w:cs="Arial" w:eastAsia="Arial" w:hAnsi="Arial"/>
          <w:sz w:val="11"/>
          <w:szCs w:val="11"/>
          <w:b w:val="1"/>
          <w:bCs w:val="1"/>
          <w:color w:val="auto"/>
        </w:rPr>
        <w:t>(Proceeds)</w:t>
      </w:r>
    </w:p>
    <w:p>
      <w:pPr>
        <w:spacing w:after="0" w:line="107"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$(294,754)</w:t>
      </w:r>
    </w:p>
    <w:p>
      <w:pPr>
        <w:sectPr>
          <w:pgSz w:w="11900" w:h="16838" w:orient="portrait"/>
          <w:cols w:equalWidth="0" w:num="1">
            <w:col w:w="10139"/>
          </w:cols>
          <w:pgMar w:left="320" w:top="153" w:right="1440" w:bottom="1440" w:gutter="0" w:footer="0" w:header="0"/>
        </w:sectPr>
      </w:pPr>
    </w:p>
    <w:bookmarkStart w:id="203" w:name="page204"/>
    <w:bookmarkEnd w:id="203"/>
    <w:p>
      <w:pPr>
        <w:ind w:left="272" w:hanging="272"/>
        <w:spacing w:after="0"/>
        <w:tabs>
          <w:tab w:leader="none" w:pos="272" w:val="left"/>
        </w:tabs>
        <w:numPr>
          <w:ilvl w:val="0"/>
          <w:numId w:val="135"/>
        </w:numPr>
        <w:rPr>
          <w:rFonts w:ascii="Arial" w:cs="Arial" w:eastAsia="Arial" w:hAnsi="Arial"/>
          <w:sz w:val="16"/>
          <w:szCs w:val="16"/>
          <w:color w:val="296B38"/>
        </w:rPr>
      </w:pPr>
      <w:r>
        <w:rPr>
          <w:rFonts w:ascii="Arial" w:cs="Arial" w:eastAsia="Arial" w:hAnsi="Arial"/>
          <w:sz w:val="14"/>
          <w:szCs w:val="14"/>
          <w:color w:val="296B38"/>
        </w:rPr>
        <w:t>ArrowMark Financial Corp.</w:t>
      </w:r>
      <w:r>
        <w:rPr>
          <w:rFonts w:ascii="Arial" w:cs="Arial" w:eastAsia="Arial" w:hAnsi="Arial"/>
          <w:sz w:val="13"/>
          <w:szCs w:val="13"/>
          <w:b w:val="1"/>
          <w:bCs w:val="1"/>
          <w:color w:val="296B38"/>
        </w:rPr>
        <w:t>|</w:t>
      </w:r>
    </w:p>
    <w:sectPr>
      <w:pgSz w:w="11900" w:h="16838" w:orient="portrait"/>
      <w:cols w:equalWidth="0" w:num="1">
        <w:col w:w="9972"/>
      </w:cols>
      <w:pgMar w:left="488" w:top="1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lowerRoman"/>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1."/>
      <w:numFmt w:val="lowerRoman"/>
      <w:start w:val="2"/>
    </w:lvl>
  </w:abstractNum>
  <w:abstractNum w:abstractNumId="3">
    <w:nsid w:val="15014ACB"/>
    <w:multiLevelType w:val="hybridMultilevel"/>
    <w:lvl w:ilvl="0">
      <w:lvlJc w:val="left"/>
      <w:lvlText w:val="%1."/>
      <w:numFmt w:val="lowerRoman"/>
      <w:start w:val="3"/>
    </w:lvl>
  </w:abstractNum>
  <w:abstractNum w:abstractNumId="4">
    <w:nsid w:val="5F5E7FD0"/>
    <w:multiLevelType w:val="hybridMultilevel"/>
    <w:lvl w:ilvl="0">
      <w:lvlJc w:val="left"/>
      <w:lvlText w:val="%1."/>
      <w:numFmt w:val="lowerRoman"/>
      <w:start w:val="2"/>
    </w:lvl>
  </w:abstractNum>
  <w:abstractNum w:abstractNumId="5">
    <w:nsid w:val="98A3148"/>
    <w:multiLevelType w:val="hybridMultilevel"/>
    <w:lvl w:ilvl="0">
      <w:lvlJc w:val="left"/>
      <w:lvlText w:val="%1."/>
      <w:numFmt w:val="lowerRoman"/>
      <w:start w:val="3"/>
    </w:lvl>
  </w:abstractNum>
  <w:abstractNum w:abstractNumId="6">
    <w:nsid w:val="799D0247"/>
    <w:multiLevelType w:val="hybridMultilevel"/>
    <w:lvl w:ilvl="0">
      <w:lvlJc w:val="left"/>
      <w:lvlText w:val="%1."/>
      <w:numFmt w:val="lowerRoman"/>
      <w:start w:val="2"/>
    </w:lvl>
  </w:abstractNum>
  <w:abstractNum w:abstractNumId="7">
    <w:nsid w:val="6B94764"/>
    <w:multiLevelType w:val="hybridMultilevel"/>
    <w:lvl w:ilvl="0">
      <w:lvlJc w:val="left"/>
      <w:lvlText w:val="%1."/>
      <w:numFmt w:val="lowerRoman"/>
      <w:start w:val="3"/>
    </w:lvl>
  </w:abstractNum>
  <w:abstractNum w:abstractNumId="8">
    <w:nsid w:val="42C296BD"/>
    <w:multiLevelType w:val="hybridMultilevel"/>
    <w:lvl w:ilvl="0">
      <w:lvlJc w:val="left"/>
      <w:lvlText w:val="%1."/>
      <w:numFmt w:val="lowerRoman"/>
      <w:start w:val="2"/>
    </w:lvl>
  </w:abstractNum>
  <w:abstractNum w:abstractNumId="9">
    <w:nsid w:val="168E121F"/>
    <w:multiLevelType w:val="hybridMultilevel"/>
    <w:lvl w:ilvl="0">
      <w:lvlJc w:val="left"/>
      <w:lvlText w:val="%1."/>
      <w:numFmt w:val="lowerRoman"/>
      <w:start w:val="3"/>
    </w:lvl>
  </w:abstractNum>
  <w:abstractNum w:abstractNumId="10">
    <w:nsid w:val="1EBA5D23"/>
    <w:multiLevelType w:val="hybridMultilevel"/>
    <w:lvl w:ilvl="0">
      <w:lvlJc w:val="left"/>
      <w:lvlText w:val="%1."/>
      <w:numFmt w:val="lowerRoman"/>
      <w:start w:val="2"/>
    </w:lvl>
  </w:abstractNum>
  <w:abstractNum w:abstractNumId="11">
    <w:nsid w:val="661E3F1E"/>
    <w:multiLevelType w:val="hybridMultilevel"/>
    <w:lvl w:ilvl="0">
      <w:lvlJc w:val="left"/>
      <w:lvlText w:val="%1."/>
      <w:numFmt w:val="lowerRoman"/>
      <w:start w:val="3"/>
    </w:lvl>
  </w:abstractNum>
  <w:abstractNum w:abstractNumId="12">
    <w:nsid w:val="5DC79EA8"/>
    <w:multiLevelType w:val="hybridMultilevel"/>
    <w:lvl w:ilvl="0">
      <w:lvlJc w:val="left"/>
      <w:lvlText w:val="%1."/>
      <w:numFmt w:val="lowerRoman"/>
      <w:start w:val="2"/>
    </w:lvl>
  </w:abstractNum>
  <w:abstractNum w:abstractNumId="13">
    <w:nsid w:val="540A471C"/>
    <w:multiLevelType w:val="hybridMultilevel"/>
    <w:lvl w:ilvl="0">
      <w:lvlJc w:val="left"/>
      <w:lvlText w:val="%1."/>
      <w:numFmt w:val="lowerRoman"/>
      <w:start w:val="3"/>
    </w:lvl>
  </w:abstractNum>
  <w:abstractNum w:abstractNumId="14">
    <w:nsid w:val="7BD3EE7B"/>
    <w:multiLevelType w:val="hybridMultilevel"/>
    <w:lvl w:ilvl="0">
      <w:lvlJc w:val="left"/>
      <w:lvlText w:val="%1."/>
      <w:numFmt w:val="lowerRoman"/>
      <w:start w:val="2"/>
    </w:lvl>
  </w:abstractNum>
  <w:abstractNum w:abstractNumId="15">
    <w:nsid w:val="51D9C564"/>
    <w:multiLevelType w:val="hybridMultilevel"/>
    <w:lvl w:ilvl="0">
      <w:lvlJc w:val="left"/>
      <w:lvlText w:val="%1."/>
      <w:numFmt w:val="lowerRoman"/>
      <w:start w:val="3"/>
    </w:lvl>
  </w:abstractNum>
  <w:abstractNum w:abstractNumId="16">
    <w:nsid w:val="613EFDC5"/>
    <w:multiLevelType w:val="hybridMultilevel"/>
    <w:lvl w:ilvl="0">
      <w:lvlJc w:val="left"/>
      <w:lvlText w:val="%1."/>
      <w:numFmt w:val="lowerRoman"/>
      <w:start w:val="2"/>
    </w:lvl>
  </w:abstractNum>
  <w:abstractNum w:abstractNumId="17">
    <w:nsid w:val="BF72B14"/>
    <w:multiLevelType w:val="hybridMultilevel"/>
    <w:lvl w:ilvl="0">
      <w:lvlJc w:val="left"/>
      <w:lvlText w:val="%1."/>
      <w:numFmt w:val="lowerRoman"/>
      <w:start w:val="3"/>
    </w:lvl>
  </w:abstractNum>
  <w:abstractNum w:abstractNumId="18">
    <w:nsid w:val="11447B73"/>
    <w:multiLevelType w:val="hybridMultilevel"/>
    <w:lvl w:ilvl="0">
      <w:lvlJc w:val="left"/>
      <w:lvlText w:val="%1."/>
      <w:numFmt w:val="lowerRoman"/>
      <w:start w:val="2"/>
    </w:lvl>
  </w:abstractNum>
  <w:abstractNum w:abstractNumId="19">
    <w:nsid w:val="42963E5A"/>
    <w:multiLevelType w:val="hybridMultilevel"/>
    <w:lvl w:ilvl="0">
      <w:lvlJc w:val="left"/>
      <w:lvlText w:val="%1."/>
      <w:numFmt w:val="lowerRoman"/>
      <w:start w:val="3"/>
    </w:lvl>
  </w:abstractNum>
  <w:abstractNum w:abstractNumId="20">
    <w:nsid w:val="A0382C5"/>
    <w:multiLevelType w:val="hybridMultilevel"/>
    <w:lvl w:ilvl="0">
      <w:lvlJc w:val="left"/>
      <w:lvlText w:val="%1."/>
      <w:numFmt w:val="lowerRoman"/>
      <w:start w:val="2"/>
    </w:lvl>
  </w:abstractNum>
  <w:abstractNum w:abstractNumId="21">
    <w:nsid w:val="8F2B15E"/>
    <w:multiLevelType w:val="hybridMultilevel"/>
    <w:lvl w:ilvl="0">
      <w:lvlJc w:val="left"/>
      <w:lvlText w:val="%1."/>
      <w:numFmt w:val="lowerRoman"/>
      <w:start w:val="3"/>
    </w:lvl>
  </w:abstractNum>
  <w:abstractNum w:abstractNumId="22">
    <w:nsid w:val="1A32234B"/>
    <w:multiLevelType w:val="hybridMultilevel"/>
    <w:lvl w:ilvl="0">
      <w:lvlJc w:val="left"/>
      <w:lvlText w:val="%1."/>
      <w:numFmt w:val="lowerRoman"/>
      <w:start w:val="2"/>
    </w:lvl>
  </w:abstractNum>
  <w:abstractNum w:abstractNumId="23">
    <w:nsid w:val="3B0FD379"/>
    <w:multiLevelType w:val="hybridMultilevel"/>
    <w:lvl w:ilvl="0">
      <w:lvlJc w:val="left"/>
      <w:lvlText w:val="%1."/>
      <w:numFmt w:val="lowerRoman"/>
      <w:start w:val="3"/>
    </w:lvl>
  </w:abstractNum>
  <w:abstractNum w:abstractNumId="24">
    <w:nsid w:val="68EB2F63"/>
    <w:multiLevelType w:val="hybridMultilevel"/>
    <w:lvl w:ilvl="0">
      <w:lvlJc w:val="left"/>
      <w:lvlText w:val="%1."/>
      <w:numFmt w:val="lowerRoman"/>
      <w:start w:val="2"/>
    </w:lvl>
  </w:abstractNum>
  <w:abstractNum w:abstractNumId="25">
    <w:nsid w:val="4962813B"/>
    <w:multiLevelType w:val="hybridMultilevel"/>
    <w:lvl w:ilvl="0">
      <w:lvlJc w:val="left"/>
      <w:lvlText w:val="%1."/>
      <w:numFmt w:val="lowerRoman"/>
      <w:start w:val="3"/>
    </w:lvl>
  </w:abstractNum>
  <w:abstractNum w:abstractNumId="26">
    <w:nsid w:val="60B6DF70"/>
    <w:multiLevelType w:val="hybridMultilevel"/>
    <w:lvl w:ilvl="0">
      <w:lvlJc w:val="left"/>
      <w:lvlText w:val="%1."/>
      <w:numFmt w:val="lowerRoman"/>
      <w:start w:val="2"/>
    </w:lvl>
  </w:abstractNum>
  <w:abstractNum w:abstractNumId="27">
    <w:nsid w:val="6A5EE64"/>
    <w:multiLevelType w:val="hybridMultilevel"/>
    <w:lvl w:ilvl="0">
      <w:lvlJc w:val="left"/>
      <w:lvlText w:val="%1."/>
      <w:numFmt w:val="lowerRoman"/>
      <w:start w:val="3"/>
    </w:lvl>
  </w:abstractNum>
  <w:abstractNum w:abstractNumId="28">
    <w:nsid w:val="14330624"/>
    <w:multiLevelType w:val="hybridMultilevel"/>
    <w:lvl w:ilvl="0">
      <w:lvlJc w:val="left"/>
      <w:lvlText w:val="%1."/>
      <w:numFmt w:val="lowerRoman"/>
      <w:start w:val="2"/>
    </w:lvl>
  </w:abstractNum>
  <w:abstractNum w:abstractNumId="29">
    <w:nsid w:val="7FFFCA11"/>
    <w:multiLevelType w:val="hybridMultilevel"/>
    <w:lvl w:ilvl="0">
      <w:lvlJc w:val="left"/>
      <w:lvlText w:val="%1."/>
      <w:numFmt w:val="lowerRoman"/>
      <w:start w:val="3"/>
    </w:lvl>
  </w:abstractNum>
  <w:abstractNum w:abstractNumId="30">
    <w:nsid w:val="1A27709E"/>
    <w:multiLevelType w:val="hybridMultilevel"/>
    <w:lvl w:ilvl="0">
      <w:lvlJc w:val="left"/>
      <w:lvlText w:val="%1."/>
      <w:numFmt w:val="lowerRoman"/>
      <w:start w:val="2"/>
    </w:lvl>
  </w:abstractNum>
  <w:abstractNum w:abstractNumId="31">
    <w:nsid w:val="71EA1109"/>
    <w:multiLevelType w:val="hybridMultilevel"/>
    <w:lvl w:ilvl="0">
      <w:lvlJc w:val="left"/>
      <w:lvlText w:val="%1."/>
      <w:numFmt w:val="lowerRoman"/>
      <w:start w:val="3"/>
    </w:lvl>
  </w:abstractNum>
  <w:abstractNum w:abstractNumId="32">
    <w:nsid w:val="100F59DC"/>
    <w:multiLevelType w:val="hybridMultilevel"/>
    <w:lvl w:ilvl="0">
      <w:lvlJc w:val="left"/>
      <w:lvlText w:val="%1."/>
      <w:numFmt w:val="lowerRoman"/>
      <w:start w:val="2"/>
    </w:lvl>
  </w:abstractNum>
  <w:abstractNum w:abstractNumId="33">
    <w:nsid w:val="7FB7E0AA"/>
    <w:multiLevelType w:val="hybridMultilevel"/>
    <w:lvl w:ilvl="0">
      <w:lvlJc w:val="left"/>
      <w:lvlText w:val="%1."/>
      <w:numFmt w:val="lowerRoman"/>
      <w:start w:val="3"/>
    </w:lvl>
  </w:abstractNum>
  <w:abstractNum w:abstractNumId="34">
    <w:nsid w:val="6EB5BD4"/>
    <w:multiLevelType w:val="hybridMultilevel"/>
    <w:lvl w:ilvl="0">
      <w:lvlJc w:val="left"/>
      <w:lvlText w:val="%1."/>
      <w:numFmt w:val="lowerRoman"/>
      <w:start w:val="2"/>
    </w:lvl>
  </w:abstractNum>
  <w:abstractNum w:abstractNumId="35">
    <w:nsid w:val="6F6DD9AC"/>
    <w:multiLevelType w:val="hybridMultilevel"/>
    <w:lvl w:ilvl="0">
      <w:lvlJc w:val="left"/>
      <w:lvlText w:val="%1."/>
      <w:numFmt w:val="lowerRoman"/>
      <w:start w:val="3"/>
    </w:lvl>
  </w:abstractNum>
  <w:abstractNum w:abstractNumId="36">
    <w:nsid w:val="94211F2"/>
    <w:multiLevelType w:val="hybridMultilevel"/>
    <w:lvl w:ilvl="0">
      <w:lvlJc w:val="left"/>
      <w:lvlText w:val="%1."/>
      <w:numFmt w:val="lowerRoman"/>
      <w:start w:val="2"/>
    </w:lvl>
  </w:abstractNum>
  <w:abstractNum w:abstractNumId="37">
    <w:nsid w:val="885E1B"/>
    <w:multiLevelType w:val="hybridMultilevel"/>
    <w:lvl w:ilvl="0">
      <w:lvlJc w:val="left"/>
      <w:lvlText w:val="%1."/>
      <w:numFmt w:val="lowerRoman"/>
      <w:start w:val="3"/>
    </w:lvl>
  </w:abstractNum>
  <w:abstractNum w:abstractNumId="38">
    <w:nsid w:val="76272110"/>
    <w:multiLevelType w:val="hybridMultilevel"/>
    <w:lvl w:ilvl="0">
      <w:lvlJc w:val="left"/>
      <w:lvlText w:val="%1."/>
      <w:numFmt w:val="lowerRoman"/>
      <w:start w:val="2"/>
    </w:lvl>
  </w:abstractNum>
  <w:abstractNum w:abstractNumId="39">
    <w:nsid w:val="4C04A8AF"/>
    <w:multiLevelType w:val="hybridMultilevel"/>
    <w:lvl w:ilvl="0">
      <w:lvlJc w:val="left"/>
      <w:lvlText w:val="%1."/>
      <w:numFmt w:val="lowerRoman"/>
      <w:start w:val="3"/>
    </w:lvl>
  </w:abstractNum>
  <w:abstractNum w:abstractNumId="40">
    <w:nsid w:val="1716703B"/>
    <w:multiLevelType w:val="hybridMultilevel"/>
    <w:lvl w:ilvl="0">
      <w:lvlJc w:val="left"/>
      <w:lvlText w:val="%1."/>
      <w:numFmt w:val="lowerRoman"/>
      <w:start w:val="2"/>
    </w:lvl>
  </w:abstractNum>
  <w:abstractNum w:abstractNumId="41">
    <w:nsid w:val="14E17E33"/>
    <w:multiLevelType w:val="hybridMultilevel"/>
    <w:lvl w:ilvl="0">
      <w:lvlJc w:val="left"/>
      <w:lvlText w:val="%1."/>
      <w:numFmt w:val="lowerRoman"/>
      <w:start w:val="3"/>
    </w:lvl>
  </w:abstractNum>
  <w:abstractNum w:abstractNumId="42">
    <w:nsid w:val="3222E7CD"/>
    <w:multiLevelType w:val="hybridMultilevel"/>
    <w:lvl w:ilvl="0">
      <w:lvlJc w:val="left"/>
      <w:lvlText w:val="%1."/>
      <w:numFmt w:val="lowerRoman"/>
      <w:start w:val="2"/>
    </w:lvl>
  </w:abstractNum>
  <w:abstractNum w:abstractNumId="43">
    <w:nsid w:val="74DE0EE3"/>
    <w:multiLevelType w:val="hybridMultilevel"/>
    <w:lvl w:ilvl="0">
      <w:lvlJc w:val="left"/>
      <w:lvlText w:val="%1."/>
      <w:numFmt w:val="lowerRoman"/>
      <w:start w:val="3"/>
    </w:lvl>
  </w:abstractNum>
  <w:abstractNum w:abstractNumId="44">
    <w:nsid w:val="68EBC550"/>
    <w:multiLevelType w:val="hybridMultilevel"/>
    <w:lvl w:ilvl="0">
      <w:lvlJc w:val="left"/>
      <w:lvlText w:val="%1."/>
      <w:numFmt w:val="lowerRoman"/>
      <w:start w:val="2"/>
    </w:lvl>
  </w:abstractNum>
  <w:abstractNum w:abstractNumId="45">
    <w:nsid w:val="2DF6D648"/>
    <w:multiLevelType w:val="hybridMultilevel"/>
    <w:lvl w:ilvl="0">
      <w:lvlJc w:val="left"/>
      <w:lvlText w:val="%1."/>
      <w:numFmt w:val="lowerRoman"/>
      <w:start w:val="3"/>
    </w:lvl>
  </w:abstractNum>
  <w:abstractNum w:abstractNumId="46">
    <w:nsid w:val="46B7D447"/>
    <w:multiLevelType w:val="hybridMultilevel"/>
    <w:lvl w:ilvl="0">
      <w:lvlJc w:val="left"/>
      <w:lvlText w:val="%1."/>
      <w:numFmt w:val="lowerRoman"/>
      <w:start w:val="2"/>
    </w:lvl>
  </w:abstractNum>
  <w:abstractNum w:abstractNumId="47">
    <w:nsid w:val="4A2AC315"/>
    <w:multiLevelType w:val="hybridMultilevel"/>
    <w:lvl w:ilvl="0">
      <w:lvlJc w:val="left"/>
      <w:lvlText w:val="%1."/>
      <w:numFmt w:val="lowerRoman"/>
      <w:start w:val="3"/>
    </w:lvl>
  </w:abstractNum>
  <w:abstractNum w:abstractNumId="48">
    <w:nsid w:val="39EE015C"/>
    <w:multiLevelType w:val="hybridMultilevel"/>
    <w:lvl w:ilvl="0">
      <w:lvlJc w:val="left"/>
      <w:lvlText w:val="%1."/>
      <w:numFmt w:val="lowerRoman"/>
      <w:start w:val="2"/>
    </w:lvl>
  </w:abstractNum>
  <w:abstractNum w:abstractNumId="49">
    <w:nsid w:val="57FC4FBB"/>
    <w:multiLevelType w:val="hybridMultilevel"/>
    <w:lvl w:ilvl="0">
      <w:lvlJc w:val="left"/>
      <w:lvlText w:val="%1."/>
      <w:numFmt w:val="lowerRoman"/>
      <w:start w:val="3"/>
    </w:lvl>
  </w:abstractNum>
  <w:abstractNum w:abstractNumId="50">
    <w:nsid w:val="CC1016F"/>
    <w:multiLevelType w:val="hybridMultilevel"/>
    <w:lvl w:ilvl="0">
      <w:lvlJc w:val="left"/>
      <w:lvlText w:val="%1."/>
      <w:numFmt w:val="lowerRoman"/>
      <w:start w:val="2"/>
    </w:lvl>
  </w:abstractNum>
  <w:abstractNum w:abstractNumId="51">
    <w:nsid w:val="43F18422"/>
    <w:multiLevelType w:val="hybridMultilevel"/>
    <w:lvl w:ilvl="0">
      <w:lvlJc w:val="left"/>
      <w:lvlText w:val="%1."/>
      <w:numFmt w:val="lowerRoman"/>
      <w:start w:val="3"/>
    </w:lvl>
  </w:abstractNum>
  <w:abstractNum w:abstractNumId="52">
    <w:nsid w:val="60EF0119"/>
    <w:multiLevelType w:val="hybridMultilevel"/>
    <w:lvl w:ilvl="0">
      <w:lvlJc w:val="left"/>
      <w:lvlText w:val="%1."/>
      <w:numFmt w:val="lowerRoman"/>
      <w:start w:val="2"/>
    </w:lvl>
  </w:abstractNum>
  <w:abstractNum w:abstractNumId="53">
    <w:nsid w:val="26F324BA"/>
    <w:multiLevelType w:val="hybridMultilevel"/>
    <w:lvl w:ilvl="0">
      <w:lvlJc w:val="left"/>
      <w:lvlText w:val="%1."/>
      <w:numFmt w:val="decimal"/>
      <w:start w:val="3"/>
    </w:lvl>
  </w:abstractNum>
  <w:abstractNum w:abstractNumId="54">
    <w:nsid w:val="7F01579B"/>
    <w:multiLevelType w:val="hybridMultilevel"/>
    <w:lvl w:ilvl="0">
      <w:lvlJc w:val="left"/>
      <w:lvlText w:val="%1."/>
      <w:numFmt w:val="lowerRoman"/>
      <w:start w:val="2"/>
    </w:lvl>
  </w:abstractNum>
  <w:abstractNum w:abstractNumId="55">
    <w:nsid w:val="49DA307D"/>
    <w:multiLevelType w:val="hybridMultilevel"/>
    <w:lvl w:ilvl="0">
      <w:lvlJc w:val="left"/>
      <w:lvlText w:val="%1."/>
      <w:numFmt w:val="lowerRoman"/>
      <w:start w:val="3"/>
    </w:lvl>
  </w:abstractNum>
  <w:abstractNum w:abstractNumId="56">
    <w:nsid w:val="7055A5F5"/>
    <w:multiLevelType w:val="hybridMultilevel"/>
    <w:lvl w:ilvl="0">
      <w:lvlJc w:val="left"/>
      <w:lvlText w:val="%1."/>
      <w:numFmt w:val="lowerRoman"/>
      <w:start w:val="2"/>
    </w:lvl>
  </w:abstractNum>
  <w:abstractNum w:abstractNumId="57">
    <w:nsid w:val="5FB8370B"/>
    <w:multiLevelType w:val="hybridMultilevel"/>
    <w:lvl w:ilvl="0">
      <w:lvlJc w:val="left"/>
      <w:lvlText w:val="%1."/>
      <w:numFmt w:val="lowerRoman"/>
      <w:start w:val="3"/>
    </w:lvl>
  </w:abstractNum>
  <w:abstractNum w:abstractNumId="58">
    <w:nsid w:val="50801EE1"/>
    <w:multiLevelType w:val="hybridMultilevel"/>
    <w:lvl w:ilvl="0">
      <w:lvlJc w:val="left"/>
      <w:lvlText w:val="%1."/>
      <w:numFmt w:val="lowerRoman"/>
      <w:start w:val="2"/>
    </w:lvl>
  </w:abstractNum>
  <w:abstractNum w:abstractNumId="59">
    <w:nsid w:val="488AC1A"/>
    <w:multiLevelType w:val="hybridMultilevel"/>
    <w:lvl w:ilvl="0">
      <w:lvlJc w:val="left"/>
      <w:lvlText w:val="%1."/>
      <w:numFmt w:val="lowerRoman"/>
      <w:start w:val="3"/>
    </w:lvl>
  </w:abstractNum>
  <w:abstractNum w:abstractNumId="60">
    <w:nsid w:val="5FB8011C"/>
    <w:multiLevelType w:val="hybridMultilevel"/>
    <w:lvl w:ilvl="0">
      <w:lvlJc w:val="left"/>
      <w:lvlText w:val="%1."/>
      <w:numFmt w:val="lowerRoman"/>
      <w:start w:val="2"/>
    </w:lvl>
  </w:abstractNum>
  <w:abstractNum w:abstractNumId="61">
    <w:nsid w:val="6AA78F7F"/>
    <w:multiLevelType w:val="hybridMultilevel"/>
    <w:lvl w:ilvl="0">
      <w:lvlJc w:val="left"/>
      <w:lvlText w:val="%1."/>
      <w:numFmt w:val="lowerRoman"/>
      <w:start w:val="3"/>
    </w:lvl>
  </w:abstractNum>
  <w:abstractNum w:abstractNumId="62">
    <w:nsid w:val="7672BD23"/>
    <w:multiLevelType w:val="hybridMultilevel"/>
    <w:lvl w:ilvl="0">
      <w:lvlJc w:val="left"/>
      <w:lvlText w:val="%1."/>
      <w:numFmt w:val="lowerRoman"/>
      <w:start w:val="2"/>
    </w:lvl>
  </w:abstractNum>
  <w:abstractNum w:abstractNumId="63">
    <w:nsid w:val="6FC75AF8"/>
    <w:multiLevelType w:val="hybridMultilevel"/>
    <w:lvl w:ilvl="0">
      <w:lvlJc w:val="left"/>
      <w:lvlText w:val="%1."/>
      <w:numFmt w:val="lowerRoman"/>
      <w:start w:val="3"/>
    </w:lvl>
  </w:abstractNum>
  <w:abstractNum w:abstractNumId="64">
    <w:nsid w:val="6A5F7029"/>
    <w:multiLevelType w:val="hybridMultilevel"/>
    <w:lvl w:ilvl="0">
      <w:lvlJc w:val="left"/>
      <w:lvlText w:val="%1."/>
      <w:numFmt w:val="lowerRoman"/>
      <w:start w:val="2"/>
    </w:lvl>
  </w:abstractNum>
  <w:abstractNum w:abstractNumId="65">
    <w:nsid w:val="7D5E18F8"/>
    <w:multiLevelType w:val="hybridMultilevel"/>
    <w:lvl w:ilvl="0">
      <w:lvlJc w:val="left"/>
      <w:lvlText w:val="%1."/>
      <w:numFmt w:val="lowerRoman"/>
      <w:start w:val="3"/>
    </w:lvl>
  </w:abstractNum>
  <w:abstractNum w:abstractNumId="66">
    <w:nsid w:val="5F3534A4"/>
    <w:multiLevelType w:val="hybridMultilevel"/>
    <w:lvl w:ilvl="0">
      <w:lvlJc w:val="left"/>
      <w:lvlText w:val="%1."/>
      <w:numFmt w:val="lowerRoman"/>
      <w:start w:val="2"/>
    </w:lvl>
  </w:abstractNum>
  <w:abstractNum w:abstractNumId="67">
    <w:nsid w:val="73A1821B"/>
    <w:multiLevelType w:val="hybridMultilevel"/>
    <w:lvl w:ilvl="0">
      <w:lvlJc w:val="left"/>
      <w:lvlText w:val="%1."/>
      <w:numFmt w:val="lowerRoman"/>
      <w:start w:val="3"/>
    </w:lvl>
  </w:abstractNum>
  <w:abstractNum w:abstractNumId="68">
    <w:nsid w:val="7DE67713"/>
    <w:multiLevelType w:val="hybridMultilevel"/>
    <w:lvl w:ilvl="0">
      <w:lvlJc w:val="left"/>
      <w:lvlText w:val="%1."/>
      <w:numFmt w:val="lowerRoman"/>
      <w:start w:val="2"/>
    </w:lvl>
  </w:abstractNum>
  <w:abstractNum w:abstractNumId="69">
    <w:nsid w:val="555C55B5"/>
    <w:multiLevelType w:val="hybridMultilevel"/>
    <w:lvl w:ilvl="0">
      <w:lvlJc w:val="left"/>
      <w:lvlText w:val="%1."/>
      <w:numFmt w:val="lowerRoman"/>
      <w:start w:val="3"/>
    </w:lvl>
  </w:abstractNum>
  <w:abstractNum w:abstractNumId="70">
    <w:nsid w:val="3FA62ACA"/>
    <w:multiLevelType w:val="hybridMultilevel"/>
    <w:lvl w:ilvl="0">
      <w:lvlJc w:val="left"/>
      <w:lvlText w:val="%1."/>
      <w:numFmt w:val="lowerRoman"/>
      <w:start w:val="2"/>
    </w:lvl>
  </w:abstractNum>
  <w:abstractNum w:abstractNumId="71">
    <w:nsid w:val="14FCE74E"/>
    <w:multiLevelType w:val="hybridMultilevel"/>
    <w:lvl w:ilvl="0">
      <w:lvlJc w:val="left"/>
      <w:lvlText w:val="%1."/>
      <w:numFmt w:val="lowerRoman"/>
      <w:start w:val="3"/>
    </w:lvl>
  </w:abstractNum>
  <w:abstractNum w:abstractNumId="72">
    <w:nsid w:val="6A3DD3E8"/>
    <w:multiLevelType w:val="hybridMultilevel"/>
    <w:lvl w:ilvl="0">
      <w:lvlJc w:val="left"/>
      <w:lvlText w:val="%1."/>
      <w:numFmt w:val="lowerRoman"/>
      <w:start w:val="2"/>
    </w:lvl>
  </w:abstractNum>
  <w:abstractNum w:abstractNumId="73">
    <w:nsid w:val="71C91298"/>
    <w:multiLevelType w:val="hybridMultilevel"/>
    <w:lvl w:ilvl="0">
      <w:lvlJc w:val="left"/>
      <w:lvlText w:val="%1."/>
      <w:numFmt w:val="lowerRoman"/>
      <w:start w:val="3"/>
    </w:lvl>
  </w:abstractNum>
  <w:abstractNum w:abstractNumId="74">
    <w:nsid w:val="9DAF632"/>
    <w:multiLevelType w:val="hybridMultilevel"/>
    <w:lvl w:ilvl="0">
      <w:lvlJc w:val="left"/>
      <w:lvlText w:val="%1."/>
      <w:numFmt w:val="lowerRoman"/>
      <w:start w:val="2"/>
    </w:lvl>
  </w:abstractNum>
  <w:abstractNum w:abstractNumId="75">
    <w:nsid w:val="53299938"/>
    <w:multiLevelType w:val="hybridMultilevel"/>
    <w:lvl w:ilvl="0">
      <w:lvlJc w:val="left"/>
      <w:lvlText w:val="%1."/>
      <w:numFmt w:val="lowerRoman"/>
      <w:start w:val="3"/>
    </w:lvl>
  </w:abstractNum>
  <w:abstractNum w:abstractNumId="76">
    <w:nsid w:val="1FBFE8E0"/>
    <w:multiLevelType w:val="hybridMultilevel"/>
    <w:lvl w:ilvl="0">
      <w:lvlJc w:val="left"/>
      <w:lvlText w:val="%1."/>
      <w:numFmt w:val="lowerRoman"/>
      <w:start w:val="2"/>
    </w:lvl>
  </w:abstractNum>
  <w:abstractNum w:abstractNumId="77">
    <w:nsid w:val="5092CA79"/>
    <w:multiLevelType w:val="hybridMultilevel"/>
    <w:lvl w:ilvl="0">
      <w:lvlJc w:val="left"/>
      <w:lvlText w:val="%1."/>
      <w:numFmt w:val="lowerRoman"/>
      <w:start w:val="3"/>
    </w:lvl>
  </w:abstractNum>
  <w:abstractNum w:abstractNumId="78">
    <w:nsid w:val="1D545C4D"/>
    <w:multiLevelType w:val="hybridMultilevel"/>
    <w:lvl w:ilvl="0">
      <w:lvlJc w:val="left"/>
      <w:lvlText w:val="%1."/>
      <w:numFmt w:val="lowerRoman"/>
      <w:start w:val="2"/>
    </w:lvl>
  </w:abstractNum>
  <w:abstractNum w:abstractNumId="79">
    <w:nsid w:val="59ADEA3D"/>
    <w:multiLevelType w:val="hybridMultilevel"/>
    <w:lvl w:ilvl="0">
      <w:lvlJc w:val="left"/>
      <w:lvlText w:val="%1."/>
      <w:numFmt w:val="lowerRoman"/>
      <w:start w:val="3"/>
    </w:lvl>
  </w:abstractNum>
  <w:abstractNum w:abstractNumId="80">
    <w:nsid w:val="288F1A34"/>
    <w:multiLevelType w:val="hybridMultilevel"/>
    <w:lvl w:ilvl="0">
      <w:lvlJc w:val="left"/>
      <w:lvlText w:val="%1."/>
      <w:numFmt w:val="lowerRoman"/>
      <w:start w:val="2"/>
    </w:lvl>
  </w:abstractNum>
  <w:abstractNum w:abstractNumId="81">
    <w:nsid w:val="2A155DBC"/>
    <w:multiLevelType w:val="hybridMultilevel"/>
    <w:lvl w:ilvl="0">
      <w:lvlJc w:val="left"/>
      <w:lvlText w:val="%1."/>
      <w:numFmt w:val="lowerRoman"/>
      <w:start w:val="3"/>
    </w:lvl>
  </w:abstractNum>
  <w:abstractNum w:abstractNumId="82">
    <w:nsid w:val="1D9F6E5F"/>
    <w:multiLevelType w:val="hybridMultilevel"/>
    <w:lvl w:ilvl="0">
      <w:lvlJc w:val="left"/>
      <w:lvlText w:val="%1."/>
      <w:numFmt w:val="lowerRoman"/>
      <w:start w:val="2"/>
    </w:lvl>
  </w:abstractNum>
  <w:abstractNum w:abstractNumId="83">
    <w:nsid w:val="97E1B4E"/>
    <w:multiLevelType w:val="hybridMultilevel"/>
    <w:lvl w:ilvl="0">
      <w:lvlJc w:val="left"/>
      <w:lvlText w:val="%1."/>
      <w:numFmt w:val="lowerRoman"/>
      <w:start w:val="3"/>
    </w:lvl>
  </w:abstractNum>
  <w:abstractNum w:abstractNumId="84">
    <w:nsid w:val="51088277"/>
    <w:multiLevelType w:val="hybridMultilevel"/>
    <w:lvl w:ilvl="0">
      <w:lvlJc w:val="left"/>
      <w:lvlText w:val="%1."/>
      <w:numFmt w:val="lowerRoman"/>
      <w:start w:val="2"/>
    </w:lvl>
  </w:abstractNum>
  <w:abstractNum w:abstractNumId="85">
    <w:nsid w:val="1CA0C5FA"/>
    <w:multiLevelType w:val="hybridMultilevel"/>
    <w:lvl w:ilvl="0">
      <w:lvlJc w:val="left"/>
      <w:lvlText w:val="%1."/>
      <w:numFmt w:val="lowerRoman"/>
      <w:start w:val="3"/>
    </w:lvl>
  </w:abstractNum>
  <w:abstractNum w:abstractNumId="86">
    <w:nsid w:val="53584BCB"/>
    <w:multiLevelType w:val="hybridMultilevel"/>
    <w:lvl w:ilvl="0">
      <w:lvlJc w:val="left"/>
      <w:lvlText w:val="%1."/>
      <w:numFmt w:val="lowerRoman"/>
      <w:start w:val="2"/>
    </w:lvl>
  </w:abstractNum>
  <w:abstractNum w:abstractNumId="87">
    <w:nsid w:val="415E286C"/>
    <w:multiLevelType w:val="hybridMultilevel"/>
    <w:lvl w:ilvl="0">
      <w:lvlJc w:val="left"/>
      <w:lvlText w:val="%1."/>
      <w:numFmt w:val="lowerRoman"/>
      <w:start w:val="3"/>
    </w:lvl>
  </w:abstractNum>
  <w:abstractNum w:abstractNumId="88">
    <w:nsid w:val="7C58FD05"/>
    <w:multiLevelType w:val="hybridMultilevel"/>
    <w:lvl w:ilvl="0">
      <w:lvlJc w:val="left"/>
      <w:lvlText w:val="%1."/>
      <w:numFmt w:val="lowerRoman"/>
      <w:start w:val="2"/>
    </w:lvl>
  </w:abstractNum>
  <w:abstractNum w:abstractNumId="89">
    <w:nsid w:val="23D86AAC"/>
    <w:multiLevelType w:val="hybridMultilevel"/>
    <w:lvl w:ilvl="0">
      <w:lvlJc w:val="left"/>
      <w:lvlText w:val="%1."/>
      <w:numFmt w:val="lowerRoman"/>
      <w:start w:val="3"/>
    </w:lvl>
  </w:abstractNum>
  <w:abstractNum w:abstractNumId="90">
    <w:nsid w:val="45E6D486"/>
    <w:multiLevelType w:val="hybridMultilevel"/>
    <w:lvl w:ilvl="0">
      <w:lvlJc w:val="left"/>
      <w:lvlText w:val="%1."/>
      <w:numFmt w:val="lowerRoman"/>
      <w:start w:val="2"/>
    </w:lvl>
  </w:abstractNum>
  <w:abstractNum w:abstractNumId="91">
    <w:nsid w:val="5C10FE21"/>
    <w:multiLevelType w:val="hybridMultilevel"/>
    <w:lvl w:ilvl="0">
      <w:lvlJc w:val="left"/>
      <w:lvlText w:val="%1."/>
      <w:numFmt w:val="lowerRoman"/>
      <w:start w:val="3"/>
    </w:lvl>
  </w:abstractNum>
  <w:abstractNum w:abstractNumId="92">
    <w:nsid w:val="E7FFA2B"/>
    <w:multiLevelType w:val="hybridMultilevel"/>
    <w:lvl w:ilvl="0">
      <w:lvlJc w:val="left"/>
      <w:lvlText w:val="%1."/>
      <w:numFmt w:val="lowerRoman"/>
      <w:start w:val="2"/>
    </w:lvl>
  </w:abstractNum>
  <w:abstractNum w:abstractNumId="93">
    <w:nsid w:val="3C5991AA"/>
    <w:multiLevelType w:val="hybridMultilevel"/>
    <w:lvl w:ilvl="0">
      <w:lvlJc w:val="left"/>
      <w:lvlText w:val="%1."/>
      <w:numFmt w:val="lowerRoman"/>
      <w:start w:val="3"/>
    </w:lvl>
  </w:abstractNum>
  <w:abstractNum w:abstractNumId="94">
    <w:nsid w:val="4BD8591A"/>
    <w:multiLevelType w:val="hybridMultilevel"/>
    <w:lvl w:ilvl="0">
      <w:lvlJc w:val="left"/>
      <w:lvlText w:val="%1."/>
      <w:numFmt w:val="lowerRoman"/>
      <w:start w:val="2"/>
    </w:lvl>
  </w:abstractNum>
  <w:abstractNum w:abstractNumId="95">
    <w:nsid w:val="78DF6A55"/>
    <w:multiLevelType w:val="hybridMultilevel"/>
    <w:lvl w:ilvl="0">
      <w:lvlJc w:val="left"/>
      <w:lvlText w:val="%1."/>
      <w:numFmt w:val="lowerRoman"/>
      <w:start w:val="3"/>
    </w:lvl>
  </w:abstractNum>
  <w:abstractNum w:abstractNumId="96">
    <w:nsid w:val="39B7AAA2"/>
    <w:multiLevelType w:val="hybridMultilevel"/>
    <w:lvl w:ilvl="0">
      <w:lvlJc w:val="left"/>
      <w:lvlText w:val="%1."/>
      <w:numFmt w:val="lowerRoman"/>
      <w:start w:val="2"/>
    </w:lvl>
  </w:abstractNum>
  <w:abstractNum w:abstractNumId="97">
    <w:nsid w:val="2B0D8DBE"/>
    <w:multiLevelType w:val="hybridMultilevel"/>
    <w:lvl w:ilvl="0">
      <w:lvlJc w:val="left"/>
      <w:lvlText w:val="%1."/>
      <w:numFmt w:val="lowerRoman"/>
      <w:start w:val="3"/>
    </w:lvl>
  </w:abstractNum>
  <w:abstractNum w:abstractNumId="98">
    <w:nsid w:val="6C80EC70"/>
    <w:multiLevelType w:val="hybridMultilevel"/>
    <w:lvl w:ilvl="0">
      <w:lvlJc w:val="left"/>
      <w:lvlText w:val="%1."/>
      <w:numFmt w:val="lowerRoman"/>
      <w:start w:val="2"/>
    </w:lvl>
  </w:abstractNum>
  <w:abstractNum w:abstractNumId="99">
    <w:nsid w:val="379E21B5"/>
    <w:multiLevelType w:val="hybridMultilevel"/>
    <w:lvl w:ilvl="0">
      <w:lvlJc w:val="left"/>
      <w:lvlText w:val="%1."/>
      <w:numFmt w:val="lowerRoman"/>
      <w:start w:val="3"/>
    </w:lvl>
  </w:abstractNum>
  <w:abstractNum w:abstractNumId="100">
    <w:nsid w:val="69E373"/>
    <w:multiLevelType w:val="hybridMultilevel"/>
    <w:lvl w:ilvl="0">
      <w:lvlJc w:val="left"/>
      <w:lvlText w:val="%1."/>
      <w:numFmt w:val="lowerRoman"/>
      <w:start w:val="2"/>
    </w:lvl>
  </w:abstractNum>
  <w:abstractNum w:abstractNumId="101">
    <w:nsid w:val="2C27173B"/>
    <w:multiLevelType w:val="hybridMultilevel"/>
    <w:lvl w:ilvl="0">
      <w:lvlJc w:val="left"/>
      <w:lvlText w:val="%1."/>
      <w:numFmt w:val="lowerRoman"/>
      <w:start w:val="3"/>
    </w:lvl>
  </w:abstractNum>
  <w:abstractNum w:abstractNumId="102">
    <w:nsid w:val="4C9B0904"/>
    <w:multiLevelType w:val="hybridMultilevel"/>
    <w:lvl w:ilvl="0">
      <w:lvlJc w:val="left"/>
      <w:lvlText w:val="%1."/>
      <w:numFmt w:val="lowerRoman"/>
      <w:start w:val="2"/>
    </w:lvl>
  </w:abstractNum>
  <w:abstractNum w:abstractNumId="103">
    <w:nsid w:val="6AA7B75C"/>
    <w:multiLevelType w:val="hybridMultilevel"/>
    <w:lvl w:ilvl="0">
      <w:lvlJc w:val="left"/>
      <w:lvlText w:val="%1."/>
      <w:numFmt w:val="lowerRoman"/>
      <w:start w:val="3"/>
    </w:lvl>
  </w:abstractNum>
  <w:abstractNum w:abstractNumId="104">
    <w:nsid w:val="1DF029D3"/>
    <w:multiLevelType w:val="hybridMultilevel"/>
    <w:lvl w:ilvl="0">
      <w:lvlJc w:val="left"/>
      <w:lvlText w:val="%1."/>
      <w:numFmt w:val="lowerRoman"/>
      <w:start w:val="2"/>
    </w:lvl>
  </w:abstractNum>
  <w:abstractNum w:abstractNumId="105">
    <w:nsid w:val="5675FF36"/>
    <w:multiLevelType w:val="hybridMultilevel"/>
    <w:lvl w:ilvl="0">
      <w:lvlJc w:val="left"/>
      <w:lvlText w:val="%1."/>
      <w:numFmt w:val="lowerRoman"/>
      <w:start w:val="3"/>
    </w:lvl>
  </w:abstractNum>
  <w:abstractNum w:abstractNumId="106">
    <w:nsid w:val="3DD15094"/>
    <w:multiLevelType w:val="hybridMultilevel"/>
    <w:lvl w:ilvl="0">
      <w:lvlJc w:val="left"/>
      <w:lvlText w:val="%1."/>
      <w:numFmt w:val="lowerRoman"/>
      <w:start w:val="2"/>
    </w:lvl>
  </w:abstractNum>
  <w:abstractNum w:abstractNumId="107">
    <w:nsid w:val="3DB012B3"/>
    <w:multiLevelType w:val="hybridMultilevel"/>
    <w:lvl w:ilvl="0">
      <w:lvlJc w:val="left"/>
      <w:lvlText w:val="%1."/>
      <w:numFmt w:val="lowerRoman"/>
      <w:start w:val="3"/>
    </w:lvl>
  </w:abstractNum>
  <w:abstractNum w:abstractNumId="108">
    <w:nsid w:val="2708C9AF"/>
    <w:multiLevelType w:val="hybridMultilevel"/>
    <w:lvl w:ilvl="0">
      <w:lvlJc w:val="left"/>
      <w:lvlText w:val="%1."/>
      <w:numFmt w:val="lowerRoman"/>
      <w:start w:val="2"/>
    </w:lvl>
  </w:abstractNum>
  <w:abstractNum w:abstractNumId="109">
    <w:nsid w:val="5B25ACE2"/>
    <w:multiLevelType w:val="hybridMultilevel"/>
    <w:lvl w:ilvl="0">
      <w:lvlJc w:val="left"/>
      <w:lvlText w:val="%1."/>
      <w:numFmt w:val="lowerRoman"/>
      <w:start w:val="3"/>
    </w:lvl>
  </w:abstractNum>
  <w:abstractNum w:abstractNumId="110">
    <w:nsid w:val="175DFCF0"/>
    <w:multiLevelType w:val="hybridMultilevel"/>
    <w:lvl w:ilvl="0">
      <w:lvlJc w:val="left"/>
      <w:lvlText w:val="%1."/>
      <w:numFmt w:val="lowerRoman"/>
      <w:start w:val="2"/>
    </w:lvl>
  </w:abstractNum>
  <w:abstractNum w:abstractNumId="111">
    <w:nsid w:val="4F97E3E4"/>
    <w:multiLevelType w:val="hybridMultilevel"/>
    <w:lvl w:ilvl="0">
      <w:lvlJc w:val="left"/>
      <w:lvlText w:val="%1."/>
      <w:numFmt w:val="lowerRoman"/>
      <w:start w:val="3"/>
    </w:lvl>
  </w:abstractNum>
  <w:abstractNum w:abstractNumId="112">
    <w:nsid w:val="53B0A9E"/>
    <w:multiLevelType w:val="hybridMultilevel"/>
    <w:lvl w:ilvl="0">
      <w:lvlJc w:val="left"/>
      <w:lvlText w:val="%1."/>
      <w:numFmt w:val="lowerRoman"/>
      <w:start w:val="2"/>
    </w:lvl>
  </w:abstractNum>
  <w:abstractNum w:abstractNumId="113">
    <w:nsid w:val="34FD6B4F"/>
    <w:multiLevelType w:val="hybridMultilevel"/>
    <w:lvl w:ilvl="0">
      <w:lvlJc w:val="left"/>
      <w:lvlText w:val="%1."/>
      <w:numFmt w:val="lowerRoman"/>
      <w:start w:val="3"/>
    </w:lvl>
  </w:abstractNum>
  <w:abstractNum w:abstractNumId="114">
    <w:nsid w:val="5915FF32"/>
    <w:multiLevelType w:val="hybridMultilevel"/>
    <w:lvl w:ilvl="0">
      <w:lvlJc w:val="left"/>
      <w:lvlText w:val="%1."/>
      <w:numFmt w:val="lowerRoman"/>
      <w:start w:val="2"/>
    </w:lvl>
  </w:abstractNum>
  <w:abstractNum w:abstractNumId="115">
    <w:nsid w:val="56438D15"/>
    <w:multiLevelType w:val="hybridMultilevel"/>
    <w:lvl w:ilvl="0">
      <w:lvlJc w:val="left"/>
      <w:lvlText w:val="%1."/>
      <w:numFmt w:val="lowerRoman"/>
      <w:start w:val="3"/>
    </w:lvl>
  </w:abstractNum>
  <w:abstractNum w:abstractNumId="116">
    <w:nsid w:val="519E3149"/>
    <w:multiLevelType w:val="hybridMultilevel"/>
    <w:lvl w:ilvl="0">
      <w:lvlJc w:val="left"/>
      <w:lvlText w:val="%1."/>
      <w:numFmt w:val="lowerRoman"/>
      <w:start w:val="2"/>
    </w:lvl>
  </w:abstractNum>
  <w:abstractNum w:abstractNumId="117">
    <w:nsid w:val="2C6E4AFD"/>
    <w:multiLevelType w:val="hybridMultilevel"/>
    <w:lvl w:ilvl="0">
      <w:lvlJc w:val="left"/>
      <w:lvlText w:val="%1."/>
      <w:numFmt w:val="lowerRoman"/>
      <w:start w:val="3"/>
    </w:lvl>
  </w:abstractNum>
  <w:abstractNum w:abstractNumId="118">
    <w:nsid w:val="17A1B582"/>
    <w:multiLevelType w:val="hybridMultilevel"/>
    <w:lvl w:ilvl="0">
      <w:lvlJc w:val="left"/>
      <w:lvlText w:val="%1."/>
      <w:numFmt w:val="lowerRoman"/>
      <w:start w:val="2"/>
    </w:lvl>
  </w:abstractNum>
  <w:abstractNum w:abstractNumId="119">
    <w:nsid w:val="4DF72E4E"/>
    <w:multiLevelType w:val="hybridMultilevel"/>
    <w:lvl w:ilvl="0">
      <w:lvlJc w:val="left"/>
      <w:lvlText w:val="%1."/>
      <w:numFmt w:val="lowerRoman"/>
      <w:start w:val="3"/>
    </w:lvl>
  </w:abstractNum>
  <w:abstractNum w:abstractNumId="120">
    <w:nsid w:val="5046B5A9"/>
    <w:multiLevelType w:val="hybridMultilevel"/>
    <w:lvl w:ilvl="0">
      <w:lvlJc w:val="left"/>
      <w:lvlText w:val="%1."/>
      <w:numFmt w:val="lowerRoman"/>
      <w:start w:val="2"/>
    </w:lvl>
  </w:abstractNum>
  <w:abstractNum w:abstractNumId="121">
    <w:nsid w:val="5D888A08"/>
    <w:multiLevelType w:val="hybridMultilevel"/>
    <w:lvl w:ilvl="0">
      <w:lvlJc w:val="left"/>
      <w:lvlText w:val="%1."/>
      <w:numFmt w:val="lowerRoman"/>
      <w:start w:val="3"/>
    </w:lvl>
  </w:abstractNum>
  <w:abstractNum w:abstractNumId="122">
    <w:nsid w:val="2A082C70"/>
    <w:multiLevelType w:val="hybridMultilevel"/>
    <w:lvl w:ilvl="0">
      <w:lvlJc w:val="left"/>
      <w:lvlText w:val="%1."/>
      <w:numFmt w:val="lowerRoman"/>
      <w:start w:val="2"/>
    </w:lvl>
  </w:abstractNum>
  <w:abstractNum w:abstractNumId="123">
    <w:nsid w:val="5EC6AFD4"/>
    <w:multiLevelType w:val="hybridMultilevel"/>
    <w:lvl w:ilvl="0">
      <w:lvlJc w:val="left"/>
      <w:lvlText w:val="%1."/>
      <w:numFmt w:val="lowerRoman"/>
      <w:start w:val="3"/>
    </w:lvl>
  </w:abstractNum>
  <w:abstractNum w:abstractNumId="124">
    <w:nsid w:val="19E21BB2"/>
    <w:multiLevelType w:val="hybridMultilevel"/>
    <w:lvl w:ilvl="0">
      <w:lvlJc w:val="left"/>
      <w:lvlText w:val="%1."/>
      <w:numFmt w:val="lowerRoman"/>
      <w:start w:val="2"/>
    </w:lvl>
  </w:abstractNum>
  <w:abstractNum w:abstractNumId="125">
    <w:nsid w:val="75E0858A"/>
    <w:multiLevelType w:val="hybridMultilevel"/>
    <w:lvl w:ilvl="0">
      <w:lvlJc w:val="left"/>
      <w:lvlText w:val="%1."/>
      <w:numFmt w:val="lowerRoman"/>
      <w:start w:val="3"/>
    </w:lvl>
  </w:abstractNum>
  <w:abstractNum w:abstractNumId="126">
    <w:nsid w:val="57A61A29"/>
    <w:multiLevelType w:val="hybridMultilevel"/>
    <w:lvl w:ilvl="0">
      <w:lvlJc w:val="left"/>
      <w:lvlText w:val="2"/>
      <w:numFmt w:val="bullet"/>
      <w:start w:val="1"/>
    </w:lvl>
  </w:abstractNum>
  <w:abstractNum w:abstractNumId="127">
    <w:nsid w:val="5399C654"/>
    <w:multiLevelType w:val="hybridMultilevel"/>
    <w:lvl w:ilvl="0">
      <w:lvlJc w:val="left"/>
      <w:lvlText w:val="(%1)"/>
      <w:numFmt w:val="decimal"/>
      <w:start w:val="1"/>
    </w:lvl>
  </w:abstractNum>
  <w:abstractNum w:abstractNumId="128">
    <w:nsid w:val="20EE1348"/>
    <w:multiLevelType w:val="hybridMultilevel"/>
    <w:lvl w:ilvl="0">
      <w:lvlJc w:val="left"/>
      <w:lvlText w:val="(%1)"/>
      <w:numFmt w:val="decimal"/>
      <w:start w:val="10"/>
    </w:lvl>
  </w:abstractNum>
  <w:abstractNum w:abstractNumId="129">
    <w:nsid w:val="4427069A"/>
    <w:multiLevelType w:val="hybridMultilevel"/>
    <w:lvl w:ilvl="0">
      <w:lvlJc w:val="left"/>
      <w:lvlText w:val="**"/>
      <w:numFmt w:val="bullet"/>
      <w:start w:val="1"/>
    </w:lvl>
  </w:abstractNum>
  <w:abstractNum w:abstractNumId="130">
    <w:nsid w:val="B37E80A"/>
    <w:multiLevelType w:val="hybridMultilevel"/>
    <w:lvl w:ilvl="0">
      <w:lvlJc w:val="left"/>
      <w:lvlText w:val="+"/>
      <w:numFmt w:val="bullet"/>
      <w:start w:val="1"/>
    </w:lvl>
  </w:abstractNum>
  <w:abstractNum w:abstractNumId="131">
    <w:nsid w:val="2157F6BC"/>
    <w:multiLevelType w:val="hybridMultilevel"/>
    <w:lvl w:ilvl="0">
      <w:lvlJc w:val="left"/>
      <w:lvlText w:val="4"/>
      <w:numFmt w:val="bullet"/>
      <w:start w:val="1"/>
    </w:lvl>
  </w:abstractNum>
  <w:abstractNum w:abstractNumId="132">
    <w:nsid w:val="704E1DD5"/>
    <w:multiLevelType w:val="hybridMultilevel"/>
    <w:lvl w:ilvl="0">
      <w:lvlJc w:val="left"/>
      <w:lvlText w:val="•"/>
      <w:numFmt w:val="bullet"/>
      <w:start w:val="1"/>
    </w:lvl>
  </w:abstractNum>
  <w:abstractNum w:abstractNumId="133">
    <w:nsid w:val="57D2F10E"/>
    <w:multiLevelType w:val="hybridMultilevel"/>
    <w:lvl w:ilvl="0">
      <w:lvlJc w:val="left"/>
      <w:lvlText w:val="6"/>
      <w:numFmt w:val="bullet"/>
      <w:start w:val="1"/>
    </w:lvl>
  </w:abstractNum>
  <w:abstractNum w:abstractNumId="134">
    <w:nsid w:val="BFFAE18"/>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jpeg"/><Relationship Id="rId557" Type="http://schemas.openxmlformats.org/officeDocument/2006/relationships/image" Target="media/image550.jpeg"/><Relationship Id="rId558" Type="http://schemas.openxmlformats.org/officeDocument/2006/relationships/image" Target="media/image551.jpeg"/><Relationship Id="rId559" Type="http://schemas.openxmlformats.org/officeDocument/2006/relationships/image" Target="media/image552.jpe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jpe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jpeg"/><Relationship Id="rId586" Type="http://schemas.openxmlformats.org/officeDocument/2006/relationships/image" Target="media/image579.jpeg"/><Relationship Id="rId587" Type="http://schemas.openxmlformats.org/officeDocument/2006/relationships/image" Target="media/image580.jpe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jpeg"/><Relationship Id="rId648" Type="http://schemas.openxmlformats.org/officeDocument/2006/relationships/image" Target="media/image641.jpeg"/><Relationship Id="rId649" Type="http://schemas.openxmlformats.org/officeDocument/2006/relationships/image" Target="media/image642.jpeg"/><Relationship Id="rId650" Type="http://schemas.openxmlformats.org/officeDocument/2006/relationships/image" Target="media/image643.jpeg"/><Relationship Id="rId651" Type="http://schemas.openxmlformats.org/officeDocument/2006/relationships/image" Target="media/image644.jpeg"/><Relationship Id="rId652" Type="http://schemas.openxmlformats.org/officeDocument/2006/relationships/image" Target="media/image645.jpeg"/><Relationship Id="rId653" Type="http://schemas.openxmlformats.org/officeDocument/2006/relationships/image" Target="media/image646.jpeg"/><Relationship Id="rId654" Type="http://schemas.openxmlformats.org/officeDocument/2006/relationships/image" Target="media/image647.jpeg"/><Relationship Id="rId655" Type="http://schemas.openxmlformats.org/officeDocument/2006/relationships/image" Target="media/image648.jpeg"/><Relationship Id="rId656" Type="http://schemas.openxmlformats.org/officeDocument/2006/relationships/image" Target="media/image649.jpeg"/><Relationship Id="rId657" Type="http://schemas.openxmlformats.org/officeDocument/2006/relationships/image" Target="media/image650.jpeg"/><Relationship Id="rId658" Type="http://schemas.openxmlformats.org/officeDocument/2006/relationships/image" Target="media/image651.jpeg"/><Relationship Id="rId659" Type="http://schemas.openxmlformats.org/officeDocument/2006/relationships/image" Target="media/image652.jpe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jpe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jpeg"/><Relationship Id="rId704" Type="http://schemas.openxmlformats.org/officeDocument/2006/relationships/image" Target="media/image697.jpeg"/><Relationship Id="rId705" Type="http://schemas.openxmlformats.org/officeDocument/2006/relationships/image" Target="media/image698.jpeg"/><Relationship Id="rId706" Type="http://schemas.openxmlformats.org/officeDocument/2006/relationships/image" Target="media/image699.jpeg"/><Relationship Id="rId707" Type="http://schemas.openxmlformats.org/officeDocument/2006/relationships/image" Target="media/image700.jpeg"/><Relationship Id="rId708" Type="http://schemas.openxmlformats.org/officeDocument/2006/relationships/image" Target="media/image701.jpeg"/><Relationship Id="rId709" Type="http://schemas.openxmlformats.org/officeDocument/2006/relationships/image" Target="media/image702.jpeg"/><Relationship Id="rId710" Type="http://schemas.openxmlformats.org/officeDocument/2006/relationships/image" Target="media/image703.jpeg"/><Relationship Id="rId711" Type="http://schemas.openxmlformats.org/officeDocument/2006/relationships/image" Target="media/image704.jpe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jpeg"/><Relationship Id="rId744" Type="http://schemas.openxmlformats.org/officeDocument/2006/relationships/image" Target="media/image737.jpeg"/><Relationship Id="rId745" Type="http://schemas.openxmlformats.org/officeDocument/2006/relationships/image" Target="media/image738.jpe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jpeg"/><Relationship Id="rId788" Type="http://schemas.openxmlformats.org/officeDocument/2006/relationships/image" Target="media/image781.jpeg"/><Relationship Id="rId789" Type="http://schemas.openxmlformats.org/officeDocument/2006/relationships/image" Target="media/image782.jpe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jpe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jpe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jpeg"/><Relationship Id="rId881" Type="http://schemas.openxmlformats.org/officeDocument/2006/relationships/image" Target="media/image874.jpeg"/><Relationship Id="rId882" Type="http://schemas.openxmlformats.org/officeDocument/2006/relationships/image" Target="media/image875.jpe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jpeg"/><Relationship Id="rId896" Type="http://schemas.openxmlformats.org/officeDocument/2006/relationships/image" Target="media/image889.jpe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jpe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jpeg"/><Relationship Id="rId922" Type="http://schemas.openxmlformats.org/officeDocument/2006/relationships/image" Target="media/image915.jpeg"/><Relationship Id="rId923" Type="http://schemas.openxmlformats.org/officeDocument/2006/relationships/image" Target="media/image916.jpeg"/><Relationship Id="rId924" Type="http://schemas.openxmlformats.org/officeDocument/2006/relationships/image" Target="media/image917.jpe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jpe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jpeg"/><Relationship Id="rId943" Type="http://schemas.openxmlformats.org/officeDocument/2006/relationships/image" Target="media/image936.jpeg"/><Relationship Id="rId944" Type="http://schemas.openxmlformats.org/officeDocument/2006/relationships/image" Target="media/image937.jpe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jpeg"/><Relationship Id="rId948" Type="http://schemas.openxmlformats.org/officeDocument/2006/relationships/image" Target="media/image941.jpeg"/><Relationship Id="rId949" Type="http://schemas.openxmlformats.org/officeDocument/2006/relationships/image" Target="media/image942.jpe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jpeg"/><Relationship Id="rId955" Type="http://schemas.openxmlformats.org/officeDocument/2006/relationships/image" Target="media/image948.jpe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jpeg"/><Relationship Id="rId969" Type="http://schemas.openxmlformats.org/officeDocument/2006/relationships/image" Target="media/image962.jpeg"/><Relationship Id="rId970" Type="http://schemas.openxmlformats.org/officeDocument/2006/relationships/image" Target="media/image963.jpe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jpeg"/><Relationship Id="rId1004" Type="http://schemas.openxmlformats.org/officeDocument/2006/relationships/image" Target="media/image997.jpe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jpeg"/><Relationship Id="rId1083" Type="http://schemas.openxmlformats.org/officeDocument/2006/relationships/image" Target="media/image1076.jpe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jpeg"/><Relationship Id="rId1129" Type="http://schemas.openxmlformats.org/officeDocument/2006/relationships/image" Target="media/image1122.jpe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jpeg"/><Relationship Id="rId1164" Type="http://schemas.openxmlformats.org/officeDocument/2006/relationships/image" Target="media/image1157.jpeg"/><Relationship Id="rId1165" Type="http://schemas.openxmlformats.org/officeDocument/2006/relationships/image" Target="media/image1158.jpe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jpeg"/><Relationship Id="rId1222" Type="http://schemas.openxmlformats.org/officeDocument/2006/relationships/image" Target="media/image1215.jpeg"/><Relationship Id="rId1223" Type="http://schemas.openxmlformats.org/officeDocument/2006/relationships/image" Target="media/image1216.jpeg"/><Relationship Id="rId1224" Type="http://schemas.openxmlformats.org/officeDocument/2006/relationships/image" Target="media/image1217.jpeg"/><Relationship Id="rId1225" Type="http://schemas.openxmlformats.org/officeDocument/2006/relationships/image" Target="media/image1218.jpeg"/><Relationship Id="rId1226" Type="http://schemas.openxmlformats.org/officeDocument/2006/relationships/image" Target="media/image1219.jpeg"/><Relationship Id="rId1227" Type="http://schemas.openxmlformats.org/officeDocument/2006/relationships/image" Target="media/image1220.jpeg"/><Relationship Id="rId1228" Type="http://schemas.openxmlformats.org/officeDocument/2006/relationships/image" Target="media/image1221.jpe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jpeg"/><Relationship Id="rId1244" Type="http://schemas.openxmlformats.org/officeDocument/2006/relationships/image" Target="media/image1237.jpeg"/><Relationship Id="rId1245" Type="http://schemas.openxmlformats.org/officeDocument/2006/relationships/image" Target="media/image1238.jpeg"/><Relationship Id="rId1246" Type="http://schemas.openxmlformats.org/officeDocument/2006/relationships/image" Target="media/image1239.jpeg"/><Relationship Id="rId1247" Type="http://schemas.openxmlformats.org/officeDocument/2006/relationships/image" Target="media/image1240.jpeg"/><Relationship Id="rId1248" Type="http://schemas.openxmlformats.org/officeDocument/2006/relationships/image" Target="media/image1241.jpeg"/><Relationship Id="rId1249" Type="http://schemas.openxmlformats.org/officeDocument/2006/relationships/image" Target="media/image1242.jpeg"/><Relationship Id="rId1250" Type="http://schemas.openxmlformats.org/officeDocument/2006/relationships/image" Target="media/image1243.jpeg"/><Relationship Id="rId1251" Type="http://schemas.openxmlformats.org/officeDocument/2006/relationships/image" Target="media/image1244.jpeg"/><Relationship Id="rId1252" Type="http://schemas.openxmlformats.org/officeDocument/2006/relationships/image" Target="media/image1245.jpeg"/><Relationship Id="rId1253" Type="http://schemas.openxmlformats.org/officeDocument/2006/relationships/image" Target="media/image1246.jpe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jpeg"/><Relationship Id="rId1260" Type="http://schemas.openxmlformats.org/officeDocument/2006/relationships/image" Target="media/image1253.jpeg"/><Relationship Id="rId1261" Type="http://schemas.openxmlformats.org/officeDocument/2006/relationships/image" Target="media/image1254.jpeg"/><Relationship Id="rId1262" Type="http://schemas.openxmlformats.org/officeDocument/2006/relationships/image" Target="media/image1255.jpeg"/><Relationship Id="rId1263" Type="http://schemas.openxmlformats.org/officeDocument/2006/relationships/image" Target="media/image1256.jpeg"/><Relationship Id="rId1264" Type="http://schemas.openxmlformats.org/officeDocument/2006/relationships/image" Target="media/image1257.jpeg"/><Relationship Id="rId1265" Type="http://schemas.openxmlformats.org/officeDocument/2006/relationships/image" Target="media/image1258.jpeg"/><Relationship Id="rId1266" Type="http://schemas.openxmlformats.org/officeDocument/2006/relationships/image" Target="media/image1259.jpeg"/><Relationship Id="rId1267" Type="http://schemas.openxmlformats.org/officeDocument/2006/relationships/image" Target="media/image1260.jpeg"/><Relationship Id="rId1268" Type="http://schemas.openxmlformats.org/officeDocument/2006/relationships/image" Target="media/image1261.jpeg"/><Relationship Id="rId1269" Type="http://schemas.openxmlformats.org/officeDocument/2006/relationships/image" Target="media/image1262.jpe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jpeg"/><Relationship Id="rId1273" Type="http://schemas.openxmlformats.org/officeDocument/2006/relationships/image" Target="media/image1266.jpeg"/><Relationship Id="rId1274" Type="http://schemas.openxmlformats.org/officeDocument/2006/relationships/image" Target="media/image1267.jpeg"/><Relationship Id="rId1275" Type="http://schemas.openxmlformats.org/officeDocument/2006/relationships/image" Target="media/image1268.jpeg"/><Relationship Id="rId1276" Type="http://schemas.openxmlformats.org/officeDocument/2006/relationships/image" Target="media/image1269.jpeg"/><Relationship Id="rId1277" Type="http://schemas.openxmlformats.org/officeDocument/2006/relationships/image" Target="media/image1270.jpeg"/><Relationship Id="rId1278" Type="http://schemas.openxmlformats.org/officeDocument/2006/relationships/image" Target="media/image1271.jpeg"/><Relationship Id="rId1279" Type="http://schemas.openxmlformats.org/officeDocument/2006/relationships/image" Target="media/image1272.jpeg"/><Relationship Id="rId1280" Type="http://schemas.openxmlformats.org/officeDocument/2006/relationships/image" Target="media/image1273.jpeg"/><Relationship Id="rId1281" Type="http://schemas.openxmlformats.org/officeDocument/2006/relationships/image" Target="media/image1274.jpeg"/><Relationship Id="rId1282" Type="http://schemas.openxmlformats.org/officeDocument/2006/relationships/image" Target="media/image1275.jpeg"/><Relationship Id="rId1283" Type="http://schemas.openxmlformats.org/officeDocument/2006/relationships/image" Target="media/image1276.jpe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jpeg"/><Relationship Id="rId1287" Type="http://schemas.openxmlformats.org/officeDocument/2006/relationships/image" Target="media/image1280.jpeg"/><Relationship Id="rId1288" Type="http://schemas.openxmlformats.org/officeDocument/2006/relationships/image" Target="media/image1281.jpeg"/><Relationship Id="rId1289" Type="http://schemas.openxmlformats.org/officeDocument/2006/relationships/image" Target="media/image1282.jpeg"/><Relationship Id="rId1290" Type="http://schemas.openxmlformats.org/officeDocument/2006/relationships/image" Target="media/image1283.jpeg"/><Relationship Id="rId1291" Type="http://schemas.openxmlformats.org/officeDocument/2006/relationships/image" Target="media/image1284.jpeg"/><Relationship Id="rId1292" Type="http://schemas.openxmlformats.org/officeDocument/2006/relationships/image" Target="media/image1285.jpeg"/><Relationship Id="rId1293" Type="http://schemas.openxmlformats.org/officeDocument/2006/relationships/image" Target="media/image1286.jpeg"/><Relationship Id="rId1294" Type="http://schemas.openxmlformats.org/officeDocument/2006/relationships/image" Target="media/image1287.jpeg"/><Relationship Id="rId1295" Type="http://schemas.openxmlformats.org/officeDocument/2006/relationships/image" Target="media/image1288.jpeg"/><Relationship Id="rId1296" Type="http://schemas.openxmlformats.org/officeDocument/2006/relationships/image" Target="media/image1289.jpeg"/><Relationship Id="rId1297" Type="http://schemas.openxmlformats.org/officeDocument/2006/relationships/image" Target="media/image1290.jpeg"/><Relationship Id="rId1298" Type="http://schemas.openxmlformats.org/officeDocument/2006/relationships/image" Target="media/image1291.jpeg"/><Relationship Id="rId1299" Type="http://schemas.openxmlformats.org/officeDocument/2006/relationships/image" Target="media/image1292.jpeg"/><Relationship Id="rId1300" Type="http://schemas.openxmlformats.org/officeDocument/2006/relationships/image" Target="media/image1293.jpeg"/><Relationship Id="rId1301" Type="http://schemas.openxmlformats.org/officeDocument/2006/relationships/image" Target="media/image1294.jpeg"/><Relationship Id="rId1302" Type="http://schemas.openxmlformats.org/officeDocument/2006/relationships/image" Target="media/image1295.jpeg"/><Relationship Id="rId1303" Type="http://schemas.openxmlformats.org/officeDocument/2006/relationships/image" Target="media/image1296.jpeg"/><Relationship Id="rId1304" Type="http://schemas.openxmlformats.org/officeDocument/2006/relationships/image" Target="media/image1297.jpeg"/><Relationship Id="rId1305" Type="http://schemas.openxmlformats.org/officeDocument/2006/relationships/image" Target="media/image1298.jpeg"/><Relationship Id="rId1306" Type="http://schemas.openxmlformats.org/officeDocument/2006/relationships/image" Target="media/image1299.jpeg"/><Relationship Id="rId1307" Type="http://schemas.openxmlformats.org/officeDocument/2006/relationships/image" Target="media/image1300.jpeg"/><Relationship Id="rId1308" Type="http://schemas.openxmlformats.org/officeDocument/2006/relationships/image" Target="media/image1301.jpeg"/><Relationship Id="rId1309" Type="http://schemas.openxmlformats.org/officeDocument/2006/relationships/image" Target="media/image1302.jpeg"/><Relationship Id="rId1310" Type="http://schemas.openxmlformats.org/officeDocument/2006/relationships/image" Target="media/image1303.jpeg"/><Relationship Id="rId1311" Type="http://schemas.openxmlformats.org/officeDocument/2006/relationships/image" Target="media/image1304.jpeg"/><Relationship Id="rId1312" Type="http://schemas.openxmlformats.org/officeDocument/2006/relationships/image" Target="media/image1305.jpeg"/><Relationship Id="rId1313" Type="http://schemas.openxmlformats.org/officeDocument/2006/relationships/image" Target="media/image1306.jpeg"/><Relationship Id="rId1314" Type="http://schemas.openxmlformats.org/officeDocument/2006/relationships/image" Target="media/image1307.jpeg"/><Relationship Id="rId1315" Type="http://schemas.openxmlformats.org/officeDocument/2006/relationships/image" Target="media/image1308.jpeg"/><Relationship Id="rId1316" Type="http://schemas.openxmlformats.org/officeDocument/2006/relationships/image" Target="media/image1309.jpeg"/><Relationship Id="rId1317" Type="http://schemas.openxmlformats.org/officeDocument/2006/relationships/image" Target="media/image1310.jpeg"/><Relationship Id="rId1318" Type="http://schemas.openxmlformats.org/officeDocument/2006/relationships/image" Target="media/image1311.jpeg"/><Relationship Id="rId1319" Type="http://schemas.openxmlformats.org/officeDocument/2006/relationships/image" Target="media/image1312.jpe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jpeg"/><Relationship Id="rId1323" Type="http://schemas.openxmlformats.org/officeDocument/2006/relationships/image" Target="media/image1316.jpeg"/><Relationship Id="rId1324" Type="http://schemas.openxmlformats.org/officeDocument/2006/relationships/image" Target="media/image1317.jpeg"/><Relationship Id="rId1325" Type="http://schemas.openxmlformats.org/officeDocument/2006/relationships/image" Target="media/image1318.jpeg"/><Relationship Id="rId1326" Type="http://schemas.openxmlformats.org/officeDocument/2006/relationships/image" Target="media/image1319.jpeg"/><Relationship Id="rId1327" Type="http://schemas.openxmlformats.org/officeDocument/2006/relationships/image" Target="media/image1320.jpeg"/><Relationship Id="rId1328" Type="http://schemas.openxmlformats.org/officeDocument/2006/relationships/image" Target="media/image1321.jpeg"/><Relationship Id="rId1329" Type="http://schemas.openxmlformats.org/officeDocument/2006/relationships/image" Target="media/image1322.jpeg"/><Relationship Id="rId1330" Type="http://schemas.openxmlformats.org/officeDocument/2006/relationships/image" Target="media/image1323.jpeg"/><Relationship Id="rId1331" Type="http://schemas.openxmlformats.org/officeDocument/2006/relationships/image" Target="media/image1324.jpeg"/><Relationship Id="rId1332" Type="http://schemas.openxmlformats.org/officeDocument/2006/relationships/image" Target="media/image1325.jpeg"/><Relationship Id="rId1333" Type="http://schemas.openxmlformats.org/officeDocument/2006/relationships/image" Target="media/image1326.jpeg"/><Relationship Id="rId1334" Type="http://schemas.openxmlformats.org/officeDocument/2006/relationships/image" Target="media/image1327.jpeg"/><Relationship Id="rId1335" Type="http://schemas.openxmlformats.org/officeDocument/2006/relationships/image" Target="media/image1328.jpeg"/><Relationship Id="rId1336" Type="http://schemas.openxmlformats.org/officeDocument/2006/relationships/image" Target="media/image1329.jpeg"/><Relationship Id="rId1337" Type="http://schemas.openxmlformats.org/officeDocument/2006/relationships/image" Target="media/image1330.jpeg"/><Relationship Id="rId1338" Type="http://schemas.openxmlformats.org/officeDocument/2006/relationships/image" Target="media/image1331.jpeg"/><Relationship Id="rId1339" Type="http://schemas.openxmlformats.org/officeDocument/2006/relationships/image" Target="media/image1332.jpeg"/><Relationship Id="rId1340" Type="http://schemas.openxmlformats.org/officeDocument/2006/relationships/image" Target="media/image1333.jpeg"/><Relationship Id="rId1341" Type="http://schemas.openxmlformats.org/officeDocument/2006/relationships/image" Target="media/image1334.jpeg"/><Relationship Id="rId1342" Type="http://schemas.openxmlformats.org/officeDocument/2006/relationships/image" Target="media/image1335.jpeg"/><Relationship Id="rId1343" Type="http://schemas.openxmlformats.org/officeDocument/2006/relationships/image" Target="media/image1336.jpeg"/><Relationship Id="rId1344" Type="http://schemas.openxmlformats.org/officeDocument/2006/relationships/image" Target="media/image1337.jpe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jpeg"/><Relationship Id="rId1348" Type="http://schemas.openxmlformats.org/officeDocument/2006/relationships/image" Target="media/image1341.jpeg"/><Relationship Id="rId1349" Type="http://schemas.openxmlformats.org/officeDocument/2006/relationships/image" Target="media/image1342.jpeg"/><Relationship Id="rId1350" Type="http://schemas.openxmlformats.org/officeDocument/2006/relationships/image" Target="media/image1343.jpeg"/><Relationship Id="rId1351" Type="http://schemas.openxmlformats.org/officeDocument/2006/relationships/image" Target="media/image1344.jpeg"/><Relationship Id="rId1352" Type="http://schemas.openxmlformats.org/officeDocument/2006/relationships/image" Target="media/image1345.jpeg"/><Relationship Id="rId1353" Type="http://schemas.openxmlformats.org/officeDocument/2006/relationships/image" Target="media/image1346.jpe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jpeg"/><Relationship Id="rId1366" Type="http://schemas.openxmlformats.org/officeDocument/2006/relationships/image" Target="media/image1359.jpeg"/><Relationship Id="rId1367" Type="http://schemas.openxmlformats.org/officeDocument/2006/relationships/image" Target="media/image1360.jpeg"/><Relationship Id="rId1368" Type="http://schemas.openxmlformats.org/officeDocument/2006/relationships/image" Target="media/image1361.jpeg"/><Relationship Id="rId1369" Type="http://schemas.openxmlformats.org/officeDocument/2006/relationships/image" Target="media/image1362.jpeg"/><Relationship Id="rId1370" Type="http://schemas.openxmlformats.org/officeDocument/2006/relationships/image" Target="media/image1363.jpe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jpeg"/><Relationship Id="rId1374" Type="http://schemas.openxmlformats.org/officeDocument/2006/relationships/image" Target="media/image1367.jpeg"/><Relationship Id="rId1375" Type="http://schemas.openxmlformats.org/officeDocument/2006/relationships/image" Target="media/image1368.jpeg"/><Relationship Id="rId1376" Type="http://schemas.openxmlformats.org/officeDocument/2006/relationships/image" Target="media/image1369.jpeg"/><Relationship Id="rId1377" Type="http://schemas.openxmlformats.org/officeDocument/2006/relationships/image" Target="media/image1370.jpeg"/><Relationship Id="rId1378" Type="http://schemas.openxmlformats.org/officeDocument/2006/relationships/image" Target="media/image1371.jpeg"/><Relationship Id="rId1379" Type="http://schemas.openxmlformats.org/officeDocument/2006/relationships/image" Target="media/image1372.jpeg"/><Relationship Id="rId1380" Type="http://schemas.openxmlformats.org/officeDocument/2006/relationships/image" Target="media/image1373.jpeg"/><Relationship Id="rId1381" Type="http://schemas.openxmlformats.org/officeDocument/2006/relationships/image" Target="media/image1374.jpeg"/><Relationship Id="rId1382" Type="http://schemas.openxmlformats.org/officeDocument/2006/relationships/image" Target="media/image1375.jpeg"/><Relationship Id="rId1383" Type="http://schemas.openxmlformats.org/officeDocument/2006/relationships/image" Target="media/image1376.jpeg"/><Relationship Id="rId1384" Type="http://schemas.openxmlformats.org/officeDocument/2006/relationships/image" Target="media/image1377.jpeg"/><Relationship Id="rId1385" Type="http://schemas.openxmlformats.org/officeDocument/2006/relationships/image" Target="media/image1378.jpeg"/><Relationship Id="rId1386" Type="http://schemas.openxmlformats.org/officeDocument/2006/relationships/image" Target="media/image1379.jpeg"/><Relationship Id="rId1387" Type="http://schemas.openxmlformats.org/officeDocument/2006/relationships/image" Target="media/image1380.jpeg"/><Relationship Id="rId1388" Type="http://schemas.openxmlformats.org/officeDocument/2006/relationships/image" Target="media/image1381.jpeg"/><Relationship Id="rId1389" Type="http://schemas.openxmlformats.org/officeDocument/2006/relationships/image" Target="media/image1382.jpeg"/><Relationship Id="rId1390" Type="http://schemas.openxmlformats.org/officeDocument/2006/relationships/image" Target="media/image1383.jpe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jpeg"/><Relationship Id="rId1394" Type="http://schemas.openxmlformats.org/officeDocument/2006/relationships/image" Target="media/image1387.jpeg"/><Relationship Id="rId1395" Type="http://schemas.openxmlformats.org/officeDocument/2006/relationships/image" Target="media/image1388.jpeg"/><Relationship Id="rId1396" Type="http://schemas.openxmlformats.org/officeDocument/2006/relationships/image" Target="media/image1389.jpeg"/><Relationship Id="rId1397" Type="http://schemas.openxmlformats.org/officeDocument/2006/relationships/image" Target="media/image1390.jpeg"/><Relationship Id="rId1398" Type="http://schemas.openxmlformats.org/officeDocument/2006/relationships/image" Target="media/image1391.jpeg"/><Relationship Id="rId1399" Type="http://schemas.openxmlformats.org/officeDocument/2006/relationships/image" Target="media/image1392.jpe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jpe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jpeg"/><Relationship Id="rId1409" Type="http://schemas.openxmlformats.org/officeDocument/2006/relationships/image" Target="media/image1402.jpeg"/><Relationship Id="rId1410" Type="http://schemas.openxmlformats.org/officeDocument/2006/relationships/image" Target="media/image1403.jpeg"/><Relationship Id="rId1411" Type="http://schemas.openxmlformats.org/officeDocument/2006/relationships/image" Target="media/image1404.jpeg"/><Relationship Id="rId1412" Type="http://schemas.openxmlformats.org/officeDocument/2006/relationships/image" Target="media/image1405.jpeg"/><Relationship Id="rId1413" Type="http://schemas.openxmlformats.org/officeDocument/2006/relationships/image" Target="media/image1406.jpe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jpeg"/><Relationship Id="rId1418" Type="http://schemas.openxmlformats.org/officeDocument/2006/relationships/image" Target="media/image1411.jpeg"/><Relationship Id="rId1419" Type="http://schemas.openxmlformats.org/officeDocument/2006/relationships/image" Target="media/image1412.jpeg"/><Relationship Id="rId1420" Type="http://schemas.openxmlformats.org/officeDocument/2006/relationships/image" Target="media/image1413.jpeg"/><Relationship Id="rId1421" Type="http://schemas.openxmlformats.org/officeDocument/2006/relationships/image" Target="media/image1414.jpe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jpeg"/><Relationship Id="rId1425" Type="http://schemas.openxmlformats.org/officeDocument/2006/relationships/image" Target="media/image1418.jpeg"/><Relationship Id="rId1426" Type="http://schemas.openxmlformats.org/officeDocument/2006/relationships/image" Target="media/image1419.jpeg"/><Relationship Id="rId1427" Type="http://schemas.openxmlformats.org/officeDocument/2006/relationships/image" Target="media/image1420.jpeg"/><Relationship Id="rId1428" Type="http://schemas.openxmlformats.org/officeDocument/2006/relationships/image" Target="media/image1421.jpeg"/><Relationship Id="rId1429" Type="http://schemas.openxmlformats.org/officeDocument/2006/relationships/image" Target="media/image1422.jpeg"/><Relationship Id="rId1430" Type="http://schemas.openxmlformats.org/officeDocument/2006/relationships/image" Target="media/image1423.jpeg"/><Relationship Id="rId1431" Type="http://schemas.openxmlformats.org/officeDocument/2006/relationships/image" Target="media/image1424.jpeg"/><Relationship Id="rId1432" Type="http://schemas.openxmlformats.org/officeDocument/2006/relationships/image" Target="media/image1425.jpeg"/><Relationship Id="rId1433" Type="http://schemas.openxmlformats.org/officeDocument/2006/relationships/image" Target="media/image1426.jpe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jpe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jpeg"/><Relationship Id="rId1464" Type="http://schemas.openxmlformats.org/officeDocument/2006/relationships/image" Target="media/image1457.jpeg"/><Relationship Id="rId1465" Type="http://schemas.openxmlformats.org/officeDocument/2006/relationships/image" Target="media/image1458.jpeg"/><Relationship Id="rId1466" Type="http://schemas.openxmlformats.org/officeDocument/2006/relationships/image" Target="media/image1459.jpeg"/><Relationship Id="rId1467" Type="http://schemas.openxmlformats.org/officeDocument/2006/relationships/image" Target="media/image1460.jpeg"/><Relationship Id="rId1468" Type="http://schemas.openxmlformats.org/officeDocument/2006/relationships/image" Target="media/image1461.jpeg"/><Relationship Id="rId1469" Type="http://schemas.openxmlformats.org/officeDocument/2006/relationships/image" Target="media/image1462.jpeg"/><Relationship Id="rId1470" Type="http://schemas.openxmlformats.org/officeDocument/2006/relationships/image" Target="media/image1463.jpeg"/><Relationship Id="rId1471" Type="http://schemas.openxmlformats.org/officeDocument/2006/relationships/image" Target="media/image1464.jpeg"/><Relationship Id="rId1472" Type="http://schemas.openxmlformats.org/officeDocument/2006/relationships/image" Target="media/image1465.jpeg"/><Relationship Id="rId1473" Type="http://schemas.openxmlformats.org/officeDocument/2006/relationships/image" Target="media/image1466.jpeg"/><Relationship Id="rId1474" Type="http://schemas.openxmlformats.org/officeDocument/2006/relationships/image" Target="media/image1467.jpeg"/><Relationship Id="rId1475" Type="http://schemas.openxmlformats.org/officeDocument/2006/relationships/image" Target="media/image1468.jpeg"/><Relationship Id="rId1476" Type="http://schemas.openxmlformats.org/officeDocument/2006/relationships/image" Target="media/image1469.jpeg"/><Relationship Id="rId1477" Type="http://schemas.openxmlformats.org/officeDocument/2006/relationships/image" Target="media/image1470.jpeg"/><Relationship Id="rId1478" Type="http://schemas.openxmlformats.org/officeDocument/2006/relationships/image" Target="media/image1471.jpeg"/><Relationship Id="rId1479" Type="http://schemas.openxmlformats.org/officeDocument/2006/relationships/image" Target="media/image1472.jpeg"/><Relationship Id="rId1480" Type="http://schemas.openxmlformats.org/officeDocument/2006/relationships/image" Target="media/image1473.jpeg"/><Relationship Id="rId1481" Type="http://schemas.openxmlformats.org/officeDocument/2006/relationships/image" Target="media/image1474.jpeg"/><Relationship Id="rId1482" Type="http://schemas.openxmlformats.org/officeDocument/2006/relationships/image" Target="media/image1475.jpeg"/><Relationship Id="rId1483" Type="http://schemas.openxmlformats.org/officeDocument/2006/relationships/image" Target="media/image1476.jpeg"/><Relationship Id="rId1484" Type="http://schemas.openxmlformats.org/officeDocument/2006/relationships/image" Target="media/image1477.jpeg"/><Relationship Id="rId1485" Type="http://schemas.openxmlformats.org/officeDocument/2006/relationships/image" Target="media/image1478.jpeg"/><Relationship Id="rId1486" Type="http://schemas.openxmlformats.org/officeDocument/2006/relationships/image" Target="media/image1479.jpeg"/><Relationship Id="rId1487" Type="http://schemas.openxmlformats.org/officeDocument/2006/relationships/image" Target="media/image1480.jpeg"/><Relationship Id="rId1488" Type="http://schemas.openxmlformats.org/officeDocument/2006/relationships/image" Target="media/image1481.jpeg"/><Relationship Id="rId1489" Type="http://schemas.openxmlformats.org/officeDocument/2006/relationships/image" Target="media/image1482.jpeg"/><Relationship Id="rId1490" Type="http://schemas.openxmlformats.org/officeDocument/2006/relationships/image" Target="media/image1483.jpeg"/><Relationship Id="rId1491" Type="http://schemas.openxmlformats.org/officeDocument/2006/relationships/image" Target="media/image1484.jpeg"/><Relationship Id="rId1492" Type="http://schemas.openxmlformats.org/officeDocument/2006/relationships/image" Target="media/image1485.jpeg"/><Relationship Id="rId1493" Type="http://schemas.openxmlformats.org/officeDocument/2006/relationships/image" Target="media/image1486.jpeg"/><Relationship Id="rId1494" Type="http://schemas.openxmlformats.org/officeDocument/2006/relationships/image" Target="media/image1487.jpeg"/><Relationship Id="rId1495" Type="http://schemas.openxmlformats.org/officeDocument/2006/relationships/image" Target="media/image1488.jpeg"/><Relationship Id="rId1496" Type="http://schemas.openxmlformats.org/officeDocument/2006/relationships/image" Target="media/image1489.jpeg"/><Relationship Id="rId1497" Type="http://schemas.openxmlformats.org/officeDocument/2006/relationships/image" Target="media/image1490.jpeg"/><Relationship Id="rId1498" Type="http://schemas.openxmlformats.org/officeDocument/2006/relationships/image" Target="media/image1491.jpeg"/><Relationship Id="rId1499" Type="http://schemas.openxmlformats.org/officeDocument/2006/relationships/image" Target="media/image1492.jpeg"/><Relationship Id="rId1500" Type="http://schemas.openxmlformats.org/officeDocument/2006/relationships/image" Target="media/image1493.jpeg"/><Relationship Id="rId1501" Type="http://schemas.openxmlformats.org/officeDocument/2006/relationships/image" Target="media/image1494.jpeg"/><Relationship Id="rId1502" Type="http://schemas.openxmlformats.org/officeDocument/2006/relationships/image" Target="media/image1495.jpeg"/><Relationship Id="rId1503" Type="http://schemas.openxmlformats.org/officeDocument/2006/relationships/image" Target="media/image1496.jpeg"/><Relationship Id="rId1504" Type="http://schemas.openxmlformats.org/officeDocument/2006/relationships/image" Target="media/image1497.jpeg"/><Relationship Id="rId1505" Type="http://schemas.openxmlformats.org/officeDocument/2006/relationships/image" Target="media/image1498.jpeg"/><Relationship Id="rId1506" Type="http://schemas.openxmlformats.org/officeDocument/2006/relationships/image" Target="media/image1499.jpeg"/><Relationship Id="rId1507" Type="http://schemas.openxmlformats.org/officeDocument/2006/relationships/image" Target="media/image1500.jpeg"/><Relationship Id="rId1508" Type="http://schemas.openxmlformats.org/officeDocument/2006/relationships/image" Target="media/image1501.jpeg"/><Relationship Id="rId1509" Type="http://schemas.openxmlformats.org/officeDocument/2006/relationships/image" Target="media/image1502.jpeg"/><Relationship Id="rId1510" Type="http://schemas.openxmlformats.org/officeDocument/2006/relationships/image" Target="media/image1503.jpeg"/><Relationship Id="rId1511" Type="http://schemas.openxmlformats.org/officeDocument/2006/relationships/image" Target="media/image1504.jpeg"/><Relationship Id="rId1512" Type="http://schemas.openxmlformats.org/officeDocument/2006/relationships/image" Target="media/image1505.jpeg"/><Relationship Id="rId1513" Type="http://schemas.openxmlformats.org/officeDocument/2006/relationships/image" Target="media/image1506.jpeg"/><Relationship Id="rId1514" Type="http://schemas.openxmlformats.org/officeDocument/2006/relationships/image" Target="media/image1507.jpeg"/><Relationship Id="rId1515" Type="http://schemas.openxmlformats.org/officeDocument/2006/relationships/image" Target="media/image1508.jpeg"/><Relationship Id="rId1516" Type="http://schemas.openxmlformats.org/officeDocument/2006/relationships/image" Target="media/image1509.jpeg"/><Relationship Id="rId1517" Type="http://schemas.openxmlformats.org/officeDocument/2006/relationships/image" Target="media/image1510.jpeg"/><Relationship Id="rId1518" Type="http://schemas.openxmlformats.org/officeDocument/2006/relationships/image" Target="media/image1511.jpeg"/><Relationship Id="rId1519" Type="http://schemas.openxmlformats.org/officeDocument/2006/relationships/image" Target="media/image1512.jpeg"/><Relationship Id="rId1520" Type="http://schemas.openxmlformats.org/officeDocument/2006/relationships/image" Target="media/image1513.jpeg"/><Relationship Id="rId1521" Type="http://schemas.openxmlformats.org/officeDocument/2006/relationships/image" Target="media/image1514.jpeg"/><Relationship Id="rId1522" Type="http://schemas.openxmlformats.org/officeDocument/2006/relationships/image" Target="media/image1515.jpeg"/><Relationship Id="rId1523" Type="http://schemas.openxmlformats.org/officeDocument/2006/relationships/image" Target="media/image1516.jpeg"/><Relationship Id="rId1524" Type="http://schemas.openxmlformats.org/officeDocument/2006/relationships/image" Target="media/image1517.jpeg"/><Relationship Id="rId1525" Type="http://schemas.openxmlformats.org/officeDocument/2006/relationships/image" Target="media/image1518.jpeg"/><Relationship Id="rId1526" Type="http://schemas.openxmlformats.org/officeDocument/2006/relationships/image" Target="media/image1519.jpeg"/><Relationship Id="rId1527" Type="http://schemas.openxmlformats.org/officeDocument/2006/relationships/image" Target="media/image1520.jpeg"/><Relationship Id="rId1528" Type="http://schemas.openxmlformats.org/officeDocument/2006/relationships/image" Target="media/image1521.jpeg"/><Relationship Id="rId1529" Type="http://schemas.openxmlformats.org/officeDocument/2006/relationships/image" Target="media/image1522.jpeg"/><Relationship Id="rId1530" Type="http://schemas.openxmlformats.org/officeDocument/2006/relationships/image" Target="media/image1523.jpeg"/><Relationship Id="rId1531" Type="http://schemas.openxmlformats.org/officeDocument/2006/relationships/image" Target="media/image1524.jpeg"/><Relationship Id="rId1532" Type="http://schemas.openxmlformats.org/officeDocument/2006/relationships/image" Target="media/image1525.jpeg"/><Relationship Id="rId1533" Type="http://schemas.openxmlformats.org/officeDocument/2006/relationships/image" Target="media/image1526.jpeg"/><Relationship Id="rId1534" Type="http://schemas.openxmlformats.org/officeDocument/2006/relationships/image" Target="media/image1527.jpeg"/><Relationship Id="rId1535" Type="http://schemas.openxmlformats.org/officeDocument/2006/relationships/image" Target="media/image1528.jpeg"/><Relationship Id="rId1536" Type="http://schemas.openxmlformats.org/officeDocument/2006/relationships/image" Target="media/image1529.jpeg"/><Relationship Id="rId1537" Type="http://schemas.openxmlformats.org/officeDocument/2006/relationships/image" Target="media/image1530.jpeg"/><Relationship Id="rId1538" Type="http://schemas.openxmlformats.org/officeDocument/2006/relationships/image" Target="media/image1531.jpeg"/><Relationship Id="rId1539" Type="http://schemas.openxmlformats.org/officeDocument/2006/relationships/image" Target="media/image1532.jpeg"/><Relationship Id="rId1540" Type="http://schemas.openxmlformats.org/officeDocument/2006/relationships/image" Target="media/image1533.jpeg"/><Relationship Id="rId1541" Type="http://schemas.openxmlformats.org/officeDocument/2006/relationships/image" Target="media/image1534.jpeg"/><Relationship Id="rId1542" Type="http://schemas.openxmlformats.org/officeDocument/2006/relationships/image" Target="media/image1535.jpeg"/><Relationship Id="rId1543" Type="http://schemas.openxmlformats.org/officeDocument/2006/relationships/image" Target="media/image1536.jpeg"/><Relationship Id="rId1544" Type="http://schemas.openxmlformats.org/officeDocument/2006/relationships/image" Target="media/image1537.jpeg"/><Relationship Id="rId1545" Type="http://schemas.openxmlformats.org/officeDocument/2006/relationships/image" Target="media/image1538.jpeg"/><Relationship Id="rId1546" Type="http://schemas.openxmlformats.org/officeDocument/2006/relationships/image" Target="media/image1539.jpeg"/><Relationship Id="rId1547" Type="http://schemas.openxmlformats.org/officeDocument/2006/relationships/image" Target="media/image1540.jpeg"/><Relationship Id="rId1548" Type="http://schemas.openxmlformats.org/officeDocument/2006/relationships/image" Target="media/image1541.jpeg"/><Relationship Id="rId1549" Type="http://schemas.openxmlformats.org/officeDocument/2006/relationships/image" Target="media/image1542.jpeg"/><Relationship Id="rId1550" Type="http://schemas.openxmlformats.org/officeDocument/2006/relationships/image" Target="media/image1543.jpeg"/><Relationship Id="rId1551" Type="http://schemas.openxmlformats.org/officeDocument/2006/relationships/image" Target="media/image1544.jpeg"/><Relationship Id="rId1552" Type="http://schemas.openxmlformats.org/officeDocument/2006/relationships/image" Target="media/image1545.jpeg"/><Relationship Id="rId1553" Type="http://schemas.openxmlformats.org/officeDocument/2006/relationships/image" Target="media/image1546.jpeg"/><Relationship Id="rId1554" Type="http://schemas.openxmlformats.org/officeDocument/2006/relationships/image" Target="media/image1547.jpeg"/><Relationship Id="rId1555" Type="http://schemas.openxmlformats.org/officeDocument/2006/relationships/image" Target="media/image1548.jpeg"/><Relationship Id="rId1556" Type="http://schemas.openxmlformats.org/officeDocument/2006/relationships/image" Target="media/image1549.jpeg"/><Relationship Id="rId1557" Type="http://schemas.openxmlformats.org/officeDocument/2006/relationships/image" Target="media/image1550.jpeg"/><Relationship Id="rId1558" Type="http://schemas.openxmlformats.org/officeDocument/2006/relationships/image" Target="media/image1551.jpeg"/><Relationship Id="rId1559" Type="http://schemas.openxmlformats.org/officeDocument/2006/relationships/image" Target="media/image1552.jpeg"/><Relationship Id="rId1560" Type="http://schemas.openxmlformats.org/officeDocument/2006/relationships/image" Target="media/image1553.jpeg"/><Relationship Id="rId1561" Type="http://schemas.openxmlformats.org/officeDocument/2006/relationships/image" Target="media/image1554.jpeg"/><Relationship Id="rId1562" Type="http://schemas.openxmlformats.org/officeDocument/2006/relationships/image" Target="media/image1555.jpeg"/><Relationship Id="rId1563" Type="http://schemas.openxmlformats.org/officeDocument/2006/relationships/image" Target="media/image1556.jpeg"/><Relationship Id="rId1564" Type="http://schemas.openxmlformats.org/officeDocument/2006/relationships/image" Target="media/image1557.jpeg"/><Relationship Id="rId1565" Type="http://schemas.openxmlformats.org/officeDocument/2006/relationships/image" Target="media/image1558.jpeg"/><Relationship Id="rId1566" Type="http://schemas.openxmlformats.org/officeDocument/2006/relationships/image" Target="media/image1559.jpeg"/><Relationship Id="rId1567" Type="http://schemas.openxmlformats.org/officeDocument/2006/relationships/image" Target="media/image1560.jpeg"/><Relationship Id="rId1568" Type="http://schemas.openxmlformats.org/officeDocument/2006/relationships/image" Target="media/image1561.jpeg"/><Relationship Id="rId1569" Type="http://schemas.openxmlformats.org/officeDocument/2006/relationships/image" Target="media/image1562.jpeg"/><Relationship Id="rId1570" Type="http://schemas.openxmlformats.org/officeDocument/2006/relationships/image" Target="media/image1563.jpeg"/><Relationship Id="rId1571" Type="http://schemas.openxmlformats.org/officeDocument/2006/relationships/image" Target="media/image1564.jpeg"/><Relationship Id="rId1572" Type="http://schemas.openxmlformats.org/officeDocument/2006/relationships/image" Target="media/image1565.jpeg"/><Relationship Id="rId1573" Type="http://schemas.openxmlformats.org/officeDocument/2006/relationships/image" Target="media/image1566.jpeg"/><Relationship Id="rId1574" Type="http://schemas.openxmlformats.org/officeDocument/2006/relationships/image" Target="media/image1567.jpeg"/><Relationship Id="rId1575" Type="http://schemas.openxmlformats.org/officeDocument/2006/relationships/image" Target="media/image1568.jpeg"/><Relationship Id="rId1576" Type="http://schemas.openxmlformats.org/officeDocument/2006/relationships/image" Target="media/image1569.jpeg"/><Relationship Id="rId1577" Type="http://schemas.openxmlformats.org/officeDocument/2006/relationships/image" Target="media/image1570.jpeg"/><Relationship Id="rId1578" Type="http://schemas.openxmlformats.org/officeDocument/2006/relationships/image" Target="media/image1571.jpeg"/><Relationship Id="rId1579" Type="http://schemas.openxmlformats.org/officeDocument/2006/relationships/image" Target="media/image1572.jpeg"/><Relationship Id="rId1580" Type="http://schemas.openxmlformats.org/officeDocument/2006/relationships/image" Target="media/image1573.jpe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jpeg"/><Relationship Id="rId1584" Type="http://schemas.openxmlformats.org/officeDocument/2006/relationships/image" Target="media/image1577.jpeg"/><Relationship Id="rId1585" Type="http://schemas.openxmlformats.org/officeDocument/2006/relationships/image" Target="media/image1578.jpeg"/><Relationship Id="rId1586" Type="http://schemas.openxmlformats.org/officeDocument/2006/relationships/image" Target="media/image1579.jpeg"/><Relationship Id="rId1587" Type="http://schemas.openxmlformats.org/officeDocument/2006/relationships/image" Target="media/image1580.jpeg"/><Relationship Id="rId1588" Type="http://schemas.openxmlformats.org/officeDocument/2006/relationships/image" Target="media/image1581.jpeg"/><Relationship Id="rId1589" Type="http://schemas.openxmlformats.org/officeDocument/2006/relationships/image" Target="media/image1582.jpeg"/><Relationship Id="rId1590" Type="http://schemas.openxmlformats.org/officeDocument/2006/relationships/image" Target="media/image1583.jpeg"/><Relationship Id="rId1591" Type="http://schemas.openxmlformats.org/officeDocument/2006/relationships/image" Target="media/image1584.jpeg"/><Relationship Id="rId1592" Type="http://schemas.openxmlformats.org/officeDocument/2006/relationships/image" Target="media/image1585.jpeg"/><Relationship Id="rId1593" Type="http://schemas.openxmlformats.org/officeDocument/2006/relationships/image" Target="media/image1586.jpeg"/><Relationship Id="rId1594" Type="http://schemas.openxmlformats.org/officeDocument/2006/relationships/image" Target="media/image1587.jpeg"/><Relationship Id="rId1595" Type="http://schemas.openxmlformats.org/officeDocument/2006/relationships/image" Target="media/image1588.jpeg"/><Relationship Id="rId1596" Type="http://schemas.openxmlformats.org/officeDocument/2006/relationships/image" Target="media/image1589.jpeg"/><Relationship Id="rId1597" Type="http://schemas.openxmlformats.org/officeDocument/2006/relationships/image" Target="media/image1590.jpeg"/><Relationship Id="rId1598" Type="http://schemas.openxmlformats.org/officeDocument/2006/relationships/image" Target="media/image1591.jpeg"/><Relationship Id="rId1599" Type="http://schemas.openxmlformats.org/officeDocument/2006/relationships/image" Target="media/image1592.jpeg"/><Relationship Id="rId1600" Type="http://schemas.openxmlformats.org/officeDocument/2006/relationships/image" Target="media/image1593.jpeg"/><Relationship Id="rId1601" Type="http://schemas.openxmlformats.org/officeDocument/2006/relationships/image" Target="media/image1594.jpeg"/><Relationship Id="rId1602" Type="http://schemas.openxmlformats.org/officeDocument/2006/relationships/image" Target="media/image1595.jpeg"/><Relationship Id="rId1603" Type="http://schemas.openxmlformats.org/officeDocument/2006/relationships/image" Target="media/image1596.jpeg"/><Relationship Id="rId1604" Type="http://schemas.openxmlformats.org/officeDocument/2006/relationships/image" Target="media/image1597.jpeg"/><Relationship Id="rId1605" Type="http://schemas.openxmlformats.org/officeDocument/2006/relationships/image" Target="media/image1598.jpeg"/><Relationship Id="rId1606" Type="http://schemas.openxmlformats.org/officeDocument/2006/relationships/image" Target="media/image1599.jpeg"/><Relationship Id="rId1607" Type="http://schemas.openxmlformats.org/officeDocument/2006/relationships/image" Target="media/image1600.jpeg"/><Relationship Id="rId1608" Type="http://schemas.openxmlformats.org/officeDocument/2006/relationships/image" Target="media/image1601.jpeg"/><Relationship Id="rId1609" Type="http://schemas.openxmlformats.org/officeDocument/2006/relationships/image" Target="media/image1602.jpeg"/><Relationship Id="rId1610" Type="http://schemas.openxmlformats.org/officeDocument/2006/relationships/image" Target="media/image1603.jpeg"/><Relationship Id="rId1611" Type="http://schemas.openxmlformats.org/officeDocument/2006/relationships/image" Target="media/image1604.jpeg"/><Relationship Id="rId1612" Type="http://schemas.openxmlformats.org/officeDocument/2006/relationships/image" Target="media/image1605.jpeg"/><Relationship Id="rId1613" Type="http://schemas.openxmlformats.org/officeDocument/2006/relationships/image" Target="media/image1606.jpeg"/><Relationship Id="rId1614" Type="http://schemas.openxmlformats.org/officeDocument/2006/relationships/image" Target="media/image1607.jpeg"/><Relationship Id="rId1615" Type="http://schemas.openxmlformats.org/officeDocument/2006/relationships/image" Target="media/image1608.jpeg"/><Relationship Id="rId1616" Type="http://schemas.openxmlformats.org/officeDocument/2006/relationships/image" Target="media/image1609.jpeg"/><Relationship Id="rId1617" Type="http://schemas.openxmlformats.org/officeDocument/2006/relationships/image" Target="media/image1610.jpeg"/><Relationship Id="rId1618" Type="http://schemas.openxmlformats.org/officeDocument/2006/relationships/image" Target="media/image1611.jpeg"/><Relationship Id="rId1619" Type="http://schemas.openxmlformats.org/officeDocument/2006/relationships/image" Target="media/image1612.jpeg"/><Relationship Id="rId1620" Type="http://schemas.openxmlformats.org/officeDocument/2006/relationships/image" Target="media/image1613.jpeg"/><Relationship Id="rId1621" Type="http://schemas.openxmlformats.org/officeDocument/2006/relationships/image" Target="media/image1614.jpeg"/><Relationship Id="rId1622" Type="http://schemas.openxmlformats.org/officeDocument/2006/relationships/image" Target="media/image1615.jpeg"/><Relationship Id="rId1623" Type="http://schemas.openxmlformats.org/officeDocument/2006/relationships/image" Target="media/image1616.jpeg"/><Relationship Id="rId1624" Type="http://schemas.openxmlformats.org/officeDocument/2006/relationships/image" Target="media/image1617.jpeg"/><Relationship Id="rId1625" Type="http://schemas.openxmlformats.org/officeDocument/2006/relationships/image" Target="media/image1618.jpeg"/><Relationship Id="rId1626" Type="http://schemas.openxmlformats.org/officeDocument/2006/relationships/image" Target="media/image1619.jpeg"/><Relationship Id="rId1627" Type="http://schemas.openxmlformats.org/officeDocument/2006/relationships/image" Target="media/image1620.jpeg"/><Relationship Id="rId1628" Type="http://schemas.openxmlformats.org/officeDocument/2006/relationships/image" Target="media/image1621.jpeg"/><Relationship Id="rId1629" Type="http://schemas.openxmlformats.org/officeDocument/2006/relationships/image" Target="media/image1622.jpeg"/><Relationship Id="rId1630" Type="http://schemas.openxmlformats.org/officeDocument/2006/relationships/image" Target="media/image1623.jpeg"/><Relationship Id="rId1631" Type="http://schemas.openxmlformats.org/officeDocument/2006/relationships/image" Target="media/image1624.jpeg"/><Relationship Id="rId1632" Type="http://schemas.openxmlformats.org/officeDocument/2006/relationships/image" Target="media/image1625.jpeg"/><Relationship Id="rId1633" Type="http://schemas.openxmlformats.org/officeDocument/2006/relationships/image" Target="media/image1626.jpeg"/><Relationship Id="rId1634" Type="http://schemas.openxmlformats.org/officeDocument/2006/relationships/image" Target="media/image1627.jpeg"/><Relationship Id="rId1635" Type="http://schemas.openxmlformats.org/officeDocument/2006/relationships/image" Target="media/image1628.jpeg"/><Relationship Id="rId1636" Type="http://schemas.openxmlformats.org/officeDocument/2006/relationships/image" Target="media/image1629.jpeg"/><Relationship Id="rId1637" Type="http://schemas.openxmlformats.org/officeDocument/2006/relationships/image" Target="media/image1630.jpeg"/><Relationship Id="rId1638" Type="http://schemas.openxmlformats.org/officeDocument/2006/relationships/image" Target="media/image1631.jpeg"/><Relationship Id="rId1639" Type="http://schemas.openxmlformats.org/officeDocument/2006/relationships/image" Target="media/image1632.jpeg"/><Relationship Id="rId1640" Type="http://schemas.openxmlformats.org/officeDocument/2006/relationships/image" Target="media/image1633.jpe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jpeg"/><Relationship Id="rId1646" Type="http://schemas.openxmlformats.org/officeDocument/2006/relationships/image" Target="media/image1639.jpeg"/><Relationship Id="rId1647" Type="http://schemas.openxmlformats.org/officeDocument/2006/relationships/image" Target="media/image1640.jpeg"/><Relationship Id="rId1648" Type="http://schemas.openxmlformats.org/officeDocument/2006/relationships/image" Target="media/image1641.jpeg"/><Relationship Id="rId1649" Type="http://schemas.openxmlformats.org/officeDocument/2006/relationships/image" Target="media/image1642.jpeg"/><Relationship Id="rId1650" Type="http://schemas.openxmlformats.org/officeDocument/2006/relationships/image" Target="media/image1643.jpeg"/><Relationship Id="rId1651" Type="http://schemas.openxmlformats.org/officeDocument/2006/relationships/image" Target="media/image1644.jpeg"/><Relationship Id="rId1652" Type="http://schemas.openxmlformats.org/officeDocument/2006/relationships/image" Target="media/image1645.jpeg"/><Relationship Id="rId1653" Type="http://schemas.openxmlformats.org/officeDocument/2006/relationships/image" Target="media/image1646.jpeg"/><Relationship Id="rId1654" Type="http://schemas.openxmlformats.org/officeDocument/2006/relationships/image" Target="media/image1647.jpeg"/><Relationship Id="rId1655" Type="http://schemas.openxmlformats.org/officeDocument/2006/relationships/image" Target="media/image1648.jpeg"/><Relationship Id="rId1656" Type="http://schemas.openxmlformats.org/officeDocument/2006/relationships/image" Target="media/image1649.jpeg"/><Relationship Id="rId1657" Type="http://schemas.openxmlformats.org/officeDocument/2006/relationships/image" Target="media/image1650.jpeg"/><Relationship Id="rId1658" Type="http://schemas.openxmlformats.org/officeDocument/2006/relationships/image" Target="media/image1651.jpeg"/><Relationship Id="rId1659" Type="http://schemas.openxmlformats.org/officeDocument/2006/relationships/image" Target="media/image1652.jpeg"/><Relationship Id="rId1660" Type="http://schemas.openxmlformats.org/officeDocument/2006/relationships/image" Target="media/image1653.jpeg"/><Relationship Id="rId1661" Type="http://schemas.openxmlformats.org/officeDocument/2006/relationships/image" Target="media/image1654.jpeg"/><Relationship Id="rId1662" Type="http://schemas.openxmlformats.org/officeDocument/2006/relationships/image" Target="media/image1655.jpeg"/><Relationship Id="rId1663" Type="http://schemas.openxmlformats.org/officeDocument/2006/relationships/image" Target="media/image1656.jpeg"/><Relationship Id="rId1664" Type="http://schemas.openxmlformats.org/officeDocument/2006/relationships/image" Target="media/image1657.jpeg"/><Relationship Id="rId1665" Type="http://schemas.openxmlformats.org/officeDocument/2006/relationships/image" Target="media/image1658.jpeg"/><Relationship Id="rId1666" Type="http://schemas.openxmlformats.org/officeDocument/2006/relationships/image" Target="media/image1659.jpeg"/><Relationship Id="rId1667" Type="http://schemas.openxmlformats.org/officeDocument/2006/relationships/image" Target="media/image1660.jpeg"/><Relationship Id="rId1668" Type="http://schemas.openxmlformats.org/officeDocument/2006/relationships/image" Target="media/image1661.jpeg"/><Relationship Id="rId1669" Type="http://schemas.openxmlformats.org/officeDocument/2006/relationships/image" Target="media/image1662.jpe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jpeg"/><Relationship Id="rId1675" Type="http://schemas.openxmlformats.org/officeDocument/2006/relationships/image" Target="media/image1668.jpeg"/><Relationship Id="rId1676" Type="http://schemas.openxmlformats.org/officeDocument/2006/relationships/image" Target="media/image1669.jpeg"/><Relationship Id="rId1677" Type="http://schemas.openxmlformats.org/officeDocument/2006/relationships/image" Target="media/image1670.jpeg"/><Relationship Id="rId1678" Type="http://schemas.openxmlformats.org/officeDocument/2006/relationships/image" Target="media/image1671.jpeg"/><Relationship Id="rId1679" Type="http://schemas.openxmlformats.org/officeDocument/2006/relationships/image" Target="media/image1672.jpeg"/><Relationship Id="rId1680" Type="http://schemas.openxmlformats.org/officeDocument/2006/relationships/image" Target="media/image1673.jpeg"/><Relationship Id="rId1681" Type="http://schemas.openxmlformats.org/officeDocument/2006/relationships/image" Target="media/image1674.jpeg"/><Relationship Id="rId1682" Type="http://schemas.openxmlformats.org/officeDocument/2006/relationships/image" Target="media/image1675.jpeg"/><Relationship Id="rId1683" Type="http://schemas.openxmlformats.org/officeDocument/2006/relationships/image" Target="media/image1676.jpeg"/><Relationship Id="rId1684" Type="http://schemas.openxmlformats.org/officeDocument/2006/relationships/image" Target="media/image1677.jpe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jpeg"/><Relationship Id="rId1701" Type="http://schemas.openxmlformats.org/officeDocument/2006/relationships/image" Target="media/image1694.jpeg"/><Relationship Id="rId1702" Type="http://schemas.openxmlformats.org/officeDocument/2006/relationships/image" Target="media/image1695.jpeg"/><Relationship Id="rId1703" Type="http://schemas.openxmlformats.org/officeDocument/2006/relationships/image" Target="media/image1696.jpeg"/><Relationship Id="rId1704" Type="http://schemas.openxmlformats.org/officeDocument/2006/relationships/image" Target="media/image1697.jpeg"/><Relationship Id="rId1705" Type="http://schemas.openxmlformats.org/officeDocument/2006/relationships/image" Target="media/image1698.jpe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jpe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jpe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jpeg"/><Relationship Id="rId1724" Type="http://schemas.openxmlformats.org/officeDocument/2006/relationships/image" Target="media/image1717.jpeg"/><Relationship Id="rId1725" Type="http://schemas.openxmlformats.org/officeDocument/2006/relationships/image" Target="media/image1718.jpe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jpe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jpe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jpeg"/><Relationship Id="rId1735" Type="http://schemas.openxmlformats.org/officeDocument/2006/relationships/image" Target="media/image1728.jpeg"/><Relationship Id="rId1736" Type="http://schemas.openxmlformats.org/officeDocument/2006/relationships/image" Target="media/image1729.jpeg"/><Relationship Id="rId1737" Type="http://schemas.openxmlformats.org/officeDocument/2006/relationships/image" Target="media/image1730.jpe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jpeg"/><Relationship Id="rId1741" Type="http://schemas.openxmlformats.org/officeDocument/2006/relationships/image" Target="media/image1734.jpeg"/><Relationship Id="rId1742" Type="http://schemas.openxmlformats.org/officeDocument/2006/relationships/image" Target="media/image1735.jpe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jpeg"/><Relationship Id="rId1747" Type="http://schemas.openxmlformats.org/officeDocument/2006/relationships/image" Target="media/image1740.jpeg"/><Relationship Id="rId1748" Type="http://schemas.openxmlformats.org/officeDocument/2006/relationships/image" Target="media/image1741.jpe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jpeg"/><Relationship Id="rId1755" Type="http://schemas.openxmlformats.org/officeDocument/2006/relationships/image" Target="media/image1748.jpeg"/><Relationship Id="rId1756" Type="http://schemas.openxmlformats.org/officeDocument/2006/relationships/image" Target="media/image1749.jpeg"/><Relationship Id="rId1757" Type="http://schemas.openxmlformats.org/officeDocument/2006/relationships/image" Target="media/image1750.jpeg"/><Relationship Id="rId1758" Type="http://schemas.openxmlformats.org/officeDocument/2006/relationships/image" Target="media/image1751.jpe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jpeg"/><Relationship Id="rId1762" Type="http://schemas.openxmlformats.org/officeDocument/2006/relationships/image" Target="media/image1755.jpeg"/><Relationship Id="rId1763" Type="http://schemas.openxmlformats.org/officeDocument/2006/relationships/image" Target="media/image1756.jpeg"/><Relationship Id="rId1764" Type="http://schemas.openxmlformats.org/officeDocument/2006/relationships/image" Target="media/image1757.jpeg"/><Relationship Id="rId1765" Type="http://schemas.openxmlformats.org/officeDocument/2006/relationships/image" Target="media/image1758.jpeg"/><Relationship Id="rId1766" Type="http://schemas.openxmlformats.org/officeDocument/2006/relationships/image" Target="media/image1759.jpeg"/><Relationship Id="rId1767" Type="http://schemas.openxmlformats.org/officeDocument/2006/relationships/image" Target="media/image1760.jpeg"/><Relationship Id="rId1768" Type="http://schemas.openxmlformats.org/officeDocument/2006/relationships/image" Target="media/image1761.jpeg"/><Relationship Id="rId1769" Type="http://schemas.openxmlformats.org/officeDocument/2006/relationships/image" Target="media/image1762.jpeg"/><Relationship Id="rId1770" Type="http://schemas.openxmlformats.org/officeDocument/2006/relationships/image" Target="media/image1763.jpeg"/><Relationship Id="rId1771" Type="http://schemas.openxmlformats.org/officeDocument/2006/relationships/image" Target="media/image1764.jpeg"/><Relationship Id="rId1772" Type="http://schemas.openxmlformats.org/officeDocument/2006/relationships/image" Target="media/image1765.jpeg"/><Relationship Id="rId1773" Type="http://schemas.openxmlformats.org/officeDocument/2006/relationships/image" Target="media/image1766.jpeg"/><Relationship Id="rId1774" Type="http://schemas.openxmlformats.org/officeDocument/2006/relationships/image" Target="media/image1767.jpeg"/><Relationship Id="rId1775" Type="http://schemas.openxmlformats.org/officeDocument/2006/relationships/image" Target="media/image1768.jpeg"/><Relationship Id="rId1776" Type="http://schemas.openxmlformats.org/officeDocument/2006/relationships/image" Target="media/image1769.jpeg"/><Relationship Id="rId1777" Type="http://schemas.openxmlformats.org/officeDocument/2006/relationships/image" Target="media/image1770.jpeg"/><Relationship Id="rId1778" Type="http://schemas.openxmlformats.org/officeDocument/2006/relationships/image" Target="media/image1771.jpeg"/><Relationship Id="rId1779" Type="http://schemas.openxmlformats.org/officeDocument/2006/relationships/image" Target="media/image1772.jpeg"/><Relationship Id="rId1780" Type="http://schemas.openxmlformats.org/officeDocument/2006/relationships/image" Target="media/image1773.jpeg"/><Relationship Id="rId1781" Type="http://schemas.openxmlformats.org/officeDocument/2006/relationships/image" Target="media/image1774.jpeg"/><Relationship Id="rId1782" Type="http://schemas.openxmlformats.org/officeDocument/2006/relationships/image" Target="media/image1775.jpeg"/><Relationship Id="rId1783" Type="http://schemas.openxmlformats.org/officeDocument/2006/relationships/image" Target="media/image1776.jpeg"/><Relationship Id="rId1784" Type="http://schemas.openxmlformats.org/officeDocument/2006/relationships/image" Target="media/image1777.jpeg"/><Relationship Id="rId1785" Type="http://schemas.openxmlformats.org/officeDocument/2006/relationships/image" Target="media/image1778.jpeg"/><Relationship Id="rId1786" Type="http://schemas.openxmlformats.org/officeDocument/2006/relationships/image" Target="media/image1779.jpeg"/><Relationship Id="rId1787" Type="http://schemas.openxmlformats.org/officeDocument/2006/relationships/image" Target="media/image1780.jpeg"/><Relationship Id="rId1788" Type="http://schemas.openxmlformats.org/officeDocument/2006/relationships/image" Target="media/image1781.jpeg"/><Relationship Id="rId1789" Type="http://schemas.openxmlformats.org/officeDocument/2006/relationships/image" Target="media/image1782.jpeg"/><Relationship Id="rId1790" Type="http://schemas.openxmlformats.org/officeDocument/2006/relationships/image" Target="media/image1783.jpeg"/><Relationship Id="rId1791" Type="http://schemas.openxmlformats.org/officeDocument/2006/relationships/image" Target="media/image1784.jpeg"/><Relationship Id="rId1792" Type="http://schemas.openxmlformats.org/officeDocument/2006/relationships/image" Target="media/image1785.jpeg"/><Relationship Id="rId1793" Type="http://schemas.openxmlformats.org/officeDocument/2006/relationships/image" Target="media/image1786.jpeg"/><Relationship Id="rId1794" Type="http://schemas.openxmlformats.org/officeDocument/2006/relationships/image" Target="media/image1787.jpeg"/><Relationship Id="rId1795" Type="http://schemas.openxmlformats.org/officeDocument/2006/relationships/image" Target="media/image1788.jpeg"/><Relationship Id="rId1796" Type="http://schemas.openxmlformats.org/officeDocument/2006/relationships/image" Target="media/image1789.jpeg"/><Relationship Id="rId1797" Type="http://schemas.openxmlformats.org/officeDocument/2006/relationships/image" Target="media/image1790.jpeg"/><Relationship Id="rId1798" Type="http://schemas.openxmlformats.org/officeDocument/2006/relationships/image" Target="media/image1791.jpeg"/><Relationship Id="rId1799" Type="http://schemas.openxmlformats.org/officeDocument/2006/relationships/image" Target="media/image1792.jpeg"/><Relationship Id="rId1800" Type="http://schemas.openxmlformats.org/officeDocument/2006/relationships/image" Target="media/image1793.jpeg"/><Relationship Id="rId1801" Type="http://schemas.openxmlformats.org/officeDocument/2006/relationships/image" Target="media/image1794.jpeg"/><Relationship Id="rId1802" Type="http://schemas.openxmlformats.org/officeDocument/2006/relationships/image" Target="media/image1795.jpeg"/><Relationship Id="rId1803" Type="http://schemas.openxmlformats.org/officeDocument/2006/relationships/image" Target="media/image1796.jpeg"/><Relationship Id="rId1804" Type="http://schemas.openxmlformats.org/officeDocument/2006/relationships/image" Target="media/image1797.jpeg"/><Relationship Id="rId1805" Type="http://schemas.openxmlformats.org/officeDocument/2006/relationships/image" Target="media/image1798.jpeg"/><Relationship Id="rId1806" Type="http://schemas.openxmlformats.org/officeDocument/2006/relationships/image" Target="media/image1799.jpeg"/><Relationship Id="rId1807" Type="http://schemas.openxmlformats.org/officeDocument/2006/relationships/image" Target="media/image1800.jpe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jpeg"/><Relationship Id="rId1813" Type="http://schemas.openxmlformats.org/officeDocument/2006/relationships/image" Target="media/image1806.jpeg"/><Relationship Id="rId1814" Type="http://schemas.openxmlformats.org/officeDocument/2006/relationships/image" Target="media/image1807.jpe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2025-11-26T12:41:58Z</dcterms:created>
  <dcterms:modified xsi:type="dcterms:W3CDTF">2025-11-26T12:41:58Z</dcterms:modified>
</cp:coreProperties>
</file>