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20"/>
        <w:spacing w:after="0"/>
        <w:rPr>
          <w:sz w:val="20"/>
          <w:szCs w:val="20"/>
          <w:color w:val="auto"/>
        </w:rPr>
      </w:pPr>
      <w:r>
        <w:rPr>
          <w:rFonts w:ascii="Arial" w:cs="Arial" w:eastAsia="Arial" w:hAnsi="Arial"/>
          <w:sz w:val="20"/>
          <w:szCs w:val="20"/>
          <w:color w:val="auto"/>
        </w:rPr>
        <w:t>ARROWMARK FINANCIAL CORP.</w:t>
      </w:r>
    </w:p>
    <w:p>
      <w:pPr>
        <w:jc w:val="center"/>
        <w:ind w:right="720"/>
        <w:spacing w:after="0"/>
        <w:rPr>
          <w:sz w:val="20"/>
          <w:szCs w:val="20"/>
          <w:color w:val="auto"/>
        </w:rPr>
      </w:pPr>
      <w:r>
        <w:rPr>
          <w:rFonts w:ascii="Arial" w:cs="Arial" w:eastAsia="Arial" w:hAnsi="Arial"/>
          <w:sz w:val="20"/>
          <w:szCs w:val="20"/>
          <w:color w:val="auto"/>
        </w:rPr>
        <w:t>100 Fillmore Street, Suite 325</w:t>
      </w:r>
    </w:p>
    <w:p>
      <w:pPr>
        <w:jc w:val="center"/>
        <w:ind w:right="720"/>
        <w:spacing w:after="0" w:line="237" w:lineRule="auto"/>
        <w:rPr>
          <w:sz w:val="20"/>
          <w:szCs w:val="20"/>
          <w:color w:val="auto"/>
        </w:rPr>
      </w:pPr>
      <w:r>
        <w:rPr>
          <w:rFonts w:ascii="Arial" w:cs="Arial" w:eastAsia="Arial" w:hAnsi="Arial"/>
          <w:sz w:val="20"/>
          <w:szCs w:val="20"/>
          <w:color w:val="auto"/>
        </w:rPr>
        <w:t>Denver, CO 80206</w:t>
      </w: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VIA EDGAR</w:t>
      </w:r>
    </w:p>
    <w:p>
      <w:pPr>
        <w:spacing w:after="0" w:line="231" w:lineRule="exact"/>
        <w:rPr>
          <w:sz w:val="24"/>
          <w:szCs w:val="24"/>
          <w:color w:val="auto"/>
        </w:rPr>
      </w:pPr>
    </w:p>
    <w:p>
      <w:pPr>
        <w:spacing w:after="0"/>
        <w:rPr>
          <w:sz w:val="20"/>
          <w:szCs w:val="20"/>
          <w:color w:val="auto"/>
        </w:rPr>
      </w:pPr>
      <w:r>
        <w:rPr>
          <w:rFonts w:ascii="Arial" w:cs="Arial" w:eastAsia="Arial" w:hAnsi="Arial"/>
          <w:sz w:val="20"/>
          <w:szCs w:val="20"/>
          <w:color w:val="auto"/>
        </w:rPr>
        <w:t>October 10, 2025</w:t>
      </w:r>
    </w:p>
    <w:p>
      <w:pPr>
        <w:spacing w:after="0" w:line="228"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rPr>
          <w:sz w:val="20"/>
          <w:szCs w:val="20"/>
          <w:color w:val="auto"/>
        </w:rPr>
      </w:pPr>
      <w:r>
        <w:rPr>
          <w:rFonts w:ascii="Arial" w:cs="Arial" w:eastAsia="Arial" w:hAnsi="Arial"/>
          <w:sz w:val="20"/>
          <w:szCs w:val="20"/>
          <w:color w:val="auto"/>
        </w:rPr>
        <w:t>Office of Registration and Reports</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31" w:lineRule="exact"/>
        <w:rPr>
          <w:sz w:val="24"/>
          <w:szCs w:val="24"/>
          <w:color w:val="auto"/>
        </w:rPr>
      </w:pPr>
    </w:p>
    <w:p>
      <w:pPr>
        <w:spacing w:after="0"/>
        <w:tabs>
          <w:tab w:leader="none" w:pos="6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color w:val="auto"/>
        </w:rPr>
        <w:t>ARROWMARK FINANCIAL CORP. Rule 17g-1(g) Fidelity Bond Filing</w:t>
      </w:r>
    </w:p>
    <w:p>
      <w:pPr>
        <w:ind w:left="680"/>
        <w:spacing w:after="0" w:line="237" w:lineRule="auto"/>
        <w:rPr>
          <w:sz w:val="20"/>
          <w:szCs w:val="20"/>
          <w:color w:val="auto"/>
        </w:rPr>
      </w:pPr>
      <w:r>
        <w:rPr>
          <w:rFonts w:ascii="Arial" w:cs="Arial" w:eastAsia="Arial" w:hAnsi="Arial"/>
          <w:sz w:val="20"/>
          <w:szCs w:val="20"/>
          <w:color w:val="auto"/>
        </w:rPr>
        <w:t>(File No. 811-22853)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431800</wp:posOffset>
            </wp:positionH>
            <wp:positionV relativeFrom="paragraph">
              <wp:posOffset>15240</wp:posOffset>
            </wp:positionV>
            <wp:extent cx="642620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6200" cy="1270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42" w:lineRule="exact"/>
        <w:rPr>
          <w:sz w:val="24"/>
          <w:szCs w:val="24"/>
          <w:color w:val="auto"/>
        </w:rPr>
      </w:pPr>
    </w:p>
    <w:p>
      <w:pPr>
        <w:ind w:right="720"/>
        <w:spacing w:after="0" w:line="234" w:lineRule="auto"/>
        <w:rPr>
          <w:sz w:val="20"/>
          <w:szCs w:val="20"/>
          <w:color w:val="auto"/>
        </w:rPr>
      </w:pPr>
      <w:r>
        <w:rPr>
          <w:rFonts w:ascii="Arial" w:cs="Arial" w:eastAsia="Arial" w:hAnsi="Arial"/>
          <w:sz w:val="20"/>
          <w:szCs w:val="20"/>
          <w:color w:val="auto"/>
        </w:rPr>
        <w:t>On behalf of ArrowMark Financial Corp. (the “Company”), enclosed herewith for filing, pursuant to Rule 17g-1(g) under the Investment Company Act of 1940, as amended, is a copy of the following materials:</w:t>
      </w:r>
    </w:p>
    <w:p>
      <w:pPr>
        <w:spacing w:after="0" w:line="240" w:lineRule="exact"/>
        <w:rPr>
          <w:sz w:val="24"/>
          <w:szCs w:val="24"/>
          <w:color w:val="auto"/>
        </w:rPr>
      </w:pPr>
    </w:p>
    <w:p>
      <w:pPr>
        <w:ind w:right="720" w:firstLine="720"/>
        <w:spacing w:after="0" w:line="234" w:lineRule="auto"/>
        <w:tabs>
          <w:tab w:leader="none" w:pos="933"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single insured fidelity bond covering the Company for the period from September 28, 2025 through September 28, 2026; and</w:t>
      </w:r>
    </w:p>
    <w:p>
      <w:pPr>
        <w:spacing w:after="0" w:line="242" w:lineRule="exact"/>
        <w:rPr>
          <w:rFonts w:ascii="Arial" w:cs="Arial" w:eastAsia="Arial" w:hAnsi="Arial"/>
          <w:sz w:val="20"/>
          <w:szCs w:val="20"/>
          <w:color w:val="auto"/>
        </w:rPr>
      </w:pPr>
    </w:p>
    <w:p>
      <w:pPr>
        <w:jc w:val="both"/>
        <w:ind w:right="720" w:firstLine="720"/>
        <w:spacing w:after="0" w:line="267" w:lineRule="auto"/>
        <w:tabs>
          <w:tab w:leader="none" w:pos="938"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Secretary of the Company, dated as of October 10, 2025, which attaches a copy of the resolutions of the members of the Board of Directors of the Company who are not “interested persons” of the</w:t>
      </w:r>
    </w:p>
    <w:p>
      <w:pPr>
        <w:ind w:right="740"/>
        <w:spacing w:after="0" w:line="233" w:lineRule="auto"/>
        <w:rPr>
          <w:rFonts w:ascii="Arial" w:cs="Arial" w:eastAsia="Arial" w:hAnsi="Arial"/>
          <w:sz w:val="18"/>
          <w:szCs w:val="18"/>
          <w:color w:val="auto"/>
        </w:rPr>
      </w:pPr>
      <w:r>
        <w:rPr>
          <w:rFonts w:ascii="Arial" w:cs="Arial" w:eastAsia="Arial" w:hAnsi="Arial"/>
          <w:sz w:val="20"/>
          <w:szCs w:val="20"/>
          <w:color w:val="auto"/>
        </w:rPr>
        <w:t>Company, approving the amount, type, form and coverage of the bond, and a statement as to the period for which premiums have been paid.</w:t>
      </w:r>
    </w:p>
    <w:p>
      <w:pPr>
        <w:spacing w:after="0" w:line="232" w:lineRule="exact"/>
        <w:rPr>
          <w:sz w:val="24"/>
          <w:szCs w:val="24"/>
          <w:color w:val="auto"/>
        </w:rPr>
      </w:pPr>
    </w:p>
    <w:p>
      <w:pPr>
        <w:spacing w:after="0"/>
        <w:rPr>
          <w:sz w:val="20"/>
          <w:szCs w:val="20"/>
          <w:color w:val="auto"/>
        </w:rPr>
      </w:pPr>
      <w:r>
        <w:rPr>
          <w:rFonts w:ascii="Arial" w:cs="Arial" w:eastAsia="Arial" w:hAnsi="Arial"/>
          <w:sz w:val="20"/>
          <w:szCs w:val="20"/>
          <w:color w:val="auto"/>
        </w:rPr>
        <w:t>If you have any questions regarding this submission, please do not hesitate to call me at 303-398-2950.</w:t>
      </w:r>
    </w:p>
    <w:p>
      <w:pPr>
        <w:spacing w:after="0" w:line="231" w:lineRule="exact"/>
        <w:rPr>
          <w:sz w:val="24"/>
          <w:szCs w:val="24"/>
          <w:color w:val="auto"/>
        </w:rPr>
      </w:pPr>
    </w:p>
    <w:p>
      <w:pPr>
        <w:spacing w:after="0"/>
        <w:rPr>
          <w:sz w:val="20"/>
          <w:szCs w:val="20"/>
          <w:color w:val="auto"/>
        </w:rPr>
      </w:pPr>
      <w:r>
        <w:rPr>
          <w:rFonts w:ascii="Arial" w:cs="Arial" w:eastAsia="Arial" w:hAnsi="Arial"/>
          <w:sz w:val="20"/>
          <w:szCs w:val="20"/>
          <w:color w:val="auto"/>
        </w:rPr>
        <w:t>Very truly yours,</w:t>
      </w:r>
    </w:p>
    <w:p>
      <w:pPr>
        <w:spacing w:after="0" w:line="228" w:lineRule="exact"/>
        <w:rPr>
          <w:sz w:val="24"/>
          <w:szCs w:val="24"/>
          <w:color w:val="auto"/>
        </w:rPr>
      </w:pPr>
    </w:p>
    <w:p>
      <w:pPr>
        <w:spacing w:after="0"/>
        <w:rPr>
          <w:sz w:val="20"/>
          <w:szCs w:val="20"/>
          <w:color w:val="auto"/>
        </w:rPr>
      </w:pPr>
      <w:r>
        <w:rPr>
          <w:rFonts w:ascii="Arial" w:cs="Arial" w:eastAsia="Arial" w:hAnsi="Arial"/>
          <w:sz w:val="20"/>
          <w:szCs w:val="20"/>
          <w:color w:val="auto"/>
        </w:rPr>
        <w:t>/s/ Blake Rice</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6350</wp:posOffset>
                </wp:positionV>
                <wp:extent cx="54006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0067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5pt" to="425.25pt,0.5pt" o:allowincell="f" strokecolor="#000000" strokeweight="0.96pt"/>
            </w:pict>
          </mc:Fallback>
        </mc:AlternateContent>
      </w:r>
    </w:p>
    <w:p>
      <w:pPr>
        <w:spacing w:after="0" w:line="2" w:lineRule="exact"/>
        <w:rPr>
          <w:sz w:val="24"/>
          <w:szCs w:val="24"/>
          <w:color w:val="auto"/>
        </w:rPr>
      </w:pPr>
    </w:p>
    <w:p>
      <w:pPr>
        <w:spacing w:after="0"/>
        <w:rPr>
          <w:sz w:val="20"/>
          <w:szCs w:val="20"/>
          <w:color w:val="auto"/>
        </w:rPr>
      </w:pPr>
      <w:r>
        <w:rPr>
          <w:rFonts w:ascii="Arial" w:cs="Arial" w:eastAsia="Arial" w:hAnsi="Arial"/>
          <w:sz w:val="20"/>
          <w:szCs w:val="20"/>
          <w:color w:val="auto"/>
        </w:rPr>
        <w:t>Blake Rice</w:t>
      </w:r>
    </w:p>
    <w:p>
      <w:pPr>
        <w:spacing w:after="0" w:line="237" w:lineRule="auto"/>
        <w:rPr>
          <w:sz w:val="20"/>
          <w:szCs w:val="20"/>
          <w:color w:val="auto"/>
        </w:rPr>
      </w:pPr>
      <w:r>
        <w:rPr>
          <w:rFonts w:ascii="Arial" w:cs="Arial" w:eastAsia="Arial" w:hAnsi="Arial"/>
          <w:sz w:val="20"/>
          <w:szCs w:val="20"/>
          <w:color w:val="auto"/>
        </w:rPr>
        <w:t>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720"/>
        <w:spacing w:after="0"/>
        <w:rPr>
          <w:sz w:val="20"/>
          <w:szCs w:val="20"/>
          <w:color w:val="auto"/>
        </w:rPr>
      </w:pPr>
      <w:r>
        <w:rPr>
          <w:rFonts w:ascii="Arial" w:cs="Arial" w:eastAsia="Arial" w:hAnsi="Arial"/>
          <w:sz w:val="20"/>
          <w:szCs w:val="20"/>
          <w:color w:val="auto"/>
        </w:rPr>
        <w:t>CERTIFICATE OF SECRETARY</w:t>
      </w:r>
    </w:p>
    <w:p>
      <w:pPr>
        <w:spacing w:after="0" w:line="242" w:lineRule="exact"/>
        <w:rPr>
          <w:sz w:val="24"/>
          <w:szCs w:val="24"/>
          <w:color w:val="auto"/>
        </w:rPr>
      </w:pPr>
    </w:p>
    <w:p>
      <w:pPr>
        <w:ind w:right="940"/>
        <w:spacing w:after="0" w:line="234" w:lineRule="auto"/>
        <w:rPr>
          <w:sz w:val="20"/>
          <w:szCs w:val="20"/>
          <w:color w:val="auto"/>
        </w:rPr>
      </w:pPr>
      <w:r>
        <w:rPr>
          <w:rFonts w:ascii="Arial" w:cs="Arial" w:eastAsia="Arial" w:hAnsi="Arial"/>
          <w:sz w:val="20"/>
          <w:szCs w:val="20"/>
          <w:color w:val="auto"/>
        </w:rPr>
        <w:t>The undersigned, Blake Rice, Secretary of ArrowMark Financial Corp., a Delaware corporation (the “Company”), does hereby certify that:</w:t>
      </w:r>
    </w:p>
    <w:p>
      <w:pPr>
        <w:spacing w:after="0" w:line="243" w:lineRule="exact"/>
        <w:rPr>
          <w:sz w:val="24"/>
          <w:szCs w:val="24"/>
          <w:color w:val="auto"/>
        </w:rPr>
      </w:pPr>
    </w:p>
    <w:p>
      <w:pPr>
        <w:jc w:val="both"/>
        <w:ind w:left="720" w:right="480" w:hanging="360"/>
        <w:spacing w:after="0" w:line="272"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Certificate is being delivered to the Securities and Exchange Commission (the “SEC”) in connection with the filing of the Company’s fidelity bond (the “Bond”) pursuant to Rule 17g-1 of the Investment Company Act of 1940, as amended, and the SEC is entitled to rely on this certificate for purposes of the filing.</w:t>
      </w:r>
    </w:p>
    <w:p>
      <w:pPr>
        <w:spacing w:after="0" w:line="215" w:lineRule="exact"/>
        <w:rPr>
          <w:rFonts w:ascii="Arial" w:cs="Arial" w:eastAsia="Arial" w:hAnsi="Arial"/>
          <w:sz w:val="18"/>
          <w:szCs w:val="18"/>
          <w:color w:val="auto"/>
        </w:rPr>
      </w:pPr>
    </w:p>
    <w:p>
      <w:pPr>
        <w:ind w:left="720" w:hanging="360"/>
        <w:spacing w:after="0" w:line="234" w:lineRule="auto"/>
        <w:tabs>
          <w:tab w:leader="none" w:pos="72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undersigned is the duly elected, qualified and acting Secretary of the Company, and has custody of the corporate records of the Company and is a proper officer to make this certification.</w:t>
      </w:r>
    </w:p>
    <w:p>
      <w:pPr>
        <w:spacing w:after="0" w:line="240" w:lineRule="exact"/>
        <w:rPr>
          <w:rFonts w:ascii="Arial" w:cs="Arial" w:eastAsia="Arial" w:hAnsi="Arial"/>
          <w:sz w:val="20"/>
          <w:szCs w:val="20"/>
          <w:color w:val="auto"/>
        </w:rPr>
      </w:pPr>
    </w:p>
    <w:p>
      <w:pPr>
        <w:ind w:left="720" w:hanging="360"/>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color w:val="auto"/>
        </w:rPr>
        <w:t>Attached hereto as Exhibit A is a copy of the resolutions approved at a meeting held on September 12, 2025</w:t>
      </w:r>
    </w:p>
    <w:p>
      <w:pPr>
        <w:spacing w:after="0" w:line="11" w:lineRule="exact"/>
        <w:rPr>
          <w:rFonts w:ascii="Arial" w:cs="Arial" w:eastAsia="Arial" w:hAnsi="Arial"/>
          <w:sz w:val="19"/>
          <w:szCs w:val="19"/>
          <w:color w:val="auto"/>
        </w:rPr>
      </w:pPr>
    </w:p>
    <w:p>
      <w:pPr>
        <w:ind w:left="720" w:right="340"/>
        <w:spacing w:after="0" w:line="234" w:lineRule="auto"/>
        <w:rPr>
          <w:rFonts w:ascii="Arial" w:cs="Arial" w:eastAsia="Arial" w:hAnsi="Arial"/>
          <w:sz w:val="19"/>
          <w:szCs w:val="19"/>
          <w:color w:val="auto"/>
        </w:rPr>
      </w:pPr>
      <w:r>
        <w:rPr>
          <w:rFonts w:ascii="Arial" w:cs="Arial" w:eastAsia="Arial" w:hAnsi="Arial"/>
          <w:sz w:val="20"/>
          <w:szCs w:val="20"/>
          <w:color w:val="auto"/>
        </w:rPr>
        <w:t>by the Board of Directors of the Company including a majority of the Board of Directors who are not “interested persons” of the Company, approving the amount, type, form and coverage of the Bond.</w:t>
      </w:r>
    </w:p>
    <w:p>
      <w:pPr>
        <w:sectPr>
          <w:pgSz w:w="12240" w:h="15840" w:orient="portrait"/>
          <w:cols w:equalWidth="0" w:num="1">
            <w:col w:w="10080"/>
          </w:cols>
          <w:pgMar w:left="1440" w:top="1439" w:right="720" w:bottom="1147" w:gutter="0" w:footer="0" w:header="0"/>
        </w:sectPr>
      </w:pPr>
    </w:p>
    <w:bookmarkStart w:id="1" w:name="page2"/>
    <w:bookmarkEnd w:id="1"/>
    <w:p>
      <w:pPr>
        <w:ind w:left="720" w:hanging="360"/>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Premiums have been paid for the period from September 28, 2025 through September 28, 2026.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October, 2025.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ARROWMARK FINANCIAL CORP.</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76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Blake Rice</w:t>
            </w:r>
          </w:p>
        </w:tc>
      </w:tr>
      <w:tr>
        <w:trPr>
          <w:trHeight w:val="229"/>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7640" w:type="dxa"/>
            <w:vAlign w:val="bottom"/>
          </w:tcPr>
          <w:p>
            <w:pPr>
              <w:spacing w:after="0"/>
              <w:rPr>
                <w:sz w:val="20"/>
                <w:szCs w:val="20"/>
                <w:color w:val="auto"/>
              </w:rPr>
            </w:pPr>
            <w:r>
              <w:rPr>
                <w:rFonts w:ascii="Arial" w:cs="Arial" w:eastAsia="Arial" w:hAnsi="Arial"/>
                <w:sz w:val="20"/>
                <w:szCs w:val="20"/>
                <w:color w:val="auto"/>
              </w:rPr>
              <w:t>Blake Rice</w:t>
            </w:r>
          </w:p>
        </w:tc>
      </w:tr>
      <w:tr>
        <w:trPr>
          <w:trHeight w:val="230"/>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7640" w:type="dxa"/>
            <w:vAlign w:val="bottom"/>
          </w:tcPr>
          <w:p>
            <w:pPr>
              <w:spacing w:after="0"/>
              <w:rPr>
                <w:sz w:val="20"/>
                <w:szCs w:val="20"/>
                <w:color w:val="auto"/>
              </w:rPr>
            </w:pPr>
            <w:r>
              <w:rPr>
                <w:rFonts w:ascii="Arial" w:cs="Arial" w:eastAsia="Arial" w:hAnsi="Arial"/>
                <w:sz w:val="20"/>
                <w:szCs w:val="20"/>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ARROWMARK FINANCIAL CORP.</w:t>
      </w:r>
    </w:p>
    <w:p>
      <w:pPr>
        <w:spacing w:after="0" w:line="239"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b w:val="1"/>
          <w:bCs w:val="1"/>
          <w:i w:val="1"/>
          <w:iCs w:val="1"/>
          <w:color w:val="auto"/>
        </w:rPr>
        <w:t>The following resolutions were adopted by the Board of Directors of ArrowMark Financial Corp. at the Regular Meeting of the Board held on September 12, 2025</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Approval of Fidelity Bond Coverage</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9"/>
          <w:szCs w:val="19"/>
          <w:b w:val="1"/>
          <w:bCs w:val="1"/>
          <w:color w:val="auto"/>
        </w:rPr>
        <w:t xml:space="preserve">RESOLVED, </w:t>
      </w:r>
      <w:r>
        <w:rPr>
          <w:rFonts w:ascii="Arial" w:cs="Arial" w:eastAsia="Arial" w:hAnsi="Arial"/>
          <w:sz w:val="19"/>
          <w:szCs w:val="19"/>
          <w:color w:val="auto"/>
        </w:rPr>
        <w:t>that the Board of Directors, hereby determines that the fidelity bond written by Chubb Group of</w:t>
      </w:r>
      <w:r>
        <w:rPr>
          <w:rFonts w:ascii="Arial" w:cs="Arial" w:eastAsia="Arial" w:hAnsi="Arial"/>
          <w:sz w:val="19"/>
          <w:szCs w:val="19"/>
          <w:b w:val="1"/>
          <w:bCs w:val="1"/>
          <w:color w:val="auto"/>
        </w:rPr>
        <w:t xml:space="preserve"> </w:t>
      </w:r>
      <w:r>
        <w:rPr>
          <w:rFonts w:ascii="Arial" w:cs="Arial" w:eastAsia="Arial" w:hAnsi="Arial"/>
          <w:sz w:val="19"/>
          <w:szCs w:val="19"/>
          <w:color w:val="auto"/>
        </w:rPr>
        <w:t>Insurance Companies in the amount of $750,000 covering the officers and employees of the Company (the “Bond”), in accordance with Rule 17g-1 under the 1940 Act, is reasonable in form and amount, after having given due consideration to, among other things, the expected value of the aggregated assets of the Company to which any covered person may have access, the type and terms of the arrangements made for the custody and safekeeping of assets of the Company, and the nature of the securities in the Company; and further</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that the Board of Directors finds that the Bond and the premium of $2,500 to be paid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is fair and reasonable and said Bond and premium be, and hereby are, approved by vote of the Board of Directors, taking all relevant factors into consideration; and further</w:t>
      </w:r>
    </w:p>
    <w:p>
      <w:pPr>
        <w:spacing w:after="0" w:line="241"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that the Board of Directors hereby approves the Bond for the policy year ended September 28, 2026;</w:t>
      </w:r>
      <w:r>
        <w:rPr>
          <w:rFonts w:ascii="Arial" w:cs="Arial" w:eastAsia="Arial" w:hAnsi="Arial"/>
          <w:sz w:val="20"/>
          <w:szCs w:val="20"/>
          <w:b w:val="1"/>
          <w:bCs w:val="1"/>
          <w:color w:val="auto"/>
        </w:rPr>
        <w:t xml:space="preserve"> </w:t>
      </w:r>
      <w:r>
        <w:rPr>
          <w:rFonts w:ascii="Arial" w:cs="Arial" w:eastAsia="Arial" w:hAnsi="Arial"/>
          <w:sz w:val="20"/>
          <w:szCs w:val="20"/>
          <w:color w:val="auto"/>
        </w:rPr>
        <w:t>and further</w:t>
      </w:r>
    </w:p>
    <w:p>
      <w:pPr>
        <w:spacing w:after="0" w:line="243" w:lineRule="exact"/>
        <w:rPr>
          <w:sz w:val="20"/>
          <w:szCs w:val="20"/>
          <w:color w:val="auto"/>
        </w:rPr>
      </w:pPr>
    </w:p>
    <w:p>
      <w:pPr>
        <w:spacing w:after="0" w:line="234" w:lineRule="auto"/>
        <w:rPr>
          <w:sz w:val="20"/>
          <w:szCs w:val="20"/>
          <w:color w:val="auto"/>
        </w:rPr>
      </w:pPr>
      <w:r>
        <w:rPr>
          <w:rFonts w:ascii="Arial" w:cs="Arial" w:eastAsia="Arial" w:hAnsi="Arial"/>
          <w:sz w:val="20"/>
          <w:szCs w:val="20"/>
          <w:b w:val="1"/>
          <w:bCs w:val="1"/>
          <w:color w:val="auto"/>
        </w:rPr>
        <w:t xml:space="preserve">RESOLVED, </w:t>
      </w:r>
      <w:r>
        <w:rPr>
          <w:rFonts w:ascii="Arial" w:cs="Arial" w:eastAsia="Arial" w:hAnsi="Arial"/>
          <w:sz w:val="20"/>
          <w:szCs w:val="20"/>
          <w:color w:val="auto"/>
        </w:rPr>
        <w:t>that the Secretary (or any Assistant Secretary) of the Company is designated as the officer to make the</w:t>
      </w:r>
      <w:r>
        <w:rPr>
          <w:rFonts w:ascii="Arial" w:cs="Arial" w:eastAsia="Arial" w:hAnsi="Arial"/>
          <w:sz w:val="20"/>
          <w:szCs w:val="20"/>
          <w:b w:val="1"/>
          <w:bCs w:val="1"/>
          <w:color w:val="auto"/>
        </w:rPr>
        <w:t xml:space="preserve"> </w:t>
      </w:r>
      <w:r>
        <w:rPr>
          <w:rFonts w:ascii="Arial" w:cs="Arial" w:eastAsia="Arial" w:hAnsi="Arial"/>
          <w:sz w:val="20"/>
          <w:szCs w:val="20"/>
          <w:color w:val="auto"/>
        </w:rPr>
        <w:t>filings and give the notice required by paragraph (g) of Rule 17g-1 under the 1940 Act.</w:t>
      </w:r>
    </w:p>
    <w:p>
      <w:pPr>
        <w:sectPr>
          <w:pgSz w:w="12240" w:h="15840" w:orient="portrait"/>
          <w:cols w:equalWidth="0" w:num="1">
            <w:col w:w="9360"/>
          </w:cols>
          <w:pgMar w:left="1440" w:top="1439"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20"/>
        <w:spacing w:after="0"/>
        <w:rPr>
          <w:sz w:val="20"/>
          <w:szCs w:val="20"/>
          <w:color w:val="auto"/>
        </w:rPr>
      </w:pPr>
      <w:r>
        <w:rPr>
          <w:rFonts w:ascii="Arial" w:cs="Arial" w:eastAsia="Arial" w:hAnsi="Arial"/>
          <w:sz w:val="20"/>
          <w:szCs w:val="20"/>
          <w:color w:val="auto"/>
        </w:rPr>
        <w:t>PREMIUM BILL</w:t>
      </w:r>
    </w:p>
    <w:p>
      <w:pPr>
        <w:spacing w:after="0" w:line="200" w:lineRule="exact"/>
        <w:rPr>
          <w:sz w:val="20"/>
          <w:szCs w:val="20"/>
          <w:color w:val="auto"/>
        </w:rPr>
      </w:pPr>
    </w:p>
    <w:p>
      <w:pPr>
        <w:spacing w:after="0" w:line="284" w:lineRule="exact"/>
        <w:rPr>
          <w:sz w:val="20"/>
          <w:szCs w:val="20"/>
          <w:color w:val="auto"/>
        </w:rPr>
      </w:pPr>
    </w:p>
    <w:p>
      <w:pPr>
        <w:ind w:left="8240"/>
        <w:spacing w:after="0"/>
        <w:rPr>
          <w:sz w:val="20"/>
          <w:szCs w:val="20"/>
          <w:color w:val="auto"/>
        </w:rPr>
      </w:pPr>
      <w:r>
        <w:rPr>
          <w:rFonts w:ascii="Arial" w:cs="Arial" w:eastAsia="Arial" w:hAnsi="Arial"/>
          <w:sz w:val="20"/>
          <w:szCs w:val="20"/>
          <w:color w:val="auto"/>
        </w:rPr>
        <w:t>Date: October 6, 2025</w:t>
      </w:r>
    </w:p>
    <w:p>
      <w:pPr>
        <w:spacing w:after="0" w:line="200" w:lineRule="exact"/>
        <w:rPr>
          <w:sz w:val="20"/>
          <w:szCs w:val="20"/>
          <w:color w:val="auto"/>
        </w:rPr>
      </w:pPr>
    </w:p>
    <w:p>
      <w:pPr>
        <w:spacing w:after="0" w:line="400"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20"/>
          <w:szCs w:val="20"/>
          <w:color w:val="auto"/>
        </w:rPr>
        <w:t>Insured:</w:t>
        <w:tab/>
        <w:t>ARROWMARK FINANCIAL CORP.</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20"/>
          <w:szCs w:val="20"/>
          <w:color w:val="auto"/>
        </w:rPr>
        <w:t>Producer:</w:t>
        <w:tab/>
        <w:t>ALLIANT INSURANCE SERVICES INC</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32 OLD SLIP FLOOR 29</w:t>
      </w:r>
    </w:p>
    <w:p>
      <w:pPr>
        <w:spacing w:after="0" w:line="10"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NEW YORK, NY 100053504</w:t>
      </w:r>
    </w:p>
    <w:p>
      <w:pPr>
        <w:spacing w:after="0" w:line="224" w:lineRule="exact"/>
        <w:rPr>
          <w:sz w:val="20"/>
          <w:szCs w:val="20"/>
          <w:color w:val="auto"/>
        </w:rPr>
      </w:pPr>
    </w:p>
    <w:p>
      <w:pPr>
        <w:ind w:left="120"/>
        <w:spacing w:after="0"/>
        <w:tabs>
          <w:tab w:leader="none" w:pos="1260" w:val="left"/>
        </w:tabs>
        <w:rPr>
          <w:sz w:val="20"/>
          <w:szCs w:val="20"/>
          <w:color w:val="auto"/>
        </w:rPr>
      </w:pPr>
      <w:r>
        <w:rPr>
          <w:rFonts w:ascii="Arial" w:cs="Arial" w:eastAsia="Arial" w:hAnsi="Arial"/>
          <w:sz w:val="20"/>
          <w:szCs w:val="20"/>
          <w:color w:val="auto"/>
        </w:rPr>
        <w:t>Company:</w:t>
        <w:tab/>
        <w:t>Federal Insurance Company</w:t>
      </w:r>
    </w:p>
    <w:p>
      <w:pPr>
        <w:spacing w:after="0" w:line="37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THIS BILLING IS TO BE ATTACHED TO AND FORM A PART OF THE POLICY REFERENCED BELOW.</w:t>
      </w:r>
    </w:p>
    <w:p>
      <w:pPr>
        <w:spacing w:after="0" w:line="246"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0"/>
          <w:szCs w:val="20"/>
          <w:color w:val="auto"/>
        </w:rPr>
        <w:t>Policy Number:</w:t>
      </w:r>
      <w:r>
        <w:rPr>
          <w:sz w:val="20"/>
          <w:szCs w:val="20"/>
          <w:color w:val="auto"/>
        </w:rPr>
        <w:tab/>
      </w:r>
      <w:r>
        <w:rPr>
          <w:rFonts w:ascii="Arial" w:cs="Arial" w:eastAsia="Arial" w:hAnsi="Arial"/>
          <w:sz w:val="19"/>
          <w:szCs w:val="19"/>
          <w:color w:val="auto"/>
        </w:rPr>
        <w:t>J0604136A</w:t>
      </w:r>
    </w:p>
    <w:p>
      <w:pPr>
        <w:spacing w:after="0" w:line="240"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20"/>
          <w:szCs w:val="20"/>
          <w:color w:val="auto"/>
        </w:rPr>
        <w:t>Policy Period:</w:t>
      </w:r>
      <w:r>
        <w:rPr>
          <w:sz w:val="20"/>
          <w:szCs w:val="20"/>
          <w:color w:val="auto"/>
        </w:rPr>
        <w:tab/>
      </w:r>
      <w:r>
        <w:rPr>
          <w:rFonts w:ascii="Arial" w:cs="Arial" w:eastAsia="Arial" w:hAnsi="Arial"/>
          <w:sz w:val="19"/>
          <w:szCs w:val="19"/>
          <w:color w:val="auto"/>
        </w:rPr>
        <w:t>09-28-2025 to 09-28-2026</w:t>
      </w:r>
    </w:p>
    <w:p>
      <w:pPr>
        <w:spacing w:after="0" w:line="230" w:lineRule="exact"/>
        <w:rPr>
          <w:sz w:val="20"/>
          <w:szCs w:val="20"/>
          <w:color w:val="auto"/>
        </w:rPr>
      </w:pPr>
    </w:p>
    <w:p>
      <w:pPr>
        <w:ind w:left="120" w:right="140"/>
        <w:spacing w:after="0" w:line="282" w:lineRule="auto"/>
        <w:rPr>
          <w:sz w:val="20"/>
          <w:szCs w:val="20"/>
          <w:color w:val="auto"/>
        </w:rPr>
      </w:pPr>
      <w:r>
        <w:rPr>
          <w:rFonts w:ascii="Arial" w:cs="Arial" w:eastAsia="Arial" w:hAnsi="Arial"/>
          <w:sz w:val="20"/>
          <w:szCs w:val="20"/>
          <w:color w:val="auto"/>
        </w:rPr>
        <w:t>NOTE: PLEASE RETURN THIS BILL WITH REMITTANCE AND NOTE HEREON ANY CHANGES. BILL WILL BE RECEIPTED AND RETURNED TO YOU PROMPTLY UPON REQUEST.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0"/>
          <w:szCs w:val="20"/>
          <w:color w:val="auto"/>
        </w:rPr>
        <w:t>PLEASE REMIT TO PRODUCER INDICATED ABOVE. PLEASE REFER TO J0604136A</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446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20"/>
                <w:szCs w:val="20"/>
                <w:b w:val="1"/>
                <w:bCs w:val="1"/>
                <w:color w:val="auto"/>
              </w:rPr>
              <w:t>Product</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Effective Date</w:t>
            </w:r>
          </w:p>
        </w:tc>
        <w:tc>
          <w:tcPr>
            <w:tcW w:w="620" w:type="dxa"/>
            <w:vAlign w:val="bottom"/>
            <w:tcBorders>
              <w:top w:val="single" w:sz="8" w:color="auto"/>
            </w:tcBorders>
          </w:tcPr>
          <w:p>
            <w:pPr>
              <w:spacing w:after="0"/>
              <w:rPr>
                <w:sz w:val="24"/>
                <w:szCs w:val="24"/>
                <w:color w:val="auto"/>
              </w:rPr>
            </w:pPr>
          </w:p>
        </w:tc>
        <w:tc>
          <w:tcPr>
            <w:tcW w:w="2800" w:type="dxa"/>
            <w:vAlign w:val="bottom"/>
            <w:tcBorders>
              <w:top w:val="single" w:sz="8" w:color="auto"/>
              <w:right w:val="single" w:sz="8" w:color="auto"/>
            </w:tcBorders>
          </w:tcPr>
          <w:p>
            <w:pPr>
              <w:jc w:val="right"/>
              <w:ind w:right="20"/>
              <w:spacing w:after="0"/>
              <w:rPr>
                <w:sz w:val="20"/>
                <w:szCs w:val="20"/>
                <w:color w:val="auto"/>
              </w:rPr>
            </w:pPr>
            <w:r>
              <w:rPr>
                <w:rFonts w:ascii="Arial" w:cs="Arial" w:eastAsia="Arial" w:hAnsi="Arial"/>
                <w:sz w:val="20"/>
                <w:szCs w:val="20"/>
                <w:b w:val="1"/>
                <w:bCs w:val="1"/>
                <w:color w:val="auto"/>
              </w:rPr>
              <w:t>Premium</w:t>
            </w:r>
          </w:p>
        </w:tc>
      </w:tr>
      <w:tr>
        <w:trPr>
          <w:trHeight w:val="175"/>
        </w:trPr>
        <w:tc>
          <w:tcPr>
            <w:tcW w:w="3560" w:type="dxa"/>
            <w:vAlign w:val="bottom"/>
            <w:tcBorders>
              <w:left w:val="single" w:sz="8" w:color="auto"/>
              <w:bottom w:val="single" w:sz="8" w:color="auto"/>
            </w:tcBorders>
          </w:tcPr>
          <w:p>
            <w:pPr>
              <w:spacing w:after="0"/>
              <w:rPr>
                <w:sz w:val="15"/>
                <w:szCs w:val="15"/>
                <w:color w:val="auto"/>
              </w:rPr>
            </w:pPr>
          </w:p>
        </w:tc>
        <w:tc>
          <w:tcPr>
            <w:tcW w:w="900" w:type="dxa"/>
            <w:vAlign w:val="bottom"/>
            <w:tcBorders>
              <w:bottom w:val="single" w:sz="8" w:color="auto"/>
              <w:right w:val="single" w:sz="8" w:color="auto"/>
            </w:tcBorders>
          </w:tcPr>
          <w:p>
            <w:pPr>
              <w:spacing w:after="0"/>
              <w:rPr>
                <w:sz w:val="15"/>
                <w:szCs w:val="15"/>
                <w:color w:val="auto"/>
              </w:rPr>
            </w:pPr>
          </w:p>
        </w:tc>
        <w:tc>
          <w:tcPr>
            <w:tcW w:w="25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0" w:type="dxa"/>
            <w:vAlign w:val="bottom"/>
            <w:tcBorders>
              <w:bottom w:val="single" w:sz="8" w:color="auto"/>
              <w:right w:val="single" w:sz="8" w:color="auto"/>
            </w:tcBorders>
          </w:tcPr>
          <w:p>
            <w:pPr>
              <w:spacing w:after="0"/>
              <w:rPr>
                <w:sz w:val="15"/>
                <w:szCs w:val="15"/>
                <w:color w:val="auto"/>
              </w:rPr>
            </w:pPr>
          </w:p>
        </w:tc>
      </w:tr>
      <w:tr>
        <w:trPr>
          <w:trHeight w:val="201"/>
        </w:trPr>
        <w:tc>
          <w:tcPr>
            <w:tcW w:w="4460" w:type="dxa"/>
            <w:vAlign w:val="bottom"/>
            <w:tcBorders>
              <w:left w:val="single" w:sz="8" w:color="auto"/>
              <w:right w:val="single" w:sz="8" w:color="auto"/>
            </w:tcBorders>
            <w:gridSpan w:val="2"/>
          </w:tcPr>
          <w:p>
            <w:pPr>
              <w:ind w:left="120"/>
              <w:spacing w:after="0" w:line="201" w:lineRule="exact"/>
              <w:rPr>
                <w:sz w:val="20"/>
                <w:szCs w:val="20"/>
                <w:color w:val="auto"/>
              </w:rPr>
            </w:pPr>
            <w:r>
              <w:rPr>
                <w:rFonts w:ascii="Arial" w:cs="Arial" w:eastAsia="Arial" w:hAnsi="Arial"/>
                <w:sz w:val="20"/>
                <w:szCs w:val="20"/>
                <w:color w:val="auto"/>
              </w:rPr>
              <w:t>Financial Institution Bond for Investment</w:t>
            </w:r>
          </w:p>
        </w:tc>
        <w:tc>
          <w:tcPr>
            <w:tcW w:w="2520" w:type="dxa"/>
            <w:vAlign w:val="bottom"/>
            <w:tcBorders>
              <w:right w:val="single" w:sz="8" w:color="auto"/>
            </w:tcBorders>
          </w:tcPr>
          <w:p>
            <w:pPr>
              <w:jc w:val="right"/>
              <w:ind w:right="660"/>
              <w:spacing w:after="0" w:line="201" w:lineRule="exact"/>
              <w:rPr>
                <w:sz w:val="20"/>
                <w:szCs w:val="20"/>
                <w:color w:val="auto"/>
              </w:rPr>
            </w:pPr>
            <w:r>
              <w:rPr>
                <w:rFonts w:ascii="Arial" w:cs="Arial" w:eastAsia="Arial" w:hAnsi="Arial"/>
                <w:sz w:val="20"/>
                <w:szCs w:val="20"/>
                <w:color w:val="auto"/>
              </w:rPr>
              <w:t>09-28-2025</w:t>
            </w:r>
          </w:p>
        </w:tc>
        <w:tc>
          <w:tcPr>
            <w:tcW w:w="3420" w:type="dxa"/>
            <w:vAlign w:val="bottom"/>
            <w:tcBorders>
              <w:right w:val="single" w:sz="8" w:color="auto"/>
            </w:tcBorders>
            <w:gridSpan w:val="2"/>
          </w:tcPr>
          <w:p>
            <w:pPr>
              <w:jc w:val="right"/>
              <w:ind w:right="20"/>
              <w:spacing w:after="0" w:line="201" w:lineRule="exact"/>
              <w:rPr>
                <w:sz w:val="20"/>
                <w:szCs w:val="20"/>
                <w:color w:val="auto"/>
              </w:rPr>
            </w:pPr>
            <w:r>
              <w:rPr>
                <w:rFonts w:ascii="Arial" w:cs="Arial" w:eastAsia="Arial" w:hAnsi="Arial"/>
                <w:sz w:val="20"/>
                <w:szCs w:val="20"/>
                <w:color w:val="auto"/>
              </w:rPr>
              <w:t>$2,500.00</w:t>
            </w:r>
          </w:p>
        </w:tc>
      </w:tr>
      <w:tr>
        <w:trPr>
          <w:trHeight w:val="249"/>
        </w:trPr>
        <w:tc>
          <w:tcPr>
            <w:tcW w:w="446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Arial" w:cs="Arial" w:eastAsia="Arial" w:hAnsi="Arial"/>
                <w:sz w:val="20"/>
                <w:szCs w:val="20"/>
                <w:color w:val="auto"/>
              </w:rPr>
              <w:t>Companies</w:t>
            </w:r>
          </w:p>
        </w:tc>
        <w:tc>
          <w:tcPr>
            <w:tcW w:w="252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0" w:type="dxa"/>
            <w:vAlign w:val="bottom"/>
            <w:tcBorders>
              <w:bottom w:val="single" w:sz="8" w:color="auto"/>
              <w:right w:val="single" w:sz="8" w:color="auto"/>
            </w:tcBorders>
          </w:tcPr>
          <w:p>
            <w:pPr>
              <w:spacing w:after="0"/>
              <w:rPr>
                <w:sz w:val="21"/>
                <w:szCs w:val="21"/>
                <w:color w:val="auto"/>
              </w:rPr>
            </w:pPr>
          </w:p>
        </w:tc>
      </w:tr>
      <w:tr>
        <w:trPr>
          <w:trHeight w:val="220"/>
        </w:trPr>
        <w:tc>
          <w:tcPr>
            <w:tcW w:w="3560" w:type="dxa"/>
            <w:vAlign w:val="bottom"/>
          </w:tcPr>
          <w:p>
            <w:pPr>
              <w:spacing w:after="0"/>
              <w:rPr>
                <w:sz w:val="19"/>
                <w:szCs w:val="19"/>
                <w:color w:val="auto"/>
              </w:rPr>
            </w:pPr>
          </w:p>
        </w:tc>
        <w:tc>
          <w:tcPr>
            <w:tcW w:w="3420" w:type="dxa"/>
            <w:vAlign w:val="bottom"/>
            <w:tcBorders>
              <w:bottom w:val="single" w:sz="8" w:color="auto"/>
            </w:tcBorders>
            <w:gridSpan w:val="2"/>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0"/>
        </w:trPr>
        <w:tc>
          <w:tcPr>
            <w:tcW w:w="3560" w:type="dxa"/>
            <w:vAlign w:val="bottom"/>
            <w:tcBorders>
              <w:right w:val="single" w:sz="8" w:color="auto"/>
            </w:tcBorders>
          </w:tcPr>
          <w:p>
            <w:pPr>
              <w:spacing w:after="0"/>
              <w:rPr>
                <w:sz w:val="19"/>
                <w:szCs w:val="19"/>
                <w:color w:val="auto"/>
              </w:rPr>
            </w:pPr>
          </w:p>
        </w:tc>
        <w:tc>
          <w:tcPr>
            <w:tcW w:w="3420" w:type="dxa"/>
            <w:vAlign w:val="bottom"/>
            <w:tcBorders>
              <w:bottom w:val="single" w:sz="8" w:color="auto"/>
            </w:tcBorders>
            <w:gridSpan w:val="2"/>
          </w:tcPr>
          <w:p>
            <w:pPr>
              <w:ind w:left="80"/>
              <w:spacing w:after="0" w:line="220" w:lineRule="exact"/>
              <w:rPr>
                <w:sz w:val="20"/>
                <w:szCs w:val="20"/>
                <w:color w:val="auto"/>
              </w:rPr>
            </w:pPr>
            <w:r>
              <w:rPr>
                <w:rFonts w:ascii="Arial" w:cs="Arial" w:eastAsia="Arial" w:hAnsi="Arial"/>
                <w:sz w:val="20"/>
                <w:szCs w:val="20"/>
                <w:b w:val="1"/>
                <w:bCs w:val="1"/>
                <w:color w:val="auto"/>
              </w:rPr>
              <w:t>TOTAL POLICY PREMIUM</w:t>
            </w:r>
          </w:p>
        </w:tc>
        <w:tc>
          <w:tcPr>
            <w:tcW w:w="620" w:type="dxa"/>
            <w:vAlign w:val="bottom"/>
            <w:tcBorders>
              <w:bottom w:val="single" w:sz="8" w:color="auto"/>
              <w:right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jc w:val="right"/>
              <w:ind w:right="20"/>
              <w:spacing w:after="0" w:line="220" w:lineRule="exact"/>
              <w:rPr>
                <w:sz w:val="20"/>
                <w:szCs w:val="20"/>
                <w:color w:val="auto"/>
              </w:rPr>
            </w:pPr>
            <w:r>
              <w:rPr>
                <w:rFonts w:ascii="Arial" w:cs="Arial" w:eastAsia="Arial" w:hAnsi="Arial"/>
                <w:sz w:val="20"/>
                <w:szCs w:val="20"/>
                <w:color w:val="auto"/>
              </w:rPr>
              <w:t>$2,500.00</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WHEN REMITTING PLEASE INDICATE POLICY OR CERTIFICATE NUMBER</w:t>
      </w:r>
    </w:p>
    <w:p>
      <w:pPr>
        <w:sectPr>
          <w:pgSz w:w="12240" w:h="15840" w:orient="portrait"/>
          <w:cols w:equalWidth="0" w:num="1">
            <w:col w:w="10380"/>
          </w:cols>
          <w:pgMar w:left="960" w:top="1440" w:right="900" w:bottom="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Form 26-10-0426 (Ed. 2/98)</w:t>
      </w:r>
    </w:p>
    <w:p>
      <w:pPr>
        <w:sectPr>
          <w:pgSz w:w="12240" w:h="15840" w:orient="portrait"/>
          <w:cols w:equalWidth="0" w:num="1">
            <w:col w:w="10380"/>
          </w:cols>
          <w:pgMar w:left="960" w:top="1440" w:right="900" w:bottom="38" w:gutter="0" w:footer="0" w:header="0"/>
          <w:type w:val="continuous"/>
        </w:sectPr>
      </w:pPr>
    </w:p>
    <w:bookmarkStart w:id="3" w:name="page4"/>
    <w:bookmarkEnd w:id="3"/>
    <w:p>
      <w:pPr>
        <w:ind w:left="634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282700" cy="127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1282700" cy="127000"/>
                    </a:xfrm>
                    <a:prstGeom prst="rect">
                      <a:avLst/>
                    </a:prstGeom>
                    <a:noFill/>
                  </pic:spPr>
                </pic:pic>
              </a:graphicData>
            </a:graphic>
          </wp:anchor>
        </w:drawing>
      </w:r>
    </w:p>
    <w:p>
      <w:pPr>
        <w:ind w:left="6260"/>
        <w:spacing w:after="0"/>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199390</wp:posOffset>
            </wp:positionV>
            <wp:extent cx="658939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extLst>
                    </a:blip>
                    <a:srcRect/>
                    <a:stretch>
                      <a:fillRect/>
                    </a:stretch>
                  </pic:blipFill>
                  <pic:spPr bwMode="auto">
                    <a:xfrm>
                      <a:off x="0" y="0"/>
                      <a:ext cx="6589395" cy="19050"/>
                    </a:xfrm>
                    <a:prstGeom prst="rect">
                      <a:avLst/>
                    </a:prstGeom>
                    <a:noFill/>
                  </pic:spPr>
                </pic:pic>
              </a:graphicData>
            </a:graphic>
          </wp:anchor>
        </w:drawing>
      </w:r>
    </w:p>
    <w:p>
      <w:pPr>
        <w:sectPr>
          <w:pgSz w:w="12240" w:h="15840" w:orient="portrait"/>
          <w:cols w:equalWidth="0" w:num="1">
            <w:col w:w="10160"/>
          </w:cols>
          <w:pgMar w:left="1080" w:top="700" w:right="1000" w:bottom="157"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DECLARATIONS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Name of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65" w:lineRule="exact"/>
        <w:rPr>
          <w:sz w:val="20"/>
          <w:szCs w:val="20"/>
          <w:color w:val="auto"/>
        </w:rPr>
      </w:pPr>
    </w:p>
    <w:p>
      <w:pPr>
        <w:spacing w:after="0"/>
        <w:rPr>
          <w:sz w:val="20"/>
          <w:szCs w:val="20"/>
          <w:color w:val="auto"/>
        </w:rPr>
      </w:pPr>
      <w:r>
        <w:rPr>
          <w:rFonts w:ascii="Arial" w:cs="Arial" w:eastAsia="Arial" w:hAnsi="Arial"/>
          <w:sz w:val="20"/>
          <w:szCs w:val="20"/>
          <w:color w:val="auto"/>
        </w:rPr>
        <w:t>ARROWMARK FINANCIAL CORP.</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Address of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65" w:lineRule="exact"/>
        <w:rPr>
          <w:sz w:val="20"/>
          <w:szCs w:val="20"/>
          <w:color w:val="auto"/>
        </w:rPr>
      </w:pPr>
    </w:p>
    <w:p>
      <w:pPr>
        <w:ind w:right="1880"/>
        <w:spacing w:after="0" w:line="257" w:lineRule="auto"/>
        <w:rPr>
          <w:sz w:val="20"/>
          <w:szCs w:val="20"/>
          <w:color w:val="auto"/>
        </w:rPr>
      </w:pPr>
      <w:r>
        <w:rPr>
          <w:rFonts w:ascii="Arial" w:cs="Arial" w:eastAsia="Arial" w:hAnsi="Arial"/>
          <w:sz w:val="20"/>
          <w:szCs w:val="20"/>
          <w:color w:val="auto"/>
        </w:rPr>
        <w:t>100 FILLMORE STREET SUITE 325 DENVER, CO 80206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INSURANCE COMPANY</w:t>
      </w:r>
    </w:p>
    <w:p>
      <w:pPr>
        <w:spacing w:after="0" w:line="65"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color w:val="auto"/>
        </w:rPr>
        <w:t>Incorporated under the laws of Indiana, a stock insurance company, herein called the Company</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color w:val="auto"/>
        </w:rPr>
        <w:t>One American Square 202 N Illinois Street,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Suite 2600</w:t>
      </w:r>
    </w:p>
    <w:p>
      <w:pPr>
        <w:spacing w:after="0"/>
        <w:rPr>
          <w:sz w:val="20"/>
          <w:szCs w:val="20"/>
          <w:color w:val="auto"/>
        </w:rPr>
      </w:pPr>
      <w:r>
        <w:rPr>
          <w:rFonts w:ascii="Arial" w:cs="Arial" w:eastAsia="Arial" w:hAnsi="Arial"/>
          <w:sz w:val="20"/>
          <w:szCs w:val="20"/>
          <w:color w:val="auto"/>
        </w:rPr>
        <w:t>Indianapolis, IN 46282</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Bond Number: J0604136A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-3789680</wp:posOffset>
                </wp:positionH>
                <wp:positionV relativeFrom="paragraph">
                  <wp:posOffset>84455</wp:posOffset>
                </wp:positionV>
                <wp:extent cx="658939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893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3999pt,6.65pt" to="220.45pt,6.65pt" o:allowincell="f" strokecolor="#000000" strokeweight="1pt"/>
            </w:pict>
          </mc:Fallback>
        </mc:AlternateContent>
      </w:r>
    </w:p>
    <w:p>
      <w:pPr>
        <w:spacing w:after="0" w:line="200" w:lineRule="exact"/>
        <w:rPr>
          <w:sz w:val="20"/>
          <w:szCs w:val="20"/>
          <w:color w:val="auto"/>
        </w:rPr>
      </w:pPr>
    </w:p>
    <w:p>
      <w:pPr>
        <w:sectPr>
          <w:pgSz w:w="12240" w:h="15840" w:orient="portrait"/>
          <w:cols w:equalWidth="0" w:num="2">
            <w:col w:w="5140" w:space="720"/>
            <w:col w:w="4300"/>
          </w:cols>
          <w:pgMar w:left="1080" w:top="700" w:right="1000" w:bottom="157" w:gutter="0" w:footer="0" w:header="0"/>
          <w:type w:val="continuous"/>
        </w:sectPr>
      </w:pP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spacing w:after="0"/>
              <w:rPr>
                <w:sz w:val="20"/>
                <w:szCs w:val="20"/>
                <w:color w:val="auto"/>
              </w:rPr>
            </w:pPr>
            <w:r>
              <w:rPr>
                <w:rFonts w:ascii="Arial" w:cs="Arial" w:eastAsia="Arial" w:hAnsi="Arial"/>
                <w:sz w:val="20"/>
                <w:szCs w:val="20"/>
                <w:color w:val="auto"/>
              </w:rPr>
              <w:t>Item 1.   Bond Period:</w:t>
            </w:r>
          </w:p>
        </w:tc>
        <w:tc>
          <w:tcPr>
            <w:tcW w:w="640" w:type="dxa"/>
            <w:vAlign w:val="bottom"/>
          </w:tcPr>
          <w:p>
            <w:pPr>
              <w:spacing w:after="0"/>
              <w:rPr>
                <w:sz w:val="20"/>
                <w:szCs w:val="20"/>
                <w:color w:val="auto"/>
              </w:rPr>
            </w:pPr>
            <w:r>
              <w:rPr>
                <w:rFonts w:ascii="Arial" w:cs="Arial" w:eastAsia="Arial" w:hAnsi="Arial"/>
                <w:sz w:val="20"/>
                <w:szCs w:val="20"/>
                <w:color w:val="auto"/>
              </w:rPr>
              <w:t>From:</w:t>
            </w:r>
          </w:p>
        </w:tc>
        <w:tc>
          <w:tcPr>
            <w:tcW w:w="4180" w:type="dxa"/>
            <w:vAlign w:val="bottom"/>
            <w:gridSpan w:val="2"/>
          </w:tcPr>
          <w:p>
            <w:pPr>
              <w:ind w:left="80"/>
              <w:spacing w:after="0"/>
              <w:rPr>
                <w:sz w:val="20"/>
                <w:szCs w:val="20"/>
                <w:color w:val="auto"/>
              </w:rPr>
            </w:pPr>
            <w:r>
              <w:rPr>
                <w:rFonts w:ascii="Arial" w:cs="Arial" w:eastAsia="Arial" w:hAnsi="Arial"/>
                <w:sz w:val="20"/>
                <w:szCs w:val="20"/>
                <w:color w:val="auto"/>
              </w:rPr>
              <w:t>September 28, 2025</w:t>
            </w:r>
          </w:p>
        </w:tc>
        <w:tc>
          <w:tcPr>
            <w:tcW w:w="2260" w:type="dxa"/>
            <w:vAlign w:val="bottom"/>
          </w:tcPr>
          <w:p>
            <w:pPr>
              <w:spacing w:after="0"/>
              <w:rPr>
                <w:sz w:val="19"/>
                <w:szCs w:val="19"/>
                <w:color w:val="auto"/>
              </w:rPr>
            </w:pPr>
          </w:p>
        </w:tc>
      </w:tr>
      <w:tr>
        <w:trPr>
          <w:trHeight w:val="219"/>
        </w:trPr>
        <w:tc>
          <w:tcPr>
            <w:tcW w:w="1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0" w:type="dxa"/>
            <w:vAlign w:val="bottom"/>
          </w:tcPr>
          <w:p>
            <w:pPr>
              <w:spacing w:after="0" w:line="219" w:lineRule="exact"/>
              <w:rPr>
                <w:sz w:val="20"/>
                <w:szCs w:val="20"/>
                <w:color w:val="auto"/>
              </w:rPr>
            </w:pPr>
            <w:r>
              <w:rPr>
                <w:rFonts w:ascii="Arial" w:cs="Arial" w:eastAsia="Arial" w:hAnsi="Arial"/>
                <w:sz w:val="20"/>
                <w:szCs w:val="20"/>
                <w:color w:val="auto"/>
              </w:rPr>
              <w:t>To:</w:t>
            </w:r>
          </w:p>
        </w:tc>
        <w:tc>
          <w:tcPr>
            <w:tcW w:w="4180" w:type="dxa"/>
            <w:vAlign w:val="bottom"/>
            <w:gridSpan w:val="2"/>
          </w:tcPr>
          <w:p>
            <w:pPr>
              <w:ind w:left="80"/>
              <w:spacing w:after="0" w:line="219" w:lineRule="exact"/>
              <w:rPr>
                <w:sz w:val="20"/>
                <w:szCs w:val="20"/>
                <w:color w:val="auto"/>
              </w:rPr>
            </w:pPr>
            <w:r>
              <w:rPr>
                <w:rFonts w:ascii="Arial" w:cs="Arial" w:eastAsia="Arial" w:hAnsi="Arial"/>
                <w:sz w:val="20"/>
                <w:szCs w:val="20"/>
                <w:color w:val="auto"/>
              </w:rPr>
              <w:t>September 28, 2026</w:t>
            </w:r>
          </w:p>
        </w:tc>
        <w:tc>
          <w:tcPr>
            <w:tcW w:w="226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820" w:type="dxa"/>
            <w:vAlign w:val="bottom"/>
            <w:gridSpan w:val="3"/>
          </w:tcPr>
          <w:p>
            <w:pPr>
              <w:spacing w:after="0"/>
              <w:rPr>
                <w:sz w:val="20"/>
                <w:szCs w:val="20"/>
                <w:color w:val="auto"/>
              </w:rPr>
            </w:pPr>
            <w:r>
              <w:rPr>
                <w:rFonts w:ascii="Arial" w:cs="Arial" w:eastAsia="Arial" w:hAnsi="Arial"/>
                <w:sz w:val="20"/>
                <w:szCs w:val="20"/>
                <w:color w:val="auto"/>
              </w:rPr>
              <w:t xml:space="preserve">At 12:01 A.M. local time at the Address of </w:t>
            </w:r>
            <w:r>
              <w:rPr>
                <w:rFonts w:ascii="Arial" w:cs="Arial" w:eastAsia="Arial" w:hAnsi="Arial"/>
                <w:sz w:val="20"/>
                <w:szCs w:val="20"/>
                <w:b w:val="1"/>
                <w:bCs w:val="1"/>
                <w:color w:val="auto"/>
              </w:rPr>
              <w:t>Assured</w:t>
            </w:r>
            <w:r>
              <w:rPr>
                <w:rFonts w:ascii="Arial" w:cs="Arial" w:eastAsia="Arial" w:hAnsi="Arial"/>
                <w:sz w:val="20"/>
                <w:szCs w:val="20"/>
                <w:color w:val="auto"/>
              </w:rPr>
              <w:t>.</w:t>
            </w:r>
          </w:p>
        </w:tc>
        <w:tc>
          <w:tcPr>
            <w:tcW w:w="2260" w:type="dxa"/>
            <w:vAlign w:val="bottom"/>
          </w:tcPr>
          <w:p>
            <w:pPr>
              <w:spacing w:after="0"/>
              <w:rPr>
                <w:sz w:val="22"/>
                <w:szCs w:val="22"/>
                <w:color w:val="auto"/>
              </w:rPr>
            </w:pPr>
          </w:p>
        </w:tc>
      </w:tr>
      <w:tr>
        <w:trPr>
          <w:trHeight w:val="467"/>
        </w:trPr>
        <w:tc>
          <w:tcPr>
            <w:tcW w:w="7700" w:type="dxa"/>
            <w:vAlign w:val="bottom"/>
            <w:gridSpan w:val="5"/>
          </w:tcPr>
          <w:p>
            <w:pPr>
              <w:spacing w:after="0"/>
              <w:rPr>
                <w:sz w:val="20"/>
                <w:szCs w:val="20"/>
                <w:color w:val="auto"/>
              </w:rPr>
            </w:pPr>
            <w:r>
              <w:rPr>
                <w:rFonts w:ascii="Arial" w:cs="Arial" w:eastAsia="Arial" w:hAnsi="Arial"/>
                <w:sz w:val="20"/>
                <w:szCs w:val="20"/>
                <w:color w:val="auto"/>
              </w:rPr>
              <w:t>Item 2.  Single Loss Limits Of Liability – Deductible Amounts:</w:t>
            </w:r>
          </w:p>
        </w:tc>
        <w:tc>
          <w:tcPr>
            <w:tcW w:w="2260" w:type="dxa"/>
            <w:vAlign w:val="bottom"/>
          </w:tcPr>
          <w:p>
            <w:pPr>
              <w:spacing w:after="0"/>
              <w:rPr>
                <w:sz w:val="24"/>
                <w:szCs w:val="24"/>
                <w:color w:val="auto"/>
              </w:rPr>
            </w:pPr>
          </w:p>
        </w:tc>
      </w:tr>
      <w:tr>
        <w:trPr>
          <w:trHeight w:val="377"/>
        </w:trPr>
        <w:tc>
          <w:tcPr>
            <w:tcW w:w="1160" w:type="dxa"/>
            <w:vAlign w:val="bottom"/>
          </w:tcPr>
          <w:p>
            <w:pPr>
              <w:spacing w:after="0"/>
              <w:rPr>
                <w:sz w:val="24"/>
                <w:szCs w:val="24"/>
                <w:color w:val="auto"/>
              </w:rPr>
            </w:pPr>
          </w:p>
        </w:tc>
        <w:tc>
          <w:tcPr>
            <w:tcW w:w="3460" w:type="dxa"/>
            <w:vAlign w:val="bottom"/>
            <w:gridSpan w:val="3"/>
          </w:tcPr>
          <w:p>
            <w:pPr>
              <w:ind w:left="840"/>
              <w:spacing w:after="0"/>
              <w:rPr>
                <w:sz w:val="20"/>
                <w:szCs w:val="20"/>
                <w:color w:val="auto"/>
              </w:rPr>
            </w:pPr>
            <w:r>
              <w:rPr>
                <w:rFonts w:ascii="Arial" w:cs="Arial" w:eastAsia="Arial" w:hAnsi="Arial"/>
                <w:sz w:val="20"/>
                <w:szCs w:val="20"/>
                <w:b w:val="1"/>
                <w:bCs w:val="1"/>
                <w:color w:val="auto"/>
              </w:rPr>
              <w:t>Insuring Clause</w:t>
            </w:r>
          </w:p>
        </w:tc>
        <w:tc>
          <w:tcPr>
            <w:tcW w:w="3080" w:type="dxa"/>
            <w:vAlign w:val="bottom"/>
          </w:tcPr>
          <w:p>
            <w:pPr>
              <w:ind w:left="700"/>
              <w:spacing w:after="0"/>
              <w:rPr>
                <w:sz w:val="20"/>
                <w:szCs w:val="20"/>
                <w:color w:val="auto"/>
              </w:rPr>
            </w:pPr>
            <w:r>
              <w:rPr>
                <w:rFonts w:ascii="Arial" w:cs="Arial" w:eastAsia="Arial" w:hAnsi="Arial"/>
                <w:sz w:val="20"/>
                <w:szCs w:val="20"/>
                <w:b w:val="1"/>
                <w:bCs w:val="1"/>
                <w:color w:val="auto"/>
              </w:rPr>
              <w:t>Single Loss Limit Of</w:t>
            </w:r>
          </w:p>
        </w:tc>
        <w:tc>
          <w:tcPr>
            <w:tcW w:w="2260" w:type="dxa"/>
            <w:vAlign w:val="bottom"/>
          </w:tcPr>
          <w:p>
            <w:pPr>
              <w:ind w:left="260"/>
              <w:spacing w:after="0"/>
              <w:rPr>
                <w:sz w:val="20"/>
                <w:szCs w:val="20"/>
                <w:color w:val="auto"/>
              </w:rPr>
            </w:pPr>
            <w:r>
              <w:rPr>
                <w:rFonts w:ascii="Arial" w:cs="Arial" w:eastAsia="Arial" w:hAnsi="Arial"/>
                <w:sz w:val="20"/>
                <w:szCs w:val="20"/>
                <w:b w:val="1"/>
                <w:bCs w:val="1"/>
                <w:color w:val="auto"/>
              </w:rPr>
              <w:t>Deductible Amount</w:t>
            </w:r>
          </w:p>
        </w:tc>
      </w:tr>
      <w:tr>
        <w:trPr>
          <w:trHeight w:val="257"/>
        </w:trPr>
        <w:tc>
          <w:tcPr>
            <w:tcW w:w="11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80" w:type="dxa"/>
            <w:vAlign w:val="bottom"/>
          </w:tcPr>
          <w:p>
            <w:pPr>
              <w:ind w:left="1300"/>
              <w:spacing w:after="0"/>
              <w:rPr>
                <w:sz w:val="20"/>
                <w:szCs w:val="20"/>
                <w:color w:val="auto"/>
              </w:rPr>
            </w:pPr>
            <w:r>
              <w:rPr>
                <w:rFonts w:ascii="Arial" w:cs="Arial" w:eastAsia="Arial" w:hAnsi="Arial"/>
                <w:sz w:val="20"/>
                <w:szCs w:val="20"/>
                <w:b w:val="1"/>
                <w:bCs w:val="1"/>
                <w:color w:val="auto"/>
              </w:rPr>
              <w:t>Liability</w:t>
            </w:r>
          </w:p>
        </w:tc>
        <w:tc>
          <w:tcPr>
            <w:tcW w:w="2260" w:type="dxa"/>
            <w:vAlign w:val="bottom"/>
          </w:tcPr>
          <w:p>
            <w:pPr>
              <w:spacing w:after="0"/>
              <w:rPr>
                <w:sz w:val="22"/>
                <w:szCs w:val="22"/>
                <w:color w:val="auto"/>
              </w:rPr>
            </w:pPr>
          </w:p>
        </w:tc>
      </w:tr>
      <w:tr>
        <w:trPr>
          <w:trHeight w:val="287"/>
        </w:trPr>
        <w:tc>
          <w:tcPr>
            <w:tcW w:w="1160" w:type="dxa"/>
            <w:vAlign w:val="bottom"/>
          </w:tcPr>
          <w:p>
            <w:pPr>
              <w:ind w:left="840"/>
              <w:spacing w:after="0"/>
              <w:rPr>
                <w:sz w:val="20"/>
                <w:szCs w:val="20"/>
                <w:color w:val="auto"/>
              </w:rPr>
            </w:pPr>
            <w:r>
              <w:rPr>
                <w:rFonts w:ascii="Arial" w:cs="Arial" w:eastAsia="Arial" w:hAnsi="Arial"/>
                <w:sz w:val="20"/>
                <w:szCs w:val="20"/>
                <w:color w:val="auto"/>
              </w:rPr>
              <w:t>1.</w:t>
            </w:r>
          </w:p>
        </w:tc>
        <w:tc>
          <w:tcPr>
            <w:tcW w:w="1720" w:type="dxa"/>
            <w:vAlign w:val="bottom"/>
          </w:tcPr>
          <w:p>
            <w:pPr>
              <w:ind w:left="40"/>
              <w:spacing w:after="0"/>
              <w:rPr>
                <w:sz w:val="20"/>
                <w:szCs w:val="20"/>
                <w:color w:val="auto"/>
              </w:rPr>
            </w:pPr>
            <w:r>
              <w:rPr>
                <w:rFonts w:ascii="Arial" w:cs="Arial" w:eastAsia="Arial" w:hAnsi="Arial"/>
                <w:sz w:val="20"/>
                <w:szCs w:val="20"/>
                <w:color w:val="auto"/>
              </w:rPr>
              <w:t>Employee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2.</w:t>
            </w:r>
          </w:p>
        </w:tc>
        <w:tc>
          <w:tcPr>
            <w:tcW w:w="1720" w:type="dxa"/>
            <w:vAlign w:val="bottom"/>
          </w:tcPr>
          <w:p>
            <w:pPr>
              <w:ind w:left="40"/>
              <w:spacing w:after="0"/>
              <w:rPr>
                <w:sz w:val="20"/>
                <w:szCs w:val="20"/>
                <w:color w:val="auto"/>
              </w:rPr>
            </w:pPr>
            <w:r>
              <w:rPr>
                <w:rFonts w:ascii="Arial" w:cs="Arial" w:eastAsia="Arial" w:hAnsi="Arial"/>
                <w:sz w:val="20"/>
                <w:szCs w:val="20"/>
                <w:color w:val="auto"/>
              </w:rPr>
              <w:t>On Premises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3.</w:t>
            </w:r>
          </w:p>
        </w:tc>
        <w:tc>
          <w:tcPr>
            <w:tcW w:w="1720" w:type="dxa"/>
            <w:vAlign w:val="bottom"/>
          </w:tcPr>
          <w:p>
            <w:pPr>
              <w:ind w:left="40"/>
              <w:spacing w:after="0"/>
              <w:rPr>
                <w:sz w:val="20"/>
                <w:szCs w:val="20"/>
                <w:color w:val="auto"/>
              </w:rPr>
            </w:pPr>
            <w:r>
              <w:rPr>
                <w:rFonts w:ascii="Arial" w:cs="Arial" w:eastAsia="Arial" w:hAnsi="Arial"/>
                <w:sz w:val="20"/>
                <w:szCs w:val="20"/>
                <w:color w:val="auto"/>
              </w:rPr>
              <w:t>In Transit</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4.</w:t>
            </w:r>
          </w:p>
        </w:tc>
        <w:tc>
          <w:tcPr>
            <w:tcW w:w="2360" w:type="dxa"/>
            <w:vAlign w:val="bottom"/>
            <w:gridSpan w:val="2"/>
          </w:tcPr>
          <w:p>
            <w:pPr>
              <w:ind w:left="40"/>
              <w:spacing w:after="0"/>
              <w:rPr>
                <w:sz w:val="20"/>
                <w:szCs w:val="20"/>
                <w:color w:val="auto"/>
              </w:rPr>
            </w:pPr>
            <w:r>
              <w:rPr>
                <w:rFonts w:ascii="Arial" w:cs="Arial" w:eastAsia="Arial" w:hAnsi="Arial"/>
                <w:sz w:val="20"/>
                <w:szCs w:val="20"/>
                <w:color w:val="auto"/>
              </w:rPr>
              <w:t>Forgery Or Alteration</w:t>
            </w: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5.</w:t>
            </w:r>
          </w:p>
        </w:tc>
        <w:tc>
          <w:tcPr>
            <w:tcW w:w="1720" w:type="dxa"/>
            <w:vAlign w:val="bottom"/>
          </w:tcPr>
          <w:p>
            <w:pPr>
              <w:ind w:left="40"/>
              <w:spacing w:after="0"/>
              <w:rPr>
                <w:sz w:val="20"/>
                <w:szCs w:val="20"/>
                <w:color w:val="auto"/>
              </w:rPr>
            </w:pPr>
            <w:r>
              <w:rPr>
                <w:rFonts w:ascii="Arial" w:cs="Arial" w:eastAsia="Arial" w:hAnsi="Arial"/>
                <w:sz w:val="20"/>
                <w:szCs w:val="20"/>
                <w:color w:val="auto"/>
              </w:rPr>
              <w:t>Extended Forgery</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6.</w:t>
            </w:r>
          </w:p>
        </w:tc>
        <w:tc>
          <w:tcPr>
            <w:tcW w:w="1720" w:type="dxa"/>
            <w:vAlign w:val="bottom"/>
          </w:tcPr>
          <w:p>
            <w:pPr>
              <w:ind w:left="40"/>
              <w:spacing w:after="0"/>
              <w:rPr>
                <w:sz w:val="20"/>
                <w:szCs w:val="20"/>
                <w:color w:val="auto"/>
              </w:rPr>
            </w:pPr>
            <w:r>
              <w:rPr>
                <w:rFonts w:ascii="Arial" w:cs="Arial" w:eastAsia="Arial" w:hAnsi="Arial"/>
                <w:sz w:val="20"/>
                <w:szCs w:val="20"/>
                <w:color w:val="auto"/>
              </w:rPr>
              <w:t>Counterfeit Money</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7.</w:t>
            </w:r>
          </w:p>
        </w:tc>
        <w:tc>
          <w:tcPr>
            <w:tcW w:w="2360" w:type="dxa"/>
            <w:vAlign w:val="bottom"/>
            <w:gridSpan w:val="2"/>
          </w:tcPr>
          <w:p>
            <w:pPr>
              <w:ind w:left="40"/>
              <w:spacing w:after="0"/>
              <w:rPr>
                <w:sz w:val="20"/>
                <w:szCs w:val="20"/>
                <w:color w:val="auto"/>
              </w:rPr>
            </w:pPr>
            <w:r>
              <w:rPr>
                <w:rFonts w:ascii="Arial" w:cs="Arial" w:eastAsia="Arial" w:hAnsi="Arial"/>
                <w:sz w:val="20"/>
                <w:szCs w:val="20"/>
                <w:color w:val="auto"/>
              </w:rPr>
              <w:t>Computer System Fraud</w:t>
            </w: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8.</w:t>
            </w:r>
          </w:p>
        </w:tc>
        <w:tc>
          <w:tcPr>
            <w:tcW w:w="1720" w:type="dxa"/>
            <w:vAlign w:val="bottom"/>
          </w:tcPr>
          <w:p>
            <w:pPr>
              <w:ind w:left="40"/>
              <w:spacing w:after="0"/>
              <w:rPr>
                <w:sz w:val="20"/>
                <w:szCs w:val="20"/>
                <w:color w:val="auto"/>
              </w:rPr>
            </w:pPr>
            <w:r>
              <w:rPr>
                <w:rFonts w:ascii="Arial" w:cs="Arial" w:eastAsia="Arial" w:hAnsi="Arial"/>
                <w:sz w:val="20"/>
                <w:szCs w:val="20"/>
                <w:color w:val="auto"/>
              </w:rPr>
              <w:t>Claims Expense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Not Covered</w:t>
            </w:r>
          </w:p>
        </w:tc>
        <w:tc>
          <w:tcPr>
            <w:tcW w:w="2260" w:type="dxa"/>
            <w:vAlign w:val="bottom"/>
          </w:tcPr>
          <w:p>
            <w:pPr>
              <w:ind w:left="360"/>
              <w:spacing w:after="0"/>
              <w:rPr>
                <w:sz w:val="20"/>
                <w:szCs w:val="20"/>
                <w:color w:val="auto"/>
              </w:rPr>
            </w:pPr>
            <w:r>
              <w:rPr>
                <w:rFonts w:ascii="Arial" w:cs="Arial" w:eastAsia="Arial" w:hAnsi="Arial"/>
                <w:sz w:val="20"/>
                <w:szCs w:val="20"/>
                <w:color w:val="auto"/>
              </w:rPr>
              <w:t>Not Covered</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9.</w:t>
            </w:r>
          </w:p>
        </w:tc>
        <w:tc>
          <w:tcPr>
            <w:tcW w:w="1720" w:type="dxa"/>
            <w:vAlign w:val="bottom"/>
          </w:tcPr>
          <w:p>
            <w:pPr>
              <w:ind w:left="40"/>
              <w:spacing w:after="0"/>
              <w:rPr>
                <w:sz w:val="20"/>
                <w:szCs w:val="20"/>
                <w:color w:val="auto"/>
              </w:rPr>
            </w:pPr>
            <w:r>
              <w:rPr>
                <w:rFonts w:ascii="Arial" w:cs="Arial" w:eastAsia="Arial" w:hAnsi="Arial"/>
                <w:sz w:val="20"/>
                <w:szCs w:val="20"/>
                <w:color w:val="auto"/>
              </w:rPr>
              <w:t>Audit Expense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47"/>
        </w:trPr>
        <w:tc>
          <w:tcPr>
            <w:tcW w:w="1160" w:type="dxa"/>
            <w:vAlign w:val="bottom"/>
          </w:tcPr>
          <w:p>
            <w:pPr>
              <w:ind w:left="840"/>
              <w:spacing w:after="0"/>
              <w:rPr>
                <w:sz w:val="20"/>
                <w:szCs w:val="20"/>
                <w:color w:val="auto"/>
              </w:rPr>
            </w:pPr>
            <w:r>
              <w:rPr>
                <w:rFonts w:ascii="Arial" w:cs="Arial" w:eastAsia="Arial" w:hAnsi="Arial"/>
                <w:sz w:val="20"/>
                <w:szCs w:val="20"/>
                <w:color w:val="auto"/>
              </w:rPr>
              <w:t>10.</w:t>
            </w:r>
          </w:p>
        </w:tc>
        <w:tc>
          <w:tcPr>
            <w:tcW w:w="3460" w:type="dxa"/>
            <w:vAlign w:val="bottom"/>
            <w:gridSpan w:val="3"/>
          </w:tcPr>
          <w:p>
            <w:pPr>
              <w:ind w:left="40"/>
              <w:spacing w:after="0"/>
              <w:rPr>
                <w:sz w:val="20"/>
                <w:szCs w:val="20"/>
                <w:color w:val="auto"/>
              </w:rPr>
            </w:pPr>
            <w:r>
              <w:rPr>
                <w:rFonts w:ascii="Arial" w:cs="Arial" w:eastAsia="Arial" w:hAnsi="Arial"/>
                <w:sz w:val="20"/>
                <w:szCs w:val="20"/>
                <w:color w:val="auto"/>
              </w:rPr>
              <w:t>Uncollectible Items Of Deposit</w:t>
            </w: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325"/>
        </w:trPr>
        <w:tc>
          <w:tcPr>
            <w:tcW w:w="1160" w:type="dxa"/>
            <w:vAlign w:val="bottom"/>
          </w:tcPr>
          <w:p>
            <w:pPr>
              <w:ind w:left="840"/>
              <w:spacing w:after="0"/>
              <w:rPr>
                <w:sz w:val="20"/>
                <w:szCs w:val="20"/>
                <w:color w:val="auto"/>
              </w:rPr>
            </w:pPr>
            <w:r>
              <w:rPr>
                <w:rFonts w:ascii="Arial" w:cs="Arial" w:eastAsia="Arial" w:hAnsi="Arial"/>
                <w:sz w:val="20"/>
                <w:szCs w:val="20"/>
                <w:color w:val="auto"/>
              </w:rPr>
              <w:t>11.</w:t>
            </w:r>
          </w:p>
        </w:tc>
        <w:tc>
          <w:tcPr>
            <w:tcW w:w="3460" w:type="dxa"/>
            <w:vAlign w:val="bottom"/>
            <w:gridSpan w:val="3"/>
          </w:tcPr>
          <w:p>
            <w:pPr>
              <w:ind w:left="40"/>
              <w:spacing w:after="0"/>
              <w:rPr>
                <w:sz w:val="20"/>
                <w:szCs w:val="20"/>
                <w:color w:val="auto"/>
              </w:rPr>
            </w:pPr>
            <w:r>
              <w:rPr>
                <w:rFonts w:ascii="Arial" w:cs="Arial" w:eastAsia="Arial" w:hAnsi="Arial"/>
                <w:sz w:val="20"/>
                <w:szCs w:val="20"/>
                <w:color w:val="auto"/>
              </w:rPr>
              <w:t>Voice Initiated Funds Transfer</w:t>
            </w:r>
          </w:p>
        </w:tc>
        <w:tc>
          <w:tcPr>
            <w:tcW w:w="3080" w:type="dxa"/>
            <w:vAlign w:val="bottom"/>
          </w:tcPr>
          <w:p>
            <w:pPr>
              <w:ind w:left="1240"/>
              <w:spacing w:after="0"/>
              <w:rPr>
                <w:sz w:val="20"/>
                <w:szCs w:val="20"/>
                <w:color w:val="auto"/>
              </w:rPr>
            </w:pPr>
            <w:r>
              <w:rPr>
                <w:rFonts w:ascii="Arial" w:cs="Arial" w:eastAsia="Arial" w:hAnsi="Arial"/>
                <w:sz w:val="20"/>
                <w:szCs w:val="20"/>
                <w:color w:val="auto"/>
              </w:rPr>
              <w:t>$750,000</w:t>
            </w:r>
          </w:p>
        </w:tc>
        <w:tc>
          <w:tcPr>
            <w:tcW w:w="2260" w:type="dxa"/>
            <w:vAlign w:val="bottom"/>
          </w:tcPr>
          <w:p>
            <w:pPr>
              <w:ind w:left="360"/>
              <w:spacing w:after="0"/>
              <w:rPr>
                <w:sz w:val="20"/>
                <w:szCs w:val="20"/>
                <w:color w:val="auto"/>
              </w:rPr>
            </w:pPr>
            <w:r>
              <w:rPr>
                <w:rFonts w:ascii="Arial" w:cs="Arial" w:eastAsia="Arial" w:hAnsi="Arial"/>
                <w:sz w:val="20"/>
                <w:szCs w:val="20"/>
                <w:color w:val="auto"/>
              </w:rPr>
              <w:t>$10,000</w:t>
            </w:r>
          </w:p>
        </w:tc>
      </w:tr>
      <w:tr>
        <w:trPr>
          <w:trHeight w:val="249"/>
        </w:trPr>
        <w:tc>
          <w:tcPr>
            <w:tcW w:w="1160" w:type="dxa"/>
            <w:vAlign w:val="bottom"/>
          </w:tcPr>
          <w:p>
            <w:pPr>
              <w:spacing w:after="0"/>
              <w:rPr>
                <w:sz w:val="21"/>
                <w:szCs w:val="21"/>
                <w:color w:val="auto"/>
              </w:rPr>
            </w:pPr>
          </w:p>
        </w:tc>
        <w:tc>
          <w:tcPr>
            <w:tcW w:w="1720" w:type="dxa"/>
            <w:vAlign w:val="bottom"/>
          </w:tcPr>
          <w:p>
            <w:pPr>
              <w:ind w:left="40"/>
              <w:spacing w:after="0"/>
              <w:rPr>
                <w:sz w:val="20"/>
                <w:szCs w:val="20"/>
                <w:color w:val="auto"/>
              </w:rPr>
            </w:pPr>
            <w:r>
              <w:rPr>
                <w:rFonts w:ascii="Arial" w:cs="Arial" w:eastAsia="Arial" w:hAnsi="Arial"/>
                <w:sz w:val="20"/>
                <w:szCs w:val="20"/>
                <w:color w:val="auto"/>
              </w:rPr>
              <w:t>Instruction</w:t>
            </w: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6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10160"/>
          </w:cols>
          <w:pgMar w:left="1080" w:top="700" w:right="1000" w:bottom="1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PF-52903D (08/21)</w:t>
      </w:r>
      <w:r>
        <w:rPr>
          <w:sz w:val="20"/>
          <w:szCs w:val="20"/>
          <w:color w:val="auto"/>
        </w:rPr>
        <w:tab/>
      </w:r>
      <w:r>
        <w:rPr>
          <w:rFonts w:ascii="Arial" w:cs="Arial" w:eastAsia="Arial" w:hAnsi="Arial"/>
          <w:sz w:val="16"/>
          <w:szCs w:val="16"/>
          <w:color w:val="auto"/>
        </w:rPr>
        <w:t>Page 1 of 2</w:t>
      </w:r>
    </w:p>
    <w:p>
      <w:pPr>
        <w:sectPr>
          <w:pgSz w:w="12240" w:h="15840" w:orient="portrait"/>
          <w:cols w:equalWidth="0" w:num="1">
            <w:col w:w="10160"/>
          </w:cols>
          <w:pgMar w:left="1080" w:top="700" w:right="1000" w:bottom="157"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1282700" cy="127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extLst>
                    </a:blip>
                    <a:srcRect/>
                    <a:stretch>
                      <a:fillRect/>
                    </a:stretch>
                  </pic:blipFill>
                  <pic:spPr bwMode="auto">
                    <a:xfrm>
                      <a:off x="0" y="0"/>
                      <a:ext cx="1282700" cy="1270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199390</wp:posOffset>
            </wp:positionV>
            <wp:extent cx="658939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589395" cy="190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IN WITNESS WHEREOF, the Company has caused this Bond to be signed by its Authorized Officers, but it shall not be valid unless also signed by a duly authorized representative of the Company.</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159385</wp:posOffset>
            </wp:positionV>
            <wp:extent cx="205740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2057400" cy="51435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314325</wp:posOffset>
            </wp:positionV>
            <wp:extent cx="1438910" cy="3594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438910" cy="35941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-64135</wp:posOffset>
                </wp:positionH>
                <wp:positionV relativeFrom="paragraph">
                  <wp:posOffset>753110</wp:posOffset>
                </wp:positionV>
                <wp:extent cx="325691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69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59.3pt" to="251.4pt,59.3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3478530</wp:posOffset>
                </wp:positionH>
                <wp:positionV relativeFrom="paragraph">
                  <wp:posOffset>753110</wp:posOffset>
                </wp:positionV>
                <wp:extent cx="298640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64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pt,59.3pt" to="509.05pt,59.3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40"/>
        <w:spacing w:after="0"/>
        <w:tabs>
          <w:tab w:leader="none" w:pos="7380" w:val="left"/>
        </w:tabs>
        <w:rPr>
          <w:sz w:val="20"/>
          <w:szCs w:val="20"/>
          <w:color w:val="auto"/>
        </w:rPr>
      </w:pPr>
      <w:r>
        <w:rPr>
          <w:rFonts w:ascii="Arial" w:cs="Arial" w:eastAsia="Arial" w:hAnsi="Arial"/>
          <w:sz w:val="20"/>
          <w:szCs w:val="20"/>
          <w:color w:val="auto"/>
        </w:rPr>
        <w:t>Secretary</w:t>
      </w:r>
      <w:r>
        <w:rPr>
          <w:sz w:val="20"/>
          <w:szCs w:val="20"/>
          <w:color w:val="auto"/>
        </w:rPr>
        <w:tab/>
      </w:r>
      <w:r>
        <w:rPr>
          <w:rFonts w:ascii="Arial" w:cs="Arial" w:eastAsia="Arial" w:hAnsi="Arial"/>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302260</wp:posOffset>
            </wp:positionV>
            <wp:extent cx="1463040" cy="365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1463040"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October 6,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81280</wp:posOffset>
                </wp:positionV>
                <wp:extent cx="325691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5691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99pt,6.4pt" to="251.4pt,6.4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3478530</wp:posOffset>
                </wp:positionH>
                <wp:positionV relativeFrom="paragraph">
                  <wp:posOffset>81280</wp:posOffset>
                </wp:positionV>
                <wp:extent cx="298640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640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9pt,6.4pt" to="509.05pt,6.4pt" o:allowincell="f" strokecolor="#000000" strokeweight="0.5pt"/>
            </w:pict>
          </mc:Fallback>
        </mc:AlternateContent>
      </w:r>
    </w:p>
    <w:p>
      <w:pPr>
        <w:spacing w:after="0" w:line="110" w:lineRule="exact"/>
        <w:rPr>
          <w:sz w:val="20"/>
          <w:szCs w:val="20"/>
          <w:color w:val="auto"/>
        </w:rPr>
      </w:pPr>
    </w:p>
    <w:p>
      <w:pPr>
        <w:ind w:left="2260"/>
        <w:spacing w:after="0"/>
        <w:tabs>
          <w:tab w:leader="none" w:pos="66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Authorized Representative</w:t>
      </w:r>
    </w:p>
    <w:p>
      <w:pPr>
        <w:sectPr>
          <w:pgSz w:w="12240" w:h="15840" w:orient="portrait"/>
          <w:cols w:equalWidth="0" w:num="1">
            <w:col w:w="10160"/>
          </w:cols>
          <w:pgMar w:left="1080" w:top="700" w:right="100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9200" w:val="left"/>
        </w:tabs>
        <w:rPr>
          <w:sz w:val="20"/>
          <w:szCs w:val="20"/>
          <w:color w:val="auto"/>
        </w:rPr>
      </w:pPr>
      <w:r>
        <w:rPr>
          <w:rFonts w:ascii="Arial" w:cs="Arial" w:eastAsia="Arial" w:hAnsi="Arial"/>
          <w:sz w:val="18"/>
          <w:szCs w:val="18"/>
          <w:color w:val="auto"/>
        </w:rPr>
        <w:t>PF-52903D (08/21)</w:t>
      </w:r>
      <w:r>
        <w:rPr>
          <w:sz w:val="20"/>
          <w:szCs w:val="20"/>
          <w:color w:val="auto"/>
        </w:rPr>
        <w:tab/>
      </w:r>
      <w:r>
        <w:rPr>
          <w:rFonts w:ascii="Arial" w:cs="Arial" w:eastAsia="Arial" w:hAnsi="Arial"/>
          <w:sz w:val="16"/>
          <w:szCs w:val="16"/>
          <w:color w:val="auto"/>
        </w:rPr>
        <w:t>Page 2 of 2</w:t>
      </w:r>
    </w:p>
    <w:p>
      <w:pPr>
        <w:sectPr>
          <w:pgSz w:w="12240" w:h="15840" w:orient="portrait"/>
          <w:cols w:equalWidth="0" w:num="1">
            <w:col w:w="10160"/>
          </w:cols>
          <w:pgMar w:left="1080" w:top="700" w:right="1000" w:bottom="157"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28"/>
          <w:szCs w:val="28"/>
          <w:b w:val="1"/>
          <w:bCs w:val="1"/>
          <w:color w:val="auto"/>
        </w:rPr>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1280160" cy="129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1280160" cy="1295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10160</wp:posOffset>
            </wp:positionV>
            <wp:extent cx="653796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6537960" cy="1905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SEC Requires Proof of Your Fidelity Insurance Policy</w:t>
      </w:r>
    </w:p>
    <w:p>
      <w:pPr>
        <w:spacing w:after="0" w:line="233"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Your company is now required to file an electronic copy of your fidelity insurance coverage (Chubb’s ICAP Bond policy) to the Securities and Exchange Commission (SEC), according to rules adopted by the SEC on June 12, 2006.</w:t>
      </w:r>
    </w:p>
    <w:p>
      <w:pPr>
        <w:spacing w:after="0" w:line="21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187"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please contact your agent or broker.</w:t>
      </w:r>
    </w:p>
    <w:p>
      <w:pPr>
        <w:sectPr>
          <w:pgSz w:w="12240" w:h="15840" w:orient="portrait"/>
          <w:cols w:equalWidth="0" w:num="1">
            <w:col w:w="10080"/>
          </w:cols>
          <w:pgMar w:left="1080" w:top="700"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14-02-12160 (08/19)</w:t>
      </w:r>
      <w:r>
        <w:rPr>
          <w:sz w:val="20"/>
          <w:szCs w:val="20"/>
          <w:color w:val="auto"/>
        </w:rPr>
        <w:tab/>
      </w:r>
      <w:r>
        <w:rPr>
          <w:rFonts w:ascii="Arial" w:cs="Arial" w:eastAsia="Arial" w:hAnsi="Arial"/>
          <w:sz w:val="16"/>
          <w:szCs w:val="16"/>
          <w:color w:val="auto"/>
        </w:rPr>
        <w:t>Page 1 of 1</w:t>
      </w:r>
    </w:p>
    <w:p>
      <w:pPr>
        <w:sectPr>
          <w:pgSz w:w="12240" w:h="15840" w:orient="portrait"/>
          <w:cols w:equalWidth="0" w:num="1">
            <w:col w:w="10080"/>
          </w:cols>
          <w:pgMar w:left="1080" w:top="700" w:right="1080" w:bottom="157"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8"/>
          <w:szCs w:val="28"/>
          <w:b w:val="1"/>
          <w:bCs w:val="1"/>
          <w:color w:val="auto"/>
        </w:rPr>
        <w:t>Notice of Loss Control Services</w:t>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auto"/>
        </w:rPr>
        <w:t>Insuring Company: Federal Insurance Company</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As a Chubb policyholder, you have loss prevention information and/or services available to you, as listed in this Notice. You may order any brochure by email to </w:t>
      </w:r>
      <w:r>
        <w:rPr>
          <w:rFonts w:ascii="Arial" w:cs="Arial" w:eastAsia="Arial" w:hAnsi="Arial"/>
          <w:sz w:val="22"/>
          <w:szCs w:val="22"/>
          <w:u w:val="single" w:color="auto"/>
          <w:color w:val="0000FF"/>
        </w:rPr>
        <w:t>formsordering@chubb.com</w:t>
      </w:r>
      <w:r>
        <w:rPr>
          <w:rFonts w:ascii="Arial" w:cs="Arial" w:eastAsia="Arial" w:hAnsi="Arial"/>
          <w:sz w:val="22"/>
          <w:szCs w:val="22"/>
          <w:color w:val="auto"/>
        </w:rPr>
        <w:t xml:space="preserve"> and to view our full suite of loss prevention brochures/services go to </w:t>
      </w:r>
      <w:r>
        <w:rPr>
          <w:rFonts w:ascii="Arial" w:cs="Arial" w:eastAsia="Arial" w:hAnsi="Arial"/>
          <w:sz w:val="22"/>
          <w:szCs w:val="22"/>
          <w:u w:val="single" w:color="auto"/>
          <w:color w:val="0000FF"/>
        </w:rPr>
        <w:t>www.chubb.com/us/fl-lossprevention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Officers (D&amp;O) Liability Loss Prevention Services</w:t>
      </w:r>
    </w:p>
    <w:p>
      <w:pPr>
        <w:spacing w:after="0" w:line="240" w:lineRule="exact"/>
        <w:rPr>
          <w:sz w:val="20"/>
          <w:szCs w:val="20"/>
          <w:color w:val="auto"/>
        </w:rPr>
      </w:pPr>
    </w:p>
    <w:p>
      <w:pPr>
        <w:ind w:left="360" w:right="2060" w:hanging="360"/>
        <w:spacing w:after="0" w:line="249"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Directors and Officers Liability Loss Prevention </w:t>
      </w:r>
      <w:r>
        <w:rPr>
          <w:rFonts w:ascii="Arial" w:cs="Arial" w:eastAsia="Arial" w:hAnsi="Arial"/>
          <w:sz w:val="22"/>
          <w:szCs w:val="22"/>
          <w:b w:val="1"/>
          <w:bCs w:val="1"/>
          <w:color w:val="auto"/>
        </w:rPr>
        <w:t>Manuals: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and Officers Liability Loss Preventions – #14-01-0035 Directors and Officers Securities Litigation Loss Preventions – #14-01-0448 Director Liability Loss Prevention in Mergers and Acquisitions – #14-01-1099 Directors and Officers Liability Loss Prevention for Not-for-Profit- -#14-01-0036 Cyber Loss Mitigation for Directors -#14-01-1199</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Practices Liability (EPL) Loss Prevention Services</w:t>
      </w:r>
    </w:p>
    <w:p>
      <w:pPr>
        <w:spacing w:after="0" w:line="240" w:lineRule="exact"/>
        <w:rPr>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Toll-free Hot Line</w:t>
      </w:r>
    </w:p>
    <w:p>
      <w:pPr>
        <w:spacing w:after="0" w:line="120" w:lineRule="exact"/>
        <w:rPr>
          <w:rFonts w:ascii="Arial" w:cs="Arial" w:eastAsia="Arial" w:hAnsi="Arial"/>
          <w:sz w:val="20"/>
          <w:szCs w:val="20"/>
          <w:color w:val="auto"/>
        </w:rPr>
      </w:pPr>
    </w:p>
    <w:p>
      <w:pPr>
        <w:jc w:val="both"/>
        <w:ind w:left="360"/>
        <w:spacing w:after="0" w:line="262" w:lineRule="auto"/>
        <w:rPr>
          <w:rFonts w:ascii="Arial" w:cs="Arial" w:eastAsia="Arial" w:hAnsi="Arial"/>
          <w:sz w:val="20"/>
          <w:szCs w:val="20"/>
          <w:color w:val="auto"/>
        </w:rPr>
      </w:pPr>
      <w:r>
        <w:rPr>
          <w:rFonts w:ascii="Arial" w:cs="Arial" w:eastAsia="Arial" w:hAnsi="Arial"/>
          <w:sz w:val="22"/>
          <w:szCs w:val="22"/>
          <w:color w:val="auto"/>
        </w:rPr>
        <w:t xml:space="preserve">Have a question on how to handle an employment situation? Simply call </w:t>
      </w:r>
      <w:r>
        <w:rPr>
          <w:rFonts w:ascii="Arial" w:cs="Arial" w:eastAsia="Arial" w:hAnsi="Arial"/>
          <w:sz w:val="22"/>
          <w:szCs w:val="22"/>
          <w:b w:val="1"/>
          <w:bCs w:val="1"/>
          <w:color w:val="auto"/>
        </w:rPr>
        <w:t>1.888.249.8425</w:t>
      </w:r>
      <w:r>
        <w:rPr>
          <w:rFonts w:ascii="Arial" w:cs="Arial" w:eastAsia="Arial" w:hAnsi="Arial"/>
          <w:sz w:val="22"/>
          <w:szCs w:val="22"/>
          <w:color w:val="auto"/>
        </w:rPr>
        <w:t xml:space="preserve"> to access the nationally known employment law firm of Jackson Lewis P.C. We offer customers an unlimited number of calls to the hot line at no additional charge.</w:t>
      </w:r>
    </w:p>
    <w:p>
      <w:pPr>
        <w:spacing w:after="0" w:line="50"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ChubbWorks.com</w:t>
      </w:r>
    </w:p>
    <w:p>
      <w:pPr>
        <w:spacing w:after="0" w:line="32" w:lineRule="exact"/>
        <w:rPr>
          <w:rFonts w:ascii="Arial" w:cs="Arial" w:eastAsia="Arial" w:hAnsi="Arial"/>
          <w:sz w:val="20"/>
          <w:szCs w:val="20"/>
          <w:color w:val="auto"/>
        </w:rPr>
      </w:pPr>
    </w:p>
    <w:p>
      <w:pPr>
        <w:jc w:val="both"/>
        <w:ind w:left="360"/>
        <w:spacing w:after="0" w:line="245" w:lineRule="auto"/>
        <w:rPr>
          <w:rFonts w:ascii="Arial" w:cs="Arial" w:eastAsia="Arial" w:hAnsi="Arial"/>
          <w:sz w:val="20"/>
          <w:szCs w:val="20"/>
          <w:color w:val="auto"/>
        </w:rPr>
      </w:pPr>
      <w:r>
        <w:rPr>
          <w:rFonts w:ascii="Arial" w:cs="Arial" w:eastAsia="Arial" w:hAnsi="Arial"/>
          <w:sz w:val="22"/>
          <w:szCs w:val="22"/>
          <w:color w:val="auto"/>
        </w:rPr>
        <w:t xml:space="preserve">ChubbWorks.com is a web-based platform that offers multiple services including overviews of employment laws, sample employment policies and procedures, and on-line training. To gain immediate access to ChubbWorks go to </w:t>
      </w:r>
      <w:r>
        <w:rPr>
          <w:rFonts w:ascii="Arial" w:cs="Arial" w:eastAsia="Arial" w:hAnsi="Arial"/>
          <w:sz w:val="22"/>
          <w:szCs w:val="22"/>
          <w:b w:val="1"/>
          <w:bCs w:val="1"/>
          <w:u w:val="single" w:color="auto"/>
          <w:color w:val="auto"/>
        </w:rPr>
        <w:t>www.chubbworks.com</w:t>
      </w:r>
      <w:r>
        <w:rPr>
          <w:rFonts w:ascii="Arial" w:cs="Arial" w:eastAsia="Arial" w:hAnsi="Arial"/>
          <w:sz w:val="22"/>
          <w:szCs w:val="22"/>
          <w:color w:val="auto"/>
        </w:rPr>
        <w:t xml:space="preserve"> and register using your policy number.</w:t>
      </w:r>
    </w:p>
    <w:p>
      <w:pPr>
        <w:spacing w:after="0" w:line="66" w:lineRule="exact"/>
        <w:rPr>
          <w:rFonts w:ascii="Arial" w:cs="Arial" w:eastAsia="Arial" w:hAnsi="Arial"/>
          <w:sz w:val="20"/>
          <w:szCs w:val="20"/>
          <w:color w:val="auto"/>
        </w:rPr>
      </w:pPr>
    </w:p>
    <w:p>
      <w:pPr>
        <w:ind w:left="360" w:right="3340" w:hanging="360"/>
        <w:spacing w:after="0" w:line="353"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Employment Practices Loss Prevention Guidelines </w:t>
      </w:r>
      <w:r>
        <w:rPr>
          <w:rFonts w:ascii="Arial" w:cs="Arial" w:eastAsia="Arial" w:hAnsi="Arial"/>
          <w:sz w:val="22"/>
          <w:szCs w:val="22"/>
          <w:b w:val="1"/>
          <w:bCs w:val="1"/>
          <w:color w:val="auto"/>
        </w:rPr>
        <w:t>Manual</w:t>
      </w:r>
      <w:r>
        <w:rPr>
          <w:rFonts w:ascii="Arial" w:cs="Arial" w:eastAsia="Arial" w:hAnsi="Arial"/>
          <w:sz w:val="22"/>
          <w:szCs w:val="22"/>
          <w:b w:val="1"/>
          <w:bCs w:val="1"/>
          <w:i w:val="1"/>
          <w:iCs w:val="1"/>
          <w:color w:val="auto"/>
        </w:rPr>
        <w:t xml:space="preserve"> </w:t>
      </w:r>
      <w:r>
        <w:rPr>
          <w:rFonts w:ascii="Arial" w:cs="Arial" w:eastAsia="Arial" w:hAnsi="Arial"/>
          <w:sz w:val="22"/>
          <w:szCs w:val="22"/>
          <w:i w:val="1"/>
          <w:iCs w:val="1"/>
          <w:color w:val="auto"/>
        </w:rPr>
        <w:t>Employment Practices Loss Prevention Guidelines - #14-01-0061</w:t>
      </w:r>
    </w:p>
    <w:p>
      <w:pPr>
        <w:spacing w:after="0" w:line="1"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Loss Prevention Consultant Services</w:t>
      </w:r>
    </w:p>
    <w:p>
      <w:pPr>
        <w:spacing w:after="0" w:line="124" w:lineRule="exact"/>
        <w:rPr>
          <w:rFonts w:ascii="Arial" w:cs="Arial" w:eastAsia="Arial" w:hAnsi="Arial"/>
          <w:sz w:val="20"/>
          <w:szCs w:val="20"/>
          <w:color w:val="auto"/>
        </w:rPr>
      </w:pPr>
    </w:p>
    <w:p>
      <w:pPr>
        <w:ind w:left="360"/>
        <w:spacing w:after="0" w:line="281" w:lineRule="auto"/>
        <w:rPr>
          <w:rFonts w:ascii="Arial" w:cs="Arial" w:eastAsia="Arial" w:hAnsi="Arial"/>
          <w:sz w:val="20"/>
          <w:szCs w:val="20"/>
          <w:color w:val="auto"/>
        </w:rPr>
      </w:pPr>
      <w:r>
        <w:rPr>
          <w:rFonts w:ascii="Arial" w:cs="Arial" w:eastAsia="Arial" w:hAnsi="Arial"/>
          <w:sz w:val="22"/>
          <w:szCs w:val="22"/>
          <w:color w:val="auto"/>
        </w:rPr>
        <w:t>Chubb has developed a network of more than 120 law firms, human resources consulting firms, and labor economist/statistical firms that offer specialized services for employment issues.</w:t>
      </w:r>
    </w:p>
    <w:p>
      <w:pPr>
        <w:spacing w:after="0" w:line="29"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Public Company EPL Customers</w:t>
      </w:r>
    </w:p>
    <w:p>
      <w:pPr>
        <w:spacing w:after="0" w:line="124" w:lineRule="exact"/>
        <w:rPr>
          <w:rFonts w:ascii="Arial" w:cs="Arial" w:eastAsia="Arial" w:hAnsi="Arial"/>
          <w:sz w:val="20"/>
          <w:szCs w:val="20"/>
          <w:color w:val="auto"/>
        </w:rPr>
      </w:pPr>
    </w:p>
    <w:p>
      <w:pPr>
        <w:jc w:val="both"/>
        <w:ind w:left="360"/>
        <w:spacing w:after="0" w:line="260" w:lineRule="auto"/>
        <w:rPr>
          <w:rFonts w:ascii="Arial" w:cs="Arial" w:eastAsia="Arial" w:hAnsi="Arial"/>
          <w:sz w:val="20"/>
          <w:szCs w:val="20"/>
          <w:color w:val="auto"/>
        </w:rPr>
      </w:pPr>
      <w:r>
        <w:rPr>
          <w:rFonts w:ascii="Arial" w:cs="Arial" w:eastAsia="Arial" w:hAnsi="Arial"/>
          <w:sz w:val="22"/>
          <w:szCs w:val="22"/>
          <w:color w:val="auto"/>
        </w:rPr>
        <w:t>Employment Practices Loss Prevention Guidelines – Written by Seyfarth Shaw exclusively for Chubb this manual provides an overview of key employment issues faced by for-profit companies and offers proactive idea for avoiding employment lawsuits.</w:t>
      </w:r>
    </w:p>
    <w:p>
      <w:pPr>
        <w:spacing w:after="0" w:line="52" w:lineRule="exact"/>
        <w:rPr>
          <w:rFonts w:ascii="Arial" w:cs="Arial" w:eastAsia="Arial" w:hAnsi="Arial"/>
          <w:sz w:val="20"/>
          <w:szCs w:val="20"/>
          <w:color w:val="auto"/>
        </w:rPr>
      </w:pPr>
    </w:p>
    <w:p>
      <w:pPr>
        <w:ind w:left="360" w:hanging="360"/>
        <w:spacing w:after="0"/>
        <w:tabs>
          <w:tab w:leader="none" w:pos="360" w:val="left"/>
        </w:tabs>
        <w:numPr>
          <w:ilvl w:val="0"/>
          <w:numId w:val="5"/>
        </w:numPr>
        <w:rPr>
          <w:rFonts w:ascii="Arial" w:cs="Arial" w:eastAsia="Arial" w:hAnsi="Arial"/>
          <w:sz w:val="20"/>
          <w:szCs w:val="20"/>
          <w:color w:val="auto"/>
        </w:rPr>
      </w:pPr>
      <w:r>
        <w:rPr>
          <w:rFonts w:ascii="Arial" w:cs="Arial" w:eastAsia="Arial" w:hAnsi="Arial"/>
          <w:sz w:val="22"/>
          <w:szCs w:val="22"/>
          <w:b w:val="1"/>
          <w:bCs w:val="1"/>
          <w:color w:val="auto"/>
        </w:rPr>
        <w:t>Private Company EPL Customers</w:t>
      </w:r>
    </w:p>
    <w:p>
      <w:pPr>
        <w:spacing w:after="0" w:line="32" w:lineRule="exact"/>
        <w:rPr>
          <w:rFonts w:ascii="Arial" w:cs="Arial" w:eastAsia="Arial" w:hAnsi="Arial"/>
          <w:sz w:val="20"/>
          <w:szCs w:val="20"/>
          <w:color w:val="auto"/>
        </w:rPr>
      </w:pPr>
    </w:p>
    <w:p>
      <w:pPr>
        <w:jc w:val="both"/>
        <w:ind w:left="360"/>
        <w:spacing w:after="0" w:line="247" w:lineRule="auto"/>
        <w:rPr>
          <w:rFonts w:ascii="Arial" w:cs="Arial" w:eastAsia="Arial" w:hAnsi="Arial"/>
          <w:sz w:val="20"/>
          <w:szCs w:val="20"/>
          <w:color w:val="auto"/>
        </w:rPr>
      </w:pPr>
      <w:r>
        <w:rPr>
          <w:rFonts w:ascii="Arial" w:cs="Arial" w:eastAsia="Arial" w:hAnsi="Arial"/>
          <w:sz w:val="22"/>
          <w:szCs w:val="22"/>
          <w:color w:val="auto"/>
        </w:rPr>
        <w:t>Employment Practices Loss Prevention Guidelines – Written by Seyfarth Shaw exclusively for Chubb this manual provides an overview of key employment issues for –profit companies and offers proactive idea for avoiding employment lawsuits.</w:t>
      </w:r>
    </w:p>
    <w:p>
      <w:pPr>
        <w:sectPr>
          <w:pgSz w:w="12240" w:h="15840" w:orient="portrait"/>
          <w:cols w:equalWidth="0" w:num="1">
            <w:col w:w="10080"/>
          </w:cols>
          <w:pgMar w:left="1080" w:top="1407" w:right="108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8680" w:val="left"/>
        </w:tabs>
        <w:rPr>
          <w:sz w:val="20"/>
          <w:szCs w:val="20"/>
          <w:color w:val="auto"/>
        </w:rPr>
      </w:pPr>
      <w:r>
        <w:rPr>
          <w:rFonts w:ascii="Arial" w:cs="Arial" w:eastAsia="Arial" w:hAnsi="Arial"/>
          <w:sz w:val="18"/>
          <w:szCs w:val="18"/>
          <w:color w:val="auto"/>
        </w:rPr>
        <w:t>14-02-23030 (05/2018)</w:t>
      </w:r>
      <w:r>
        <w:rPr>
          <w:sz w:val="20"/>
          <w:szCs w:val="20"/>
          <w:color w:val="auto"/>
        </w:rPr>
        <w:tab/>
      </w:r>
      <w:r>
        <w:rPr>
          <w:rFonts w:ascii="Arial" w:cs="Arial" w:eastAsia="Arial" w:hAnsi="Arial"/>
          <w:sz w:val="18"/>
          <w:szCs w:val="18"/>
          <w:color w:val="auto"/>
        </w:rPr>
        <w:t>Page 1 of 2</w:t>
      </w:r>
    </w:p>
    <w:p>
      <w:pPr>
        <w:sectPr>
          <w:pgSz w:w="12240" w:h="15840" w:orient="portrait"/>
          <w:cols w:equalWidth="0" w:num="1">
            <w:col w:w="10080"/>
          </w:cols>
          <w:pgMar w:left="1080" w:top="1407" w:right="1080" w:bottom="174" w:gutter="0" w:footer="0" w:header="0"/>
          <w:type w:val="continuous"/>
        </w:sectPr>
      </w:pPr>
    </w:p>
    <w:bookmarkStart w:id="7" w:name="page8"/>
    <w:bookmarkEnd w:id="7"/>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Fiduciary Liability Loss Prevention Services</w:t>
      </w:r>
    </w:p>
    <w:p>
      <w:pPr>
        <w:spacing w:after="0" w:line="240" w:lineRule="exact"/>
        <w:rPr>
          <w:sz w:val="20"/>
          <w:szCs w:val="20"/>
          <w:color w:val="auto"/>
        </w:rPr>
      </w:pPr>
    </w:p>
    <w:p>
      <w:pPr>
        <w:ind w:left="364" w:hanging="364"/>
        <w:spacing w:after="0"/>
        <w:tabs>
          <w:tab w:leader="none" w:pos="364" w:val="left"/>
        </w:tabs>
        <w:numPr>
          <w:ilvl w:val="0"/>
          <w:numId w:val="6"/>
        </w:numPr>
        <w:rPr>
          <w:rFonts w:ascii="Arial" w:cs="Arial" w:eastAsia="Arial" w:hAnsi="Arial"/>
          <w:sz w:val="20"/>
          <w:szCs w:val="20"/>
          <w:color w:val="auto"/>
        </w:rPr>
      </w:pPr>
      <w:r>
        <w:rPr>
          <w:rFonts w:ascii="Arial" w:cs="Arial" w:eastAsia="Arial" w:hAnsi="Arial"/>
          <w:sz w:val="22"/>
          <w:szCs w:val="22"/>
          <w:b w:val="1"/>
          <w:bCs w:val="1"/>
          <w:color w:val="auto"/>
        </w:rPr>
        <w:t>Fiduciary Liability Loss Prevention Manual</w:t>
      </w:r>
    </w:p>
    <w:p>
      <w:pPr>
        <w:spacing w:after="0" w:line="32" w:lineRule="exact"/>
        <w:rPr>
          <w:rFonts w:ascii="Arial" w:cs="Arial" w:eastAsia="Arial" w:hAnsi="Arial"/>
          <w:sz w:val="20"/>
          <w:szCs w:val="20"/>
          <w:color w:val="auto"/>
        </w:rPr>
      </w:pPr>
    </w:p>
    <w:p>
      <w:pPr>
        <w:ind w:left="364" w:right="540"/>
        <w:spacing w:after="0" w:line="255" w:lineRule="auto"/>
        <w:rPr>
          <w:rFonts w:ascii="Arial" w:cs="Arial" w:eastAsia="Arial" w:hAnsi="Arial"/>
          <w:sz w:val="20"/>
          <w:szCs w:val="20"/>
          <w:color w:val="auto"/>
        </w:rPr>
      </w:pPr>
      <w:r>
        <w:rPr>
          <w:rFonts w:ascii="Arial" w:cs="Arial" w:eastAsia="Arial" w:hAnsi="Arial"/>
          <w:sz w:val="22"/>
          <w:szCs w:val="22"/>
          <w:color w:val="auto"/>
        </w:rPr>
        <w:t>Who May Sue You and Why: How to Reduce Your ERISA Risks and the Role of Fiduciary Liability Insurance #14-01-1019</w:t>
      </w:r>
    </w:p>
    <w:p>
      <w:pPr>
        <w:spacing w:after="0" w:line="176"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Crime Loss Prevention Services</w:t>
      </w:r>
    </w:p>
    <w:p>
      <w:pPr>
        <w:spacing w:after="0" w:line="240" w:lineRule="exact"/>
        <w:rPr>
          <w:sz w:val="20"/>
          <w:szCs w:val="20"/>
          <w:color w:val="auto"/>
        </w:rPr>
      </w:pPr>
    </w:p>
    <w:p>
      <w:pPr>
        <w:ind w:left="364" w:right="2660" w:hanging="364"/>
        <w:spacing w:after="0" w:line="467" w:lineRule="auto"/>
        <w:tabs>
          <w:tab w:leader="none" w:pos="364" w:val="left"/>
        </w:tabs>
        <w:numPr>
          <w:ilvl w:val="0"/>
          <w:numId w:val="7"/>
        </w:numPr>
        <w:rPr>
          <w:rFonts w:ascii="Arial" w:cs="Arial" w:eastAsia="Arial" w:hAnsi="Arial"/>
          <w:sz w:val="20"/>
          <w:szCs w:val="20"/>
          <w:color w:val="auto"/>
        </w:rPr>
      </w:pPr>
      <w:r>
        <w:rPr>
          <w:rFonts w:ascii="Arial" w:cs="Arial" w:eastAsia="Arial" w:hAnsi="Arial"/>
          <w:sz w:val="22"/>
          <w:szCs w:val="22"/>
          <w:b w:val="1"/>
          <w:bCs w:val="1"/>
          <w:color w:val="auto"/>
        </w:rPr>
        <w:t xml:space="preserve">Crime/Kidnap, Ransom &amp; Extortion Loss Prevention Manual </w:t>
      </w:r>
      <w:r>
        <w:rPr>
          <w:rFonts w:ascii="Arial" w:cs="Arial" w:eastAsia="Arial" w:hAnsi="Arial"/>
          <w:sz w:val="22"/>
          <w:szCs w:val="22"/>
          <w:color w:val="auto"/>
        </w:rPr>
        <w:t>Preventing Fraud: How Anonymous Hotlines Can Help #14-01-1090</w:t>
      </w:r>
    </w:p>
    <w:p>
      <w:pPr>
        <w:spacing w:after="0" w:line="2"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Cyber Security Loss Prevention Services</w:t>
      </w:r>
    </w:p>
    <w:p>
      <w:pPr>
        <w:spacing w:after="0" w:line="244" w:lineRule="exact"/>
        <w:rPr>
          <w:sz w:val="20"/>
          <w:szCs w:val="20"/>
          <w:color w:val="auto"/>
        </w:rPr>
      </w:pPr>
    </w:p>
    <w:p>
      <w:pPr>
        <w:ind w:left="364" w:right="460"/>
        <w:spacing w:after="0" w:line="281" w:lineRule="auto"/>
        <w:rPr>
          <w:sz w:val="20"/>
          <w:szCs w:val="20"/>
          <w:color w:val="auto"/>
        </w:rPr>
      </w:pPr>
      <w:r>
        <w:rPr>
          <w:rFonts w:ascii="Arial" w:cs="Arial" w:eastAsia="Arial" w:hAnsi="Arial"/>
          <w:sz w:val="22"/>
          <w:szCs w:val="22"/>
          <w:color w:val="auto"/>
        </w:rPr>
        <w:t xml:space="preserve">Visit: </w:t>
      </w:r>
      <w:r>
        <w:rPr>
          <w:rFonts w:ascii="Arial" w:cs="Arial" w:eastAsia="Arial" w:hAnsi="Arial"/>
          <w:sz w:val="22"/>
          <w:szCs w:val="22"/>
          <w:u w:val="single" w:color="auto"/>
          <w:color w:val="0000FF"/>
        </w:rPr>
        <w:t>https://www2.chubb.com/us-en/business-insurance/cyber-security.aspx</w:t>
      </w:r>
      <w:r>
        <w:rPr>
          <w:rFonts w:ascii="Arial" w:cs="Arial" w:eastAsia="Arial" w:hAnsi="Arial"/>
          <w:sz w:val="22"/>
          <w:szCs w:val="22"/>
          <w:color w:val="auto"/>
        </w:rPr>
        <w:t xml:space="preserve"> to learn more about Chubb’s Cyber Services for our policyholders.</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22"/>
          <w:szCs w:val="22"/>
          <w:b w:val="1"/>
          <w:bCs w:val="1"/>
          <w:color w:val="auto"/>
        </w:rPr>
        <w:t>Health Care Directors and Officers (D&amp;O) Liability Loss Prevention Services</w:t>
      </w:r>
    </w:p>
    <w:p>
      <w:pPr>
        <w:spacing w:after="0" w:line="240" w:lineRule="exact"/>
        <w:rPr>
          <w:sz w:val="20"/>
          <w:szCs w:val="20"/>
          <w:color w:val="auto"/>
        </w:rPr>
      </w:pPr>
    </w:p>
    <w:p>
      <w:pPr>
        <w:ind w:left="364" w:right="4240" w:hanging="364"/>
        <w:spacing w:after="0" w:line="285" w:lineRule="auto"/>
        <w:tabs>
          <w:tab w:leader="none" w:pos="364" w:val="left"/>
        </w:tabs>
        <w:numPr>
          <w:ilvl w:val="0"/>
          <w:numId w:val="8"/>
        </w:numPr>
        <w:rPr>
          <w:rFonts w:ascii="Arial" w:cs="Arial" w:eastAsia="Arial" w:hAnsi="Arial"/>
          <w:sz w:val="20"/>
          <w:szCs w:val="20"/>
          <w:color w:val="auto"/>
        </w:rPr>
      </w:pPr>
      <w:r>
        <w:rPr>
          <w:rFonts w:ascii="Arial" w:cs="Arial" w:eastAsia="Arial" w:hAnsi="Arial"/>
          <w:sz w:val="22"/>
          <w:szCs w:val="22"/>
          <w:b w:val="1"/>
          <w:bCs w:val="1"/>
          <w:color w:val="auto"/>
        </w:rPr>
        <w:t xml:space="preserve">Readings in Health Care Governance Manual </w:t>
      </w:r>
      <w:r>
        <w:rPr>
          <w:rFonts w:ascii="Arial" w:cs="Arial" w:eastAsia="Arial" w:hAnsi="Arial"/>
          <w:sz w:val="22"/>
          <w:szCs w:val="22"/>
          <w:color w:val="auto"/>
        </w:rPr>
        <w:t>Readings in Health Care Governance -#14-01-0788</w:t>
      </w:r>
    </w:p>
    <w:p>
      <w:pPr>
        <w:spacing w:after="0" w:line="25" w:lineRule="exact"/>
        <w:rPr>
          <w:rFonts w:ascii="Arial" w:cs="Arial" w:eastAsia="Arial" w:hAnsi="Arial"/>
          <w:sz w:val="20"/>
          <w:szCs w:val="20"/>
          <w:color w:val="auto"/>
        </w:rPr>
      </w:pPr>
    </w:p>
    <w:p>
      <w:pPr>
        <w:ind w:left="364" w:hanging="364"/>
        <w:spacing w:after="0"/>
        <w:tabs>
          <w:tab w:leader="none" w:pos="364" w:val="left"/>
        </w:tabs>
        <w:numPr>
          <w:ilvl w:val="0"/>
          <w:numId w:val="8"/>
        </w:numPr>
        <w:rPr>
          <w:rFonts w:ascii="Arial" w:cs="Arial" w:eastAsia="Arial" w:hAnsi="Arial"/>
          <w:sz w:val="20"/>
          <w:szCs w:val="20"/>
          <w:color w:val="auto"/>
        </w:rPr>
      </w:pPr>
      <w:r>
        <w:rPr>
          <w:rFonts w:ascii="Arial" w:cs="Arial" w:eastAsia="Arial" w:hAnsi="Arial"/>
          <w:sz w:val="22"/>
          <w:szCs w:val="22"/>
          <w:b w:val="1"/>
          <w:bCs w:val="1"/>
          <w:color w:val="auto"/>
        </w:rPr>
        <w:t>ChubbWorks.com</w:t>
      </w:r>
    </w:p>
    <w:p>
      <w:pPr>
        <w:spacing w:after="0" w:line="32" w:lineRule="exact"/>
        <w:rPr>
          <w:rFonts w:ascii="Arial" w:cs="Arial" w:eastAsia="Arial" w:hAnsi="Arial"/>
          <w:sz w:val="20"/>
          <w:szCs w:val="20"/>
          <w:color w:val="auto"/>
        </w:rPr>
      </w:pPr>
    </w:p>
    <w:p>
      <w:pPr>
        <w:jc w:val="both"/>
        <w:ind w:left="364"/>
        <w:spacing w:after="0" w:line="243" w:lineRule="auto"/>
        <w:rPr>
          <w:rFonts w:ascii="Arial" w:cs="Arial" w:eastAsia="Arial" w:hAnsi="Arial"/>
          <w:sz w:val="20"/>
          <w:szCs w:val="20"/>
          <w:color w:val="auto"/>
        </w:rPr>
      </w:pPr>
      <w:r>
        <w:rPr>
          <w:rFonts w:ascii="Arial" w:cs="Arial" w:eastAsia="Arial" w:hAnsi="Arial"/>
          <w:sz w:val="22"/>
          <w:szCs w:val="22"/>
          <w:color w:val="auto"/>
        </w:rPr>
        <w:t xml:space="preserve">ChubbWorks.com for Health Care Organizations – The Health Care Zone is a free online resource containing health care specific loss prevention information for employment practices liability, directors and officers (D&amp;O) liability, and fiduciary liability exposures. To gain immediate access to ChubbWorks go to </w:t>
      </w:r>
      <w:r>
        <w:rPr>
          <w:rFonts w:ascii="Arial" w:cs="Arial" w:eastAsia="Arial" w:hAnsi="Arial"/>
          <w:sz w:val="22"/>
          <w:szCs w:val="22"/>
          <w:b w:val="1"/>
          <w:bCs w:val="1"/>
          <w:u w:val="single" w:color="auto"/>
          <w:color w:val="auto"/>
        </w:rPr>
        <w:t>www.chubbworks.com</w:t>
      </w:r>
      <w:r>
        <w:rPr>
          <w:rFonts w:ascii="Arial" w:cs="Arial" w:eastAsia="Arial" w:hAnsi="Arial"/>
          <w:sz w:val="22"/>
          <w:szCs w:val="22"/>
          <w:color w:val="auto"/>
        </w:rPr>
        <w:t xml:space="preserve"> and register using your policy number.</w:t>
      </w:r>
    </w:p>
    <w:p>
      <w:pPr>
        <w:spacing w:after="0" w:line="72" w:lineRule="exact"/>
        <w:rPr>
          <w:rFonts w:ascii="Arial" w:cs="Arial" w:eastAsia="Arial" w:hAnsi="Arial"/>
          <w:sz w:val="20"/>
          <w:szCs w:val="20"/>
          <w:color w:val="auto"/>
        </w:rPr>
      </w:pPr>
    </w:p>
    <w:p>
      <w:pPr>
        <w:ind w:left="364" w:hanging="364"/>
        <w:spacing w:after="0"/>
        <w:tabs>
          <w:tab w:leader="none" w:pos="364" w:val="left"/>
        </w:tabs>
        <w:numPr>
          <w:ilvl w:val="0"/>
          <w:numId w:val="8"/>
        </w:numPr>
        <w:rPr>
          <w:rFonts w:ascii="Arial" w:cs="Arial" w:eastAsia="Arial" w:hAnsi="Arial"/>
          <w:sz w:val="20"/>
          <w:szCs w:val="20"/>
          <w:color w:val="auto"/>
        </w:rPr>
      </w:pPr>
      <w:r>
        <w:rPr>
          <w:rFonts w:ascii="Arial" w:cs="Arial" w:eastAsia="Arial" w:hAnsi="Arial"/>
          <w:sz w:val="22"/>
          <w:szCs w:val="22"/>
          <w:b w:val="1"/>
          <w:bCs w:val="1"/>
          <w:color w:val="auto"/>
        </w:rPr>
        <w:t>Health Care D&amp;O Loss Prevention Consultant Services</w:t>
      </w:r>
    </w:p>
    <w:p>
      <w:pPr>
        <w:spacing w:after="0" w:line="32" w:lineRule="exact"/>
        <w:rPr>
          <w:rFonts w:ascii="Arial" w:cs="Arial" w:eastAsia="Arial" w:hAnsi="Arial"/>
          <w:sz w:val="20"/>
          <w:szCs w:val="20"/>
          <w:color w:val="auto"/>
        </w:rPr>
      </w:pPr>
    </w:p>
    <w:p>
      <w:pPr>
        <w:ind w:left="364"/>
        <w:spacing w:after="0"/>
        <w:rPr>
          <w:rFonts w:ascii="Arial" w:cs="Arial" w:eastAsia="Arial" w:hAnsi="Arial"/>
          <w:sz w:val="20"/>
          <w:szCs w:val="20"/>
          <w:color w:val="auto"/>
        </w:rPr>
      </w:pPr>
      <w:r>
        <w:rPr>
          <w:rFonts w:ascii="Arial" w:cs="Arial" w:eastAsia="Arial" w:hAnsi="Arial"/>
          <w:sz w:val="22"/>
          <w:szCs w:val="22"/>
          <w:color w:val="auto"/>
        </w:rPr>
        <w:t>Health Care D&amp; O Loss Prevention Consultant Services- #14-01-1164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84"/>
        <w:spacing w:after="0"/>
        <w:rPr>
          <w:sz w:val="20"/>
          <w:szCs w:val="20"/>
          <w:color w:val="auto"/>
        </w:rPr>
      </w:pPr>
      <w:r>
        <w:rPr>
          <w:rFonts w:ascii="Arial" w:cs="Arial" w:eastAsia="Arial" w:hAnsi="Arial"/>
          <w:sz w:val="22"/>
          <w:szCs w:val="22"/>
          <w:i w:val="1"/>
          <w:iCs w:val="1"/>
          <w:color w:val="auto"/>
        </w:rPr>
        <w:t>--------------------</w:t>
      </w:r>
    </w:p>
    <w:p>
      <w:pPr>
        <w:spacing w:after="0" w:line="20" w:lineRule="exact"/>
        <w:rPr>
          <w:sz w:val="20"/>
          <w:szCs w:val="20"/>
          <w:color w:val="auto"/>
        </w:rPr>
      </w:pPr>
    </w:p>
    <w:p>
      <w:pPr>
        <w:jc w:val="both"/>
        <w:ind w:left="4"/>
        <w:spacing w:after="0" w:line="245" w:lineRule="auto"/>
        <w:rPr>
          <w:sz w:val="20"/>
          <w:szCs w:val="20"/>
          <w:color w:val="auto"/>
        </w:rPr>
      </w:pPr>
      <w:r>
        <w:rPr>
          <w:rFonts w:ascii="Arial" w:cs="Arial" w:eastAsia="Arial" w:hAnsi="Arial"/>
          <w:sz w:val="22"/>
          <w:szCs w:val="22"/>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ectPr>
          <w:pgSz w:w="12240" w:h="15840" w:orient="portrait"/>
          <w:cols w:equalWidth="0" w:num="1">
            <w:col w:w="9644"/>
          </w:cols>
          <w:pgMar w:left="1296" w:top="1440" w:right="1300" w:bottom="1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
        <w:spacing w:after="0"/>
        <w:tabs>
          <w:tab w:leader="none" w:pos="8684" w:val="left"/>
        </w:tabs>
        <w:rPr>
          <w:sz w:val="20"/>
          <w:szCs w:val="20"/>
          <w:color w:val="auto"/>
        </w:rPr>
      </w:pPr>
      <w:r>
        <w:rPr>
          <w:rFonts w:ascii="Arial" w:cs="Arial" w:eastAsia="Arial" w:hAnsi="Arial"/>
          <w:sz w:val="18"/>
          <w:szCs w:val="18"/>
          <w:color w:val="auto"/>
        </w:rPr>
        <w:t>14-02-23030 (05/2018)</w:t>
      </w:r>
      <w:r>
        <w:rPr>
          <w:sz w:val="20"/>
          <w:szCs w:val="20"/>
          <w:color w:val="auto"/>
        </w:rPr>
        <w:tab/>
      </w:r>
      <w:r>
        <w:rPr>
          <w:rFonts w:ascii="Arial" w:cs="Arial" w:eastAsia="Arial" w:hAnsi="Arial"/>
          <w:sz w:val="17"/>
          <w:szCs w:val="17"/>
          <w:color w:val="auto"/>
        </w:rPr>
        <w:t>Page 2 of 2</w:t>
      </w:r>
    </w:p>
    <w:p>
      <w:pPr>
        <w:sectPr>
          <w:pgSz w:w="12240" w:h="15840" w:orient="portrait"/>
          <w:cols w:equalWidth="0" w:num="1">
            <w:col w:w="9644"/>
          </w:cols>
          <w:pgMar w:left="1296" w:top="1440" w:right="1300" w:bottom="174"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685800</wp:posOffset>
            </wp:positionH>
            <wp:positionV relativeFrom="page">
              <wp:posOffset>775970</wp:posOffset>
            </wp:positionV>
            <wp:extent cx="1280160" cy="130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3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Chubb Producer Compensation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Practices &amp; Policies</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20"/>
          <w:szCs w:val="20"/>
          <w:u w:val="single" w:color="auto"/>
          <w:color w:val="0000FF"/>
        </w:rPr>
        <w:t>http://www.chubbproducercompensation.com</w:t>
      </w:r>
      <w:r>
        <w:rPr>
          <w:rFonts w:ascii="Arial" w:cs="Arial" w:eastAsia="Arial" w:hAnsi="Arial"/>
          <w:sz w:val="20"/>
          <w:szCs w:val="20"/>
          <w:color w:val="auto"/>
        </w:rPr>
        <w:t xml:space="preserve"> or by calling the following toll-free telephone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868680</wp:posOffset>
                </wp:positionH>
                <wp:positionV relativeFrom="paragraph">
                  <wp:posOffset>-165100</wp:posOffset>
                </wp:positionV>
                <wp:extent cx="7175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755"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8.4pt,-13pt" to="74.05pt,-13pt" o:allowincell="f" strokecolor="#000000" strokeweight="0.5pt"/>
            </w:pict>
          </mc:Fallback>
        </mc:AlternateConten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1-866-512-2862.</w:t>
      </w:r>
    </w:p>
    <w:p>
      <w:pPr>
        <w:sectPr>
          <w:pgSz w:w="12240" w:h="15840" w:orient="portrait"/>
          <w:cols w:equalWidth="0" w:num="1">
            <w:col w:w="10080"/>
          </w:cols>
          <w:pgMar w:left="1080" w:top="1440"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ALL-20887a (09/19)</w:t>
      </w:r>
    </w:p>
    <w:p>
      <w:pPr>
        <w:sectPr>
          <w:pgSz w:w="12240" w:h="15840" w:orient="portrait"/>
          <w:cols w:equalWidth="0" w:num="1">
            <w:col w:w="10080"/>
          </w:cols>
          <w:pgMar w:left="1080" w:top="1440" w:right="1080" w:bottom="157" w:gutter="0" w:footer="0" w:header="0"/>
          <w:type w:val="continuous"/>
        </w:sectPr>
      </w:pPr>
    </w:p>
    <w:bookmarkStart w:id="9" w:name="page10"/>
    <w:bookmarkEnd w:id="9"/>
    <w:p>
      <w:pPr>
        <w:ind w:left="6040"/>
        <w:spacing w:after="0"/>
        <w:rPr>
          <w:sz w:val="20"/>
          <w:szCs w:val="20"/>
          <w:color w:val="auto"/>
        </w:rPr>
      </w:pPr>
      <w:r>
        <w:rPr>
          <w:rFonts w:ascii="Arial" w:cs="Arial" w:eastAsia="Arial" w:hAnsi="Arial"/>
          <w:sz w:val="28"/>
          <w:szCs w:val="28"/>
          <w:b w:val="1"/>
          <w:bCs w:val="1"/>
          <w:color w:val="auto"/>
        </w:rPr>
        <w:t>Trade or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280160" cy="129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1280160" cy="129540"/>
                    </a:xfrm>
                    <a:prstGeom prst="rect">
                      <a:avLst/>
                    </a:prstGeom>
                    <a:noFill/>
                  </pic:spPr>
                </pic:pic>
              </a:graphicData>
            </a:graphic>
          </wp:anchor>
        </w:drawing>
      </w:r>
    </w:p>
    <w:p>
      <w:pPr>
        <w:ind w:left="6040"/>
        <w:spacing w:after="0"/>
        <w:rPr>
          <w:sz w:val="20"/>
          <w:szCs w:val="20"/>
          <w:color w:val="auto"/>
        </w:rPr>
      </w:pPr>
      <w:r>
        <w:rPr>
          <w:rFonts w:ascii="Arial" w:cs="Arial" w:eastAsia="Arial" w:hAnsi="Arial"/>
          <w:sz w:val="28"/>
          <w:szCs w:val="28"/>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343535</wp:posOffset>
            </wp:positionV>
            <wp:extent cx="653796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653796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TRADE OR ECONOMIC SANCTIONS NOTICE</w:t>
      </w:r>
    </w:p>
    <w:p>
      <w:pPr>
        <w:spacing w:after="0" w:line="247"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ectPr>
          <w:pgSz w:w="12240" w:h="15840" w:orient="portrait"/>
          <w:cols w:equalWidth="0" w:num="1">
            <w:col w:w="10080"/>
          </w:cols>
          <w:pgMar w:left="1080" w:top="700"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ALL-21101 (09/19)</w:t>
      </w:r>
      <w:r>
        <w:rPr>
          <w:sz w:val="20"/>
          <w:szCs w:val="20"/>
          <w:color w:val="auto"/>
        </w:rPr>
        <w:tab/>
      </w:r>
      <w:r>
        <w:rPr>
          <w:rFonts w:ascii="Arial" w:cs="Arial" w:eastAsia="Arial" w:hAnsi="Arial"/>
          <w:sz w:val="16"/>
          <w:szCs w:val="16"/>
          <w:color w:val="auto"/>
        </w:rPr>
        <w:t>Page 1 of 1</w:t>
      </w:r>
    </w:p>
    <w:p>
      <w:pPr>
        <w:sectPr>
          <w:pgSz w:w="12240" w:h="15840" w:orient="portrait"/>
          <w:cols w:equalWidth="0" w:num="1">
            <w:col w:w="10080"/>
          </w:cols>
          <w:pgMar w:left="1080" w:top="700" w:right="1080" w:bottom="157"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28"/>
          <w:szCs w:val="28"/>
          <w:b w:val="1"/>
          <w:bCs w:val="1"/>
          <w:color w:val="auto"/>
        </w:rPr>
        <w:t>IMPORTANT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282700"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1282700" cy="12700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28"/>
          <w:szCs w:val="28"/>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53796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6537960"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179705</wp:posOffset>
            </wp:positionV>
            <wp:extent cx="6412230" cy="640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6412230" cy="640715"/>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FFFFFF"/>
        </w:rPr>
        <w:t>Social Engineering Tips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FFFFFF"/>
        </w:rPr>
        <w:t>Please read!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HAVE YOU BEEN TRICKED INTO WIRE FRAUD? TAKE IMMEDIATE ACTION!</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If you believe you have transferred funds to a criminal posing as a legitimate business associate, you should act quickly:</w:t>
      </w:r>
    </w:p>
    <w:p>
      <w:pPr>
        <w:spacing w:after="0" w:line="74" w:lineRule="exact"/>
        <w:rPr>
          <w:sz w:val="20"/>
          <w:szCs w:val="20"/>
          <w:color w:val="auto"/>
        </w:rPr>
      </w:pPr>
    </w:p>
    <w:p>
      <w:pPr>
        <w:ind w:left="360" w:hanging="360"/>
        <w:spacing w:after="0" w:line="265" w:lineRule="auto"/>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Immediately contact the originating bank and </w:t>
      </w:r>
      <w:r>
        <w:rPr>
          <w:rFonts w:ascii="Arial" w:cs="Arial" w:eastAsia="Arial" w:hAnsi="Arial"/>
          <w:sz w:val="20"/>
          <w:szCs w:val="20"/>
          <w:b w:val="1"/>
          <w:bCs w:val="1"/>
          <w:color w:val="auto"/>
        </w:rPr>
        <w:t>request a recall of the wire transfer</w:t>
      </w:r>
      <w:r>
        <w:rPr>
          <w:rFonts w:ascii="Arial" w:cs="Arial" w:eastAsia="Arial" w:hAnsi="Arial"/>
          <w:sz w:val="20"/>
          <w:szCs w:val="20"/>
          <w:color w:val="auto"/>
        </w:rPr>
        <w:t xml:space="preserve"> and confirm that recall in writing.</w:t>
      </w:r>
    </w:p>
    <w:p>
      <w:pPr>
        <w:spacing w:after="0" w:line="66" w:lineRule="exact"/>
        <w:rPr>
          <w:rFonts w:ascii="Arial" w:cs="Arial" w:eastAsia="Arial" w:hAnsi="Arial"/>
          <w:sz w:val="20"/>
          <w:szCs w:val="20"/>
          <w:color w:val="auto"/>
        </w:rPr>
      </w:pPr>
    </w:p>
    <w:p>
      <w:pPr>
        <w:ind w:left="360" w:hanging="360"/>
        <w:spacing w:after="0" w:line="265" w:lineRule="auto"/>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Immediately file a </w:t>
      </w:r>
      <w:r>
        <w:rPr>
          <w:rFonts w:ascii="Arial" w:cs="Arial" w:eastAsia="Arial" w:hAnsi="Arial"/>
          <w:sz w:val="20"/>
          <w:szCs w:val="20"/>
          <w:b w:val="1"/>
          <w:bCs w:val="1"/>
          <w:color w:val="auto"/>
        </w:rPr>
        <w:t>complaint with the FBI</w:t>
      </w:r>
      <w:r>
        <w:rPr>
          <w:rFonts w:ascii="Arial" w:cs="Arial" w:eastAsia="Arial" w:hAnsi="Arial"/>
          <w:sz w:val="20"/>
          <w:szCs w:val="20"/>
          <w:color w:val="auto"/>
        </w:rPr>
        <w:t xml:space="preserve"> at </w:t>
      </w:r>
      <w:r>
        <w:rPr>
          <w:rFonts w:ascii="Arial" w:cs="Arial" w:eastAsia="Arial" w:hAnsi="Arial"/>
          <w:sz w:val="20"/>
          <w:szCs w:val="20"/>
          <w:u w:val="single" w:color="auto"/>
          <w:color w:val="auto"/>
        </w:rPr>
        <w:t>www.ic3.gov</w:t>
      </w:r>
      <w:r>
        <w:rPr>
          <w:rFonts w:ascii="Arial" w:cs="Arial" w:eastAsia="Arial" w:hAnsi="Arial"/>
          <w:sz w:val="20"/>
          <w:szCs w:val="20"/>
          <w:color w:val="auto"/>
        </w:rPr>
        <w:t>. This reporting triggers the FBI’s Recovery Asset Team and the FBI’s assistance seeking return of the wire transfer.</w:t>
      </w:r>
    </w:p>
    <w:p>
      <w:pPr>
        <w:spacing w:after="0" w:line="66" w:lineRule="exact"/>
        <w:rPr>
          <w:rFonts w:ascii="Arial" w:cs="Arial" w:eastAsia="Arial" w:hAnsi="Arial"/>
          <w:sz w:val="20"/>
          <w:szCs w:val="20"/>
          <w:color w:val="auto"/>
        </w:rPr>
      </w:pPr>
    </w:p>
    <w:p>
      <w:pPr>
        <w:jc w:val="both"/>
        <w:ind w:left="360" w:hanging="360"/>
        <w:spacing w:after="0" w:line="251" w:lineRule="auto"/>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Preserve </w:t>
      </w:r>
      <w:r>
        <w:rPr>
          <w:rFonts w:ascii="Arial" w:cs="Arial" w:eastAsia="Arial" w:hAnsi="Arial"/>
          <w:sz w:val="20"/>
          <w:szCs w:val="20"/>
          <w:b w:val="1"/>
          <w:bCs w:val="1"/>
          <w:color w:val="auto"/>
        </w:rPr>
        <w:t>records of the incident</w:t>
      </w:r>
      <w:r>
        <w:rPr>
          <w:rFonts w:ascii="Arial" w:cs="Arial" w:eastAsia="Arial" w:hAnsi="Arial"/>
          <w:sz w:val="20"/>
          <w:szCs w:val="20"/>
          <w:color w:val="auto"/>
        </w:rPr>
        <w:t xml:space="preserve">, including emails sent and received </w:t>
      </w:r>
      <w:r>
        <w:rPr>
          <w:rFonts w:ascii="Arial" w:cs="Arial" w:eastAsia="Arial" w:hAnsi="Arial"/>
          <w:sz w:val="20"/>
          <w:szCs w:val="20"/>
          <w:i w:val="1"/>
          <w:iCs w:val="1"/>
          <w:color w:val="auto"/>
        </w:rPr>
        <w:t>in their original electronic state</w:t>
      </w:r>
      <w:r>
        <w:rPr>
          <w:rFonts w:ascii="Arial" w:cs="Arial" w:eastAsia="Arial" w:hAnsi="Arial"/>
          <w:sz w:val="20"/>
          <w:szCs w:val="20"/>
          <w:color w:val="auto"/>
        </w:rPr>
        <w:t>. Correspondence and forensic information contained in these electronic files help investigators shed light on the perpetrator(s), and parties responsible for the incident.</w:t>
      </w:r>
    </w:p>
    <w:p>
      <w:pPr>
        <w:spacing w:after="0" w:line="80" w:lineRule="exact"/>
        <w:rPr>
          <w:rFonts w:ascii="Arial" w:cs="Arial" w:eastAsia="Arial" w:hAnsi="Arial"/>
          <w:sz w:val="20"/>
          <w:szCs w:val="20"/>
          <w:color w:val="auto"/>
        </w:rPr>
      </w:pPr>
    </w:p>
    <w:p>
      <w:pPr>
        <w:ind w:left="360" w:hanging="360"/>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Once the above steps are complete, </w:t>
      </w:r>
      <w:r>
        <w:rPr>
          <w:rFonts w:ascii="Arial" w:cs="Arial" w:eastAsia="Arial" w:hAnsi="Arial"/>
          <w:sz w:val="20"/>
          <w:szCs w:val="20"/>
          <w:b w:val="1"/>
          <w:bCs w:val="1"/>
          <w:color w:val="auto"/>
        </w:rPr>
        <w:t>contact Chubb</w:t>
      </w:r>
      <w:r>
        <w:rPr>
          <w:rFonts w:ascii="Arial" w:cs="Arial" w:eastAsia="Arial" w:hAnsi="Arial"/>
          <w:sz w:val="20"/>
          <w:szCs w:val="20"/>
          <w:color w:val="auto"/>
        </w:rPr>
        <w:t xml:space="preserve"> per the instructions in your policy.</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While neither recalling the wire transfer nor reporting to the FBI guarantees the return of your funds, these steps maximize the opportunity to mitigate your loss, assist the FBI in tracing the funds and help establish any insurance claim.</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Simple Steps to Prevent Fraudulently Induced Wire Transfers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Email communication is efficient, but it is not a secure method of communication. Regardless of your familiarity with a contact, that contact’s </w:t>
      </w:r>
      <w:r>
        <w:rPr>
          <w:rFonts w:ascii="Arial" w:cs="Arial" w:eastAsia="Arial" w:hAnsi="Arial"/>
          <w:sz w:val="20"/>
          <w:szCs w:val="20"/>
          <w:b w:val="1"/>
          <w:bCs w:val="1"/>
          <w:color w:val="auto"/>
        </w:rPr>
        <w:t>email may be intercepted, altered and fabricated</w:t>
      </w:r>
      <w:r>
        <w:rPr>
          <w:rFonts w:ascii="Arial" w:cs="Arial" w:eastAsia="Arial" w:hAnsi="Arial"/>
          <w:sz w:val="20"/>
          <w:szCs w:val="20"/>
          <w:color w:val="auto"/>
        </w:rPr>
        <w:t>. You may reduce the chances of fraud by following these best practices:</w:t>
      </w:r>
    </w:p>
    <w:p>
      <w:pPr>
        <w:spacing w:after="0" w:line="84" w:lineRule="exact"/>
        <w:rPr>
          <w:sz w:val="20"/>
          <w:szCs w:val="20"/>
          <w:color w:val="auto"/>
        </w:rPr>
      </w:pPr>
    </w:p>
    <w:p>
      <w:pPr>
        <w:jc w:val="both"/>
        <w:ind w:left="360" w:hanging="360"/>
        <w:spacing w:after="0" w:line="246" w:lineRule="auto"/>
        <w:tabs>
          <w:tab w:leader="none" w:pos="3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Verify Email Requests by Telephone</w:t>
      </w:r>
      <w:r>
        <w:rPr>
          <w:rFonts w:ascii="Arial" w:cs="Arial" w:eastAsia="Arial" w:hAnsi="Arial"/>
          <w:sz w:val="20"/>
          <w:szCs w:val="20"/>
          <w:color w:val="auto"/>
        </w:rPr>
        <w:t>: Require those responsible for paying invoices or changing bank</w:t>
      </w:r>
      <w:r>
        <w:rPr>
          <w:rFonts w:ascii="Arial" w:cs="Arial" w:eastAsia="Arial" w:hAnsi="Arial"/>
          <w:sz w:val="20"/>
          <w:szCs w:val="20"/>
          <w:b w:val="1"/>
          <w:bCs w:val="1"/>
          <w:color w:val="auto"/>
        </w:rPr>
        <w:t xml:space="preserve"> </w:t>
      </w:r>
      <w:r>
        <w:rPr>
          <w:rFonts w:ascii="Arial" w:cs="Arial" w:eastAsia="Arial" w:hAnsi="Arial"/>
          <w:sz w:val="20"/>
          <w:szCs w:val="20"/>
          <w:color w:val="auto"/>
        </w:rPr>
        <w:t>routing information to verify payment details over the phone, rather than by email or documents sent electronically. Making a phone call to a known, pre-existing telephone number remains the single best protection against fraud.</w:t>
      </w:r>
    </w:p>
    <w:p>
      <w:pPr>
        <w:spacing w:after="0" w:line="86" w:lineRule="exact"/>
        <w:rPr>
          <w:rFonts w:ascii="Arial" w:cs="Arial" w:eastAsia="Arial" w:hAnsi="Arial"/>
          <w:sz w:val="20"/>
          <w:szCs w:val="20"/>
          <w:color w:val="auto"/>
        </w:rPr>
      </w:pPr>
    </w:p>
    <w:p>
      <w:pPr>
        <w:jc w:val="both"/>
        <w:ind w:left="360" w:hanging="360"/>
        <w:spacing w:after="0" w:line="246" w:lineRule="auto"/>
        <w:tabs>
          <w:tab w:leader="none" w:pos="3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Segregate Wire Transfer Responsibilities</w:t>
      </w:r>
      <w:r>
        <w:rPr>
          <w:rFonts w:ascii="Arial" w:cs="Arial" w:eastAsia="Arial" w:hAnsi="Arial"/>
          <w:sz w:val="20"/>
          <w:szCs w:val="20"/>
          <w:color w:val="auto"/>
        </w:rPr>
        <w:t>: Establish a standing policy that requires at least three people</w:t>
      </w:r>
      <w:r>
        <w:rPr>
          <w:rFonts w:ascii="Arial" w:cs="Arial" w:eastAsia="Arial" w:hAnsi="Arial"/>
          <w:sz w:val="20"/>
          <w:szCs w:val="20"/>
          <w:b w:val="1"/>
          <w:bCs w:val="1"/>
          <w:color w:val="auto"/>
        </w:rPr>
        <w:t xml:space="preserve"> </w:t>
      </w:r>
      <w:r>
        <w:rPr>
          <w:rFonts w:ascii="Arial" w:cs="Arial" w:eastAsia="Arial" w:hAnsi="Arial"/>
          <w:sz w:val="20"/>
          <w:szCs w:val="20"/>
          <w:color w:val="auto"/>
        </w:rPr>
        <w:t>to review and approve wire transfer requests, pay an invoice or change a business partner’s bank account information. Such requests should be entered by the initiator of the wire and verified by two independent signatories.</w:t>
      </w:r>
    </w:p>
    <w:p>
      <w:pPr>
        <w:spacing w:after="0" w:line="86" w:lineRule="exact"/>
        <w:rPr>
          <w:rFonts w:ascii="Arial" w:cs="Arial" w:eastAsia="Arial" w:hAnsi="Arial"/>
          <w:sz w:val="20"/>
          <w:szCs w:val="20"/>
          <w:color w:val="auto"/>
        </w:rPr>
      </w:pPr>
    </w:p>
    <w:p>
      <w:pPr>
        <w:jc w:val="both"/>
        <w:ind w:left="360" w:hanging="360"/>
        <w:spacing w:after="0" w:line="251" w:lineRule="auto"/>
        <w:tabs>
          <w:tab w:leader="none" w:pos="360" w:val="left"/>
        </w:tabs>
        <w:numPr>
          <w:ilvl w:val="0"/>
          <w:numId w:val="10"/>
        </w:numPr>
        <w:rPr>
          <w:rFonts w:ascii="Arial" w:cs="Arial" w:eastAsia="Arial" w:hAnsi="Arial"/>
          <w:sz w:val="20"/>
          <w:szCs w:val="20"/>
          <w:color w:val="auto"/>
        </w:rPr>
      </w:pPr>
      <w:r>
        <w:rPr>
          <w:rFonts w:ascii="Arial" w:cs="Arial" w:eastAsia="Arial" w:hAnsi="Arial"/>
          <w:sz w:val="20"/>
          <w:szCs w:val="20"/>
          <w:b w:val="1"/>
          <w:bCs w:val="1"/>
          <w:color w:val="auto"/>
        </w:rPr>
        <w:t>Turn on MFA for Cloud Email</w:t>
      </w:r>
      <w:r>
        <w:rPr>
          <w:rFonts w:ascii="Arial" w:cs="Arial" w:eastAsia="Arial" w:hAnsi="Arial"/>
          <w:sz w:val="20"/>
          <w:szCs w:val="20"/>
          <w:color w:val="auto"/>
        </w:rPr>
        <w:t>: Multifactor Authentication is available from all major email providers. It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provides a layer of security to email accounts beyond a user’s account name and password, making it harder for criminals to impersonate you, your executives and your employees.</w:t>
      </w:r>
    </w:p>
    <w:p>
      <w:pPr>
        <w:spacing w:after="0" w:line="8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ectPr>
          <w:pgSz w:w="12240" w:h="15840" w:orient="portrait"/>
          <w:cols w:equalWidth="0" w:num="1">
            <w:col w:w="10080"/>
          </w:cols>
          <w:pgMar w:left="1080" w:top="700"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ALL-317454 (03/21)</w:t>
      </w:r>
      <w:r>
        <w:rPr>
          <w:sz w:val="20"/>
          <w:szCs w:val="20"/>
          <w:color w:val="auto"/>
        </w:rPr>
        <w:tab/>
      </w:r>
      <w:r>
        <w:rPr>
          <w:rFonts w:ascii="Arial" w:cs="Arial" w:eastAsia="Arial" w:hAnsi="Arial"/>
          <w:sz w:val="16"/>
          <w:szCs w:val="16"/>
          <w:color w:val="auto"/>
        </w:rPr>
        <w:t>Page 1 of 1</w:t>
      </w:r>
    </w:p>
    <w:p>
      <w:pPr>
        <w:sectPr>
          <w:pgSz w:w="12240" w:h="15840" w:orient="portrait"/>
          <w:cols w:equalWidth="0" w:num="1">
            <w:col w:w="10080"/>
          </w:cols>
          <w:pgMar w:left="1080" w:top="700" w:right="1080" w:bottom="157"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left="3840" w:right="60"/>
        <w:spacing w:after="0" w:line="274" w:lineRule="auto"/>
        <w:rPr>
          <w:sz w:val="20"/>
          <w:szCs w:val="20"/>
          <w:color w:val="auto"/>
        </w:rPr>
      </w:pPr>
      <w:r>
        <w:rPr>
          <w:rFonts w:ascii="Arial" w:cs="Arial" w:eastAsia="Arial" w:hAnsi="Arial"/>
          <w:sz w:val="32"/>
          <w:szCs w:val="32"/>
          <w:b w:val="1"/>
          <w:bCs w:val="1"/>
          <w:color w:val="auto"/>
        </w:rPr>
        <w:t>U.S. Treasury Department’s Office Of Foreign Assets Control (“OFAC”) Advisory 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-791845</wp:posOffset>
            </wp:positionV>
            <wp:extent cx="1276350" cy="133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1276350" cy="133350"/>
                    </a:xfrm>
                    <a:prstGeom prst="rect">
                      <a:avLst/>
                    </a:prstGeom>
                    <a:noFill/>
                  </pic:spPr>
                </pic:pic>
              </a:graphicData>
            </a:graphic>
          </wp:anchor>
        </w:drawing>
      </w:r>
    </w:p>
    <w:p>
      <w:pPr>
        <w:spacing w:after="0" w:line="158" w:lineRule="exact"/>
        <w:rPr>
          <w:sz w:val="20"/>
          <w:szCs w:val="20"/>
          <w:color w:val="auto"/>
        </w:rPr>
      </w:pPr>
    </w:p>
    <w:p>
      <w:pPr>
        <w:jc w:val="both"/>
        <w:ind w:right="100"/>
        <w:spacing w:after="0" w:line="260" w:lineRule="auto"/>
        <w:rPr>
          <w:sz w:val="20"/>
          <w:szCs w:val="20"/>
          <w:color w:val="auto"/>
        </w:rPr>
      </w:pPr>
      <w:r>
        <w:rPr>
          <w:rFonts w:ascii="Arial" w:cs="Arial" w:eastAsia="Arial" w:hAnsi="Arial"/>
          <w:sz w:val="20"/>
          <w:szCs w:val="20"/>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213" w:lineRule="exact"/>
        <w:rPr>
          <w:sz w:val="20"/>
          <w:szCs w:val="20"/>
          <w:color w:val="auto"/>
        </w:rPr>
      </w:pPr>
    </w:p>
    <w:p>
      <w:pPr>
        <w:jc w:val="both"/>
        <w:ind w:right="100"/>
        <w:spacing w:after="0" w:line="270" w:lineRule="auto"/>
        <w:rPr>
          <w:sz w:val="20"/>
          <w:szCs w:val="20"/>
          <w:color w:val="auto"/>
        </w:rPr>
      </w:pPr>
      <w:r>
        <w:rPr>
          <w:rFonts w:ascii="Arial" w:cs="Arial" w:eastAsia="Arial" w:hAnsi="Arial"/>
          <w:sz w:val="20"/>
          <w:szCs w:val="20"/>
          <w:color w:val="auto"/>
        </w:rPr>
        <w:t xml:space="preserve">This Notice provides information concerning possible impact on your insurance coverage due to directives issued by OFAC. </w:t>
      </w:r>
      <w:r>
        <w:rPr>
          <w:rFonts w:ascii="Arial" w:cs="Arial" w:eastAsia="Arial" w:hAnsi="Arial"/>
          <w:sz w:val="20"/>
          <w:szCs w:val="20"/>
          <w:b w:val="1"/>
          <w:bCs w:val="1"/>
          <w:color w:val="auto"/>
        </w:rPr>
        <w:t>Please read this Notice carefully.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auto"/>
        </w:rPr>
        <w:t>The Office of Foreign Assets Control (OFAC) administers and enforces sanctions policy, based 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Presidential declarations of "national emergency". OFAC has identified and listed numerous:</w:t>
      </w:r>
    </w:p>
    <w:p>
      <w:pPr>
        <w:spacing w:after="0" w:line="244" w:lineRule="exact"/>
        <w:rPr>
          <w:sz w:val="20"/>
          <w:szCs w:val="20"/>
          <w:color w:val="auto"/>
        </w:rPr>
      </w:pPr>
    </w:p>
    <w:p>
      <w:pPr>
        <w:ind w:left="720"/>
        <w:spacing w:after="0"/>
        <w:rPr>
          <w:sz w:val="20"/>
          <w:szCs w:val="20"/>
          <w:color w:val="auto"/>
        </w:rPr>
      </w:pPr>
      <w:r>
        <w:rPr>
          <w:rFonts w:ascii="Arial" w:cs="Arial" w:eastAsia="Arial" w:hAnsi="Arial"/>
          <w:sz w:val="20"/>
          <w:szCs w:val="20"/>
          <w:color w:val="auto"/>
        </w:rPr>
        <w:t>Foreign agents;</w:t>
      </w:r>
    </w:p>
    <w:p>
      <w:pPr>
        <w:spacing w:after="0" w:line="16" w:lineRule="exact"/>
        <w:rPr>
          <w:sz w:val="20"/>
          <w:szCs w:val="20"/>
          <w:color w:val="auto"/>
        </w:rPr>
      </w:pPr>
    </w:p>
    <w:p>
      <w:pPr>
        <w:ind w:left="960" w:right="7060"/>
        <w:spacing w:after="0" w:line="250" w:lineRule="auto"/>
        <w:rPr>
          <w:sz w:val="20"/>
          <w:szCs w:val="20"/>
          <w:color w:val="auto"/>
        </w:rPr>
      </w:pPr>
      <w:r>
        <w:rPr>
          <w:rFonts w:ascii="Arial" w:cs="Arial" w:eastAsia="Arial" w:hAnsi="Arial"/>
          <w:sz w:val="20"/>
          <w:szCs w:val="20"/>
          <w:color w:val="auto"/>
        </w:rPr>
        <w:t>Front organizations; Terrorists;</w:t>
      </w:r>
    </w:p>
    <w:p>
      <w:pPr>
        <w:ind w:left="960" w:right="6340"/>
        <w:spacing w:after="0" w:line="264" w:lineRule="auto"/>
        <w:rPr>
          <w:sz w:val="20"/>
          <w:szCs w:val="20"/>
          <w:color w:val="auto"/>
        </w:rPr>
      </w:pPr>
      <w:r>
        <w:rPr>
          <w:rFonts w:ascii="Arial" w:cs="Arial" w:eastAsia="Arial" w:hAnsi="Arial"/>
          <w:sz w:val="20"/>
          <w:szCs w:val="20"/>
          <w:color w:val="auto"/>
        </w:rPr>
        <w:t>Terrorist organizations; and Narcotics traffickers;</w:t>
      </w:r>
    </w:p>
    <w:p>
      <w:pPr>
        <w:spacing w:after="0" w:line="208" w:lineRule="exact"/>
        <w:rPr>
          <w:sz w:val="20"/>
          <w:szCs w:val="20"/>
          <w:color w:val="auto"/>
        </w:rPr>
      </w:pPr>
    </w:p>
    <w:p>
      <w:pPr>
        <w:jc w:val="both"/>
        <w:ind w:right="100"/>
        <w:spacing w:after="0" w:line="270" w:lineRule="auto"/>
        <w:rPr>
          <w:sz w:val="20"/>
          <w:szCs w:val="20"/>
          <w:color w:val="auto"/>
        </w:rPr>
      </w:pPr>
      <w:r>
        <w:rPr>
          <w:rFonts w:ascii="Arial" w:cs="Arial" w:eastAsia="Arial" w:hAnsi="Arial"/>
          <w:sz w:val="20"/>
          <w:szCs w:val="20"/>
          <w:color w:val="auto"/>
        </w:rPr>
        <w:t>as "Specially Designated Nationals and Blocked Persons". This list can be located on the United States Treasury's web site – http//www.treas.gov/ofac.</w:t>
      </w:r>
    </w:p>
    <w:p>
      <w:pPr>
        <w:spacing w:after="0" w:line="203" w:lineRule="exact"/>
        <w:rPr>
          <w:sz w:val="20"/>
          <w:szCs w:val="20"/>
          <w:color w:val="auto"/>
        </w:rPr>
      </w:pPr>
    </w:p>
    <w:p>
      <w:pPr>
        <w:jc w:val="both"/>
        <w:ind w:right="100"/>
        <w:spacing w:after="0" w:line="254" w:lineRule="auto"/>
        <w:rPr>
          <w:sz w:val="20"/>
          <w:szCs w:val="20"/>
          <w:color w:val="auto"/>
        </w:rPr>
      </w:pPr>
      <w:r>
        <w:rPr>
          <w:rFonts w:ascii="Arial" w:cs="Arial" w:eastAsia="Arial" w:hAnsi="Arial"/>
          <w:sz w:val="20"/>
          <w:szCs w:val="20"/>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2240" w:h="15840" w:orient="portrait"/>
          <w:cols w:equalWidth="0" w:num="1">
            <w:col w:w="9900"/>
          </w:cols>
          <w:pgMar w:left="900" w:top="1440" w:right="1440" w:bottom="3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3480" w:val="left"/>
          <w:tab w:leader="none" w:pos="8620" w:val="left"/>
        </w:tabs>
        <w:rPr>
          <w:sz w:val="20"/>
          <w:szCs w:val="20"/>
          <w:color w:val="auto"/>
        </w:rPr>
      </w:pPr>
      <w:r>
        <w:rPr>
          <w:rFonts w:ascii="Arial" w:cs="Arial" w:eastAsia="Arial" w:hAnsi="Arial"/>
          <w:sz w:val="18"/>
          <w:szCs w:val="18"/>
          <w:color w:val="auto"/>
        </w:rPr>
        <w:t>PF-17914a (04/16)</w:t>
      </w:r>
      <w:r>
        <w:rPr>
          <w:sz w:val="20"/>
          <w:szCs w:val="20"/>
          <w:color w:val="auto"/>
        </w:rPr>
        <w:tab/>
      </w:r>
      <w:r>
        <w:rPr>
          <w:rFonts w:ascii="Arial" w:cs="Arial" w:eastAsia="Arial" w:hAnsi="Arial"/>
          <w:sz w:val="18"/>
          <w:szCs w:val="18"/>
          <w:color w:val="auto"/>
        </w:rPr>
        <w:t>Reprinted, in part, with permission of</w:t>
      </w:r>
      <w:r>
        <w:rPr>
          <w:sz w:val="20"/>
          <w:szCs w:val="20"/>
          <w:color w:val="auto"/>
        </w:rPr>
        <w:tab/>
      </w:r>
      <w:r>
        <w:rPr>
          <w:rFonts w:ascii="Arial" w:cs="Arial" w:eastAsia="Arial" w:hAnsi="Arial"/>
          <w:sz w:val="16"/>
          <w:szCs w:val="16"/>
          <w:color w:val="auto"/>
        </w:rPr>
        <w:t>Page 1 of 1</w:t>
      </w:r>
    </w:p>
    <w:p>
      <w:pPr>
        <w:spacing w:after="0" w:line="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ISO Properties, Inc.</w:t>
      </w:r>
    </w:p>
    <w:p>
      <w:pPr>
        <w:sectPr>
          <w:pgSz w:w="12240" w:h="15840" w:orient="portrait"/>
          <w:cols w:equalWidth="0" w:num="1">
            <w:col w:w="9900"/>
          </w:cols>
          <w:pgMar w:left="900" w:top="1440" w:right="1440" w:bottom="391" w:gutter="0" w:footer="0" w:header="0"/>
          <w:type w:val="continuous"/>
        </w:sectPr>
      </w:pPr>
    </w:p>
    <w:bookmarkStart w:id="12" w:name="page13"/>
    <w:bookmarkEnd w:id="12"/>
    <w:p>
      <w:pPr>
        <w:jc w:val="right"/>
        <w:ind w:right="20"/>
        <w:spacing w:after="0"/>
        <w:rPr>
          <w:sz w:val="20"/>
          <w:szCs w:val="20"/>
          <w:color w:val="auto"/>
        </w:rPr>
      </w:pPr>
      <w:r>
        <w:rPr>
          <w:rFonts w:ascii="Arial" w:cs="Arial" w:eastAsia="Arial" w:hAnsi="Arial"/>
          <w:sz w:val="28"/>
          <w:szCs w:val="28"/>
          <w:b w:val="1"/>
          <w:bCs w:val="1"/>
          <w:color w:val="auto"/>
        </w:rPr>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280160" cy="129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1280160" cy="12954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356235</wp:posOffset>
            </wp:positionV>
            <wp:extent cx="653796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653796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QUESTIONS ABOUT YOUR INSURANCE?</w:t>
      </w:r>
    </w:p>
    <w:p>
      <w:pPr>
        <w:spacing w:after="0" w:line="237" w:lineRule="exact"/>
        <w:rPr>
          <w:sz w:val="20"/>
          <w:szCs w:val="20"/>
          <w:color w:val="auto"/>
        </w:rPr>
      </w:pPr>
    </w:p>
    <w:p>
      <w:pPr>
        <w:ind w:right="580"/>
        <w:spacing w:after="0" w:line="265" w:lineRule="auto"/>
        <w:rPr>
          <w:sz w:val="20"/>
          <w:szCs w:val="20"/>
          <w:color w:val="auto"/>
        </w:rPr>
      </w:pPr>
      <w:r>
        <w:rPr>
          <w:rFonts w:ascii="Arial" w:cs="Arial" w:eastAsia="Arial" w:hAnsi="Arial"/>
          <w:sz w:val="20"/>
          <w:szCs w:val="20"/>
          <w:b w:val="1"/>
          <w:bCs w:val="1"/>
          <w:color w:val="auto"/>
        </w:rPr>
        <w:t>Answers to questions about your insurance, coverage information, or assistance in resolving complaints can be obtained by contacting:</w:t>
      </w:r>
    </w:p>
    <w:p>
      <w:pPr>
        <w:spacing w:after="0" w:line="17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CHUBB</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Customer Support Service Department</w:t>
      </w:r>
    </w:p>
    <w:p>
      <w:pPr>
        <w:ind w:left="3020"/>
        <w:spacing w:after="0" w:line="237" w:lineRule="auto"/>
        <w:rPr>
          <w:sz w:val="20"/>
          <w:szCs w:val="20"/>
          <w:color w:val="auto"/>
        </w:rPr>
      </w:pPr>
      <w:r>
        <w:rPr>
          <w:rFonts w:ascii="Arial" w:cs="Arial" w:eastAsia="Arial" w:hAnsi="Arial"/>
          <w:sz w:val="20"/>
          <w:szCs w:val="20"/>
          <w:b w:val="1"/>
          <w:bCs w:val="1"/>
          <w:color w:val="auto"/>
        </w:rPr>
        <w:t>436 Walnut Street</w:t>
      </w:r>
    </w:p>
    <w:p>
      <w:pPr>
        <w:ind w:left="3020"/>
        <w:spacing w:after="0" w:line="237" w:lineRule="auto"/>
        <w:rPr>
          <w:sz w:val="20"/>
          <w:szCs w:val="20"/>
          <w:color w:val="auto"/>
        </w:rPr>
      </w:pPr>
      <w:r>
        <w:rPr>
          <w:rFonts w:ascii="Arial" w:cs="Arial" w:eastAsia="Arial" w:hAnsi="Arial"/>
          <w:sz w:val="20"/>
          <w:szCs w:val="20"/>
          <w:b w:val="1"/>
          <w:bCs w:val="1"/>
          <w:color w:val="auto"/>
        </w:rPr>
        <w:t>PO Box 1000</w:t>
      </w:r>
    </w:p>
    <w:p>
      <w:pPr>
        <w:ind w:left="3020"/>
        <w:spacing w:after="0" w:line="237" w:lineRule="auto"/>
        <w:rPr>
          <w:sz w:val="20"/>
          <w:szCs w:val="20"/>
          <w:color w:val="auto"/>
        </w:rPr>
      </w:pPr>
      <w:r>
        <w:rPr>
          <w:rFonts w:ascii="Arial" w:cs="Arial" w:eastAsia="Arial" w:hAnsi="Arial"/>
          <w:sz w:val="20"/>
          <w:szCs w:val="20"/>
          <w:b w:val="1"/>
          <w:bCs w:val="1"/>
          <w:color w:val="auto"/>
        </w:rPr>
        <w:t>Philadelphia, PA 19106-3703</w:t>
      </w:r>
    </w:p>
    <w:p>
      <w:pPr>
        <w:ind w:left="3020"/>
        <w:spacing w:after="0"/>
        <w:rPr>
          <w:sz w:val="20"/>
          <w:szCs w:val="20"/>
          <w:color w:val="auto"/>
        </w:rPr>
      </w:pPr>
      <w:r>
        <w:rPr>
          <w:rFonts w:ascii="Arial" w:cs="Arial" w:eastAsia="Arial" w:hAnsi="Arial"/>
          <w:sz w:val="20"/>
          <w:szCs w:val="20"/>
          <w:b w:val="1"/>
          <w:bCs w:val="1"/>
          <w:color w:val="auto"/>
        </w:rPr>
        <w:t>1-800-352-4462</w:t>
      </w:r>
    </w:p>
    <w:p>
      <w:pPr>
        <w:sectPr>
          <w:pgSz w:w="12240" w:h="15840" w:orient="portrait"/>
          <w:cols w:equalWidth="0" w:num="1">
            <w:col w:w="10080"/>
          </w:cols>
          <w:pgMar w:left="1080" w:top="700"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PF-17993a (04/20)</w:t>
      </w:r>
      <w:r>
        <w:rPr>
          <w:sz w:val="20"/>
          <w:szCs w:val="20"/>
          <w:color w:val="auto"/>
        </w:rPr>
        <w:tab/>
      </w:r>
      <w:r>
        <w:rPr>
          <w:rFonts w:ascii="Arial" w:cs="Arial" w:eastAsia="Arial" w:hAnsi="Arial"/>
          <w:sz w:val="16"/>
          <w:szCs w:val="16"/>
          <w:color w:val="auto"/>
        </w:rPr>
        <w:t>Page 1 of 1</w:t>
      </w:r>
    </w:p>
    <w:p>
      <w:pPr>
        <w:sectPr>
          <w:pgSz w:w="12240" w:h="15840" w:orient="portrait"/>
          <w:cols w:equalWidth="0" w:num="1">
            <w:col w:w="10080"/>
          </w:cols>
          <w:pgMar w:left="1080" w:top="700" w:right="1080" w:bottom="157" w:gutter="0" w:footer="0" w:header="0"/>
          <w:type w:val="continuous"/>
        </w:sectPr>
      </w:pPr>
    </w:p>
    <w:bookmarkStart w:id="13" w:name="page14"/>
    <w:bookmarkEnd w:id="13"/>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 xml:space="preserve">The Company, in consideration of the premium paid, and in reliance on the Application and all other statements made and information furnished to the Company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and subject to the Declarations made part of this Bond and to all other terms, conditions, and limitations of this Bond, agrees to pay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160020</wp:posOffset>
            </wp:positionV>
            <wp:extent cx="64395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spacing w:after="0" w:line="378" w:lineRule="exact"/>
        <w:rPr>
          <w:sz w:val="20"/>
          <w:szCs w:val="20"/>
          <w:color w:val="auto"/>
        </w:rPr>
      </w:pPr>
    </w:p>
    <w:p>
      <w:pPr>
        <w:ind w:left="720" w:hanging="720"/>
        <w:spacing w:after="0"/>
        <w:tabs>
          <w:tab w:leader="none" w:pos="7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INSURING CLAUSES</w:t>
      </w:r>
    </w:p>
    <w:p>
      <w:pPr>
        <w:spacing w:after="0" w:line="116" w:lineRule="exact"/>
        <w:rPr>
          <w:rFonts w:ascii="Arial" w:cs="Arial" w:eastAsia="Arial" w:hAnsi="Arial"/>
          <w:sz w:val="20"/>
          <w:szCs w:val="20"/>
          <w:b w:val="1"/>
          <w:bCs w:val="1"/>
          <w:color w:val="auto"/>
        </w:rPr>
      </w:pPr>
    </w:p>
    <w:p>
      <w:pPr>
        <w:ind w:left="720" w:hanging="360"/>
        <w:spacing w:after="0"/>
        <w:tabs>
          <w:tab w:leader="none" w:pos="7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Employee</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Loss resulting directly from </w:t>
      </w:r>
      <w:r>
        <w:rPr>
          <w:rFonts w:ascii="Arial" w:cs="Arial" w:eastAsia="Arial" w:hAnsi="Arial"/>
          <w:sz w:val="20"/>
          <w:szCs w:val="20"/>
          <w:b w:val="1"/>
          <w:bCs w:val="1"/>
          <w:color w:val="auto"/>
        </w:rPr>
        <w:t>Larceny or Embezzlement</w:t>
      </w:r>
      <w:r>
        <w:rPr>
          <w:rFonts w:ascii="Arial" w:cs="Arial" w:eastAsia="Arial" w:hAnsi="Arial"/>
          <w:sz w:val="20"/>
          <w:szCs w:val="20"/>
          <w:color w:val="auto"/>
        </w:rPr>
        <w:t xml:space="preserve"> committed by any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acting alone or in collusion with others.</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1"/>
          <w:numId w:val="12"/>
        </w:numPr>
        <w:rPr>
          <w:rFonts w:ascii="Arial" w:cs="Arial" w:eastAsia="Arial" w:hAnsi="Arial"/>
          <w:sz w:val="20"/>
          <w:szCs w:val="20"/>
          <w:color w:val="auto"/>
        </w:rPr>
      </w:pPr>
      <w:r>
        <w:rPr>
          <w:rFonts w:ascii="Arial" w:cs="Arial" w:eastAsia="Arial" w:hAnsi="Arial"/>
          <w:sz w:val="20"/>
          <w:szCs w:val="20"/>
          <w:color w:val="auto"/>
        </w:rPr>
        <w:t>On Premises</w:t>
      </w:r>
    </w:p>
    <w:p>
      <w:pPr>
        <w:spacing w:after="0" w:line="116"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 xml:space="preserve">Loss of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resulting directly from:</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2"/>
          <w:numId w:val="12"/>
        </w:numPr>
        <w:rPr>
          <w:rFonts w:ascii="Arial" w:cs="Arial" w:eastAsia="Arial" w:hAnsi="Arial"/>
          <w:sz w:val="20"/>
          <w:szCs w:val="20"/>
          <w:color w:val="auto"/>
        </w:rPr>
      </w:pPr>
      <w:r>
        <w:rPr>
          <w:rFonts w:ascii="Arial" w:cs="Arial" w:eastAsia="Arial" w:hAnsi="Arial"/>
          <w:sz w:val="20"/>
          <w:szCs w:val="20"/>
          <w:color w:val="auto"/>
        </w:rPr>
        <w:t>robbery, burglary, misplacement, mysterious unexplainable disappearance, damage or destruction; or</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2"/>
          <w:numId w:val="12"/>
        </w:numPr>
        <w:rPr>
          <w:rFonts w:ascii="Arial" w:cs="Arial" w:eastAsia="Arial" w:hAnsi="Arial"/>
          <w:sz w:val="20"/>
          <w:szCs w:val="20"/>
          <w:color w:val="auto"/>
        </w:rPr>
      </w:pPr>
      <w:r>
        <w:rPr>
          <w:rFonts w:ascii="Arial" w:cs="Arial" w:eastAsia="Arial" w:hAnsi="Arial"/>
          <w:sz w:val="20"/>
          <w:szCs w:val="20"/>
          <w:color w:val="auto"/>
        </w:rPr>
        <w:t xml:space="preserve">false pretenses, or common law or statutory larceny, committed by a natural person while on the premises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while the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is lodged or deposited at premises located anywhere.</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For the purpose of coverage under this Insuring Clause 2, the premises of securities depositories shall be deemed to be premises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but only with respect to the loss of </w:t>
      </w:r>
      <w:r>
        <w:rPr>
          <w:rFonts w:ascii="Arial" w:cs="Arial" w:eastAsia="Arial" w:hAnsi="Arial"/>
          <w:sz w:val="20"/>
          <w:szCs w:val="20"/>
          <w:b w:val="1"/>
          <w:bCs w:val="1"/>
          <w:color w:val="auto"/>
        </w:rPr>
        <w:t>Certificated Securities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Certificated Securities </w:t>
      </w:r>
      <w:r>
        <w:rPr>
          <w:rFonts w:ascii="Arial" w:cs="Arial" w:eastAsia="Arial" w:hAnsi="Arial"/>
          <w:sz w:val="20"/>
          <w:szCs w:val="20"/>
          <w:color w:val="auto"/>
        </w:rPr>
        <w:t>held by such depositories shall be deemed to be</w:t>
      </w:r>
      <w:r>
        <w:rPr>
          <w:rFonts w:ascii="Arial" w:cs="Arial" w:eastAsia="Arial" w:hAnsi="Arial"/>
          <w:sz w:val="20"/>
          <w:szCs w:val="20"/>
          <w:b w:val="1"/>
          <w:bCs w:val="1"/>
          <w:color w:val="auto"/>
        </w:rPr>
        <w:t xml:space="preserve"> Property</w:t>
      </w:r>
      <w:r>
        <w:rPr>
          <w:rFonts w:ascii="Arial" w:cs="Arial" w:eastAsia="Arial" w:hAnsi="Arial"/>
          <w:sz w:val="20"/>
          <w:szCs w:val="20"/>
          <w:color w:val="auto"/>
        </w:rPr>
        <w:t>, but only to the extent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interest therein as detailed in the books and records of such depositories.</w:t>
      </w:r>
    </w:p>
    <w:p>
      <w:pPr>
        <w:spacing w:after="0" w:line="121" w:lineRule="exact"/>
        <w:rPr>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In Transit</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Loss of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resulting directly from common law or statutory larceny, misplacement, mysterious unexplainable disappearance, damage or destruction, while the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is in transit anywhere in:</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an armored motor vehicle, including loading and unloading thereof;</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the custody of a natural person acting as a messenger of the </w:t>
      </w:r>
      <w:r>
        <w:rPr>
          <w:rFonts w:ascii="Arial" w:cs="Arial" w:eastAsia="Arial" w:hAnsi="Arial"/>
          <w:sz w:val="20"/>
          <w:szCs w:val="20"/>
          <w:b w:val="1"/>
          <w:bCs w:val="1"/>
          <w:color w:val="auto"/>
        </w:rPr>
        <w:t>Assured</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the custody of a </w:t>
      </w:r>
      <w:r>
        <w:rPr>
          <w:rFonts w:ascii="Arial" w:cs="Arial" w:eastAsia="Arial" w:hAnsi="Arial"/>
          <w:sz w:val="20"/>
          <w:szCs w:val="20"/>
          <w:b w:val="1"/>
          <w:bCs w:val="1"/>
          <w:color w:val="auto"/>
        </w:rPr>
        <w:t>Transportation Company</w:t>
      </w:r>
      <w:r>
        <w:rPr>
          <w:rFonts w:ascii="Arial" w:cs="Arial" w:eastAsia="Arial" w:hAnsi="Arial"/>
          <w:sz w:val="20"/>
          <w:szCs w:val="20"/>
          <w:color w:val="auto"/>
        </w:rPr>
        <w:t xml:space="preserve"> and being transported in a conveyance other than an armored motor vehicle, provided that covered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transported in such manner is limited to the following:</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Written </w:t>
      </w:r>
      <w:r>
        <w:rPr>
          <w:rFonts w:ascii="Arial" w:cs="Arial" w:eastAsia="Arial" w:hAnsi="Arial"/>
          <w:sz w:val="20"/>
          <w:szCs w:val="20"/>
          <w:color w:val="auto"/>
        </w:rPr>
        <w:t>records;</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Certificated Securities </w:t>
      </w:r>
      <w:r>
        <w:rPr>
          <w:rFonts w:ascii="Arial" w:cs="Arial" w:eastAsia="Arial" w:hAnsi="Arial"/>
          <w:sz w:val="20"/>
          <w:szCs w:val="20"/>
          <w:color w:val="auto"/>
        </w:rPr>
        <w:t>issued in registered form, which are not endorsed or are restrictively</w:t>
      </w:r>
      <w:r>
        <w:rPr>
          <w:rFonts w:ascii="Arial" w:cs="Arial" w:eastAsia="Arial" w:hAnsi="Arial"/>
          <w:sz w:val="20"/>
          <w:szCs w:val="20"/>
          <w:b w:val="1"/>
          <w:bCs w:val="1"/>
          <w:color w:val="auto"/>
        </w:rPr>
        <w:t xml:space="preserve"> </w:t>
      </w:r>
      <w:r>
        <w:rPr>
          <w:rFonts w:ascii="Arial" w:cs="Arial" w:eastAsia="Arial" w:hAnsi="Arial"/>
          <w:sz w:val="20"/>
          <w:szCs w:val="20"/>
          <w:color w:val="auto"/>
        </w:rPr>
        <w:t>endorsed; or</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Negotiable Instruments </w:t>
      </w:r>
      <w:r>
        <w:rPr>
          <w:rFonts w:ascii="Arial" w:cs="Arial" w:eastAsia="Arial" w:hAnsi="Arial"/>
          <w:sz w:val="20"/>
          <w:szCs w:val="20"/>
          <w:color w:val="auto"/>
        </w:rPr>
        <w:t>not payable to bearer, which are not endorsed or are restrictively</w:t>
      </w:r>
      <w:r>
        <w:rPr>
          <w:rFonts w:ascii="Arial" w:cs="Arial" w:eastAsia="Arial" w:hAnsi="Arial"/>
          <w:sz w:val="20"/>
          <w:szCs w:val="20"/>
          <w:b w:val="1"/>
          <w:bCs w:val="1"/>
          <w:color w:val="auto"/>
        </w:rPr>
        <w:t xml:space="preserve"> </w:t>
      </w:r>
      <w:r>
        <w:rPr>
          <w:rFonts w:ascii="Arial" w:cs="Arial" w:eastAsia="Arial" w:hAnsi="Arial"/>
          <w:sz w:val="20"/>
          <w:szCs w:val="20"/>
          <w:color w:val="auto"/>
        </w:rPr>
        <w:t>endorsed.</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Coverage under this Insuring Clause 3 begins immediately on the receipt of such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by the armored motor vehicle, natural person messenger, or </w:t>
      </w:r>
      <w:r>
        <w:rPr>
          <w:rFonts w:ascii="Arial" w:cs="Arial" w:eastAsia="Arial" w:hAnsi="Arial"/>
          <w:sz w:val="20"/>
          <w:szCs w:val="20"/>
          <w:b w:val="1"/>
          <w:bCs w:val="1"/>
          <w:color w:val="auto"/>
        </w:rPr>
        <w:t>Transportation Company</w:t>
      </w:r>
      <w:r>
        <w:rPr>
          <w:rFonts w:ascii="Arial" w:cs="Arial" w:eastAsia="Arial" w:hAnsi="Arial"/>
          <w:sz w:val="20"/>
          <w:szCs w:val="20"/>
          <w:color w:val="auto"/>
        </w:rPr>
        <w:t xml:space="preserve"> and ends immediately on delivery to the premises of the addressee or to any representative of the addressee located anywhere.</w:t>
      </w:r>
    </w:p>
    <w:p>
      <w:pPr>
        <w:spacing w:after="0" w:line="119" w:lineRule="exact"/>
        <w:rPr>
          <w:sz w:val="20"/>
          <w:szCs w:val="20"/>
          <w:color w:val="auto"/>
        </w:rPr>
      </w:pPr>
    </w:p>
    <w:p>
      <w:pPr>
        <w:ind w:left="720" w:hanging="360"/>
        <w:spacing w:after="0"/>
        <w:tabs>
          <w:tab w:leader="none" w:pos="7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Forgery Or Alteration</w:t>
      </w:r>
    </w:p>
    <w:p>
      <w:pPr>
        <w:spacing w:after="0" w:line="116"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 xml:space="preserve">Loss resulting directly from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having, in good faith:</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xml:space="preserve">transferred, paid, or delivered any </w:t>
      </w:r>
      <w:r>
        <w:rPr>
          <w:rFonts w:ascii="Arial" w:cs="Arial" w:eastAsia="Arial" w:hAnsi="Arial"/>
          <w:sz w:val="20"/>
          <w:szCs w:val="20"/>
          <w:b w:val="1"/>
          <w:bCs w:val="1"/>
          <w:color w:val="auto"/>
        </w:rPr>
        <w:t>Property</w:t>
      </w:r>
      <w:r>
        <w:rPr>
          <w:rFonts w:ascii="Arial" w:cs="Arial" w:eastAsia="Arial" w:hAnsi="Arial"/>
          <w:sz w:val="20"/>
          <w:szCs w:val="20"/>
          <w:color w:val="auto"/>
        </w:rPr>
        <w:t>;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14"/>
        </w:numPr>
        <w:rPr>
          <w:rFonts w:ascii="Arial" w:cs="Arial" w:eastAsia="Arial" w:hAnsi="Arial"/>
          <w:sz w:val="20"/>
          <w:szCs w:val="20"/>
          <w:color w:val="auto"/>
        </w:rPr>
      </w:pPr>
      <w:r>
        <w:rPr>
          <w:rFonts w:ascii="Arial" w:cs="Arial" w:eastAsia="Arial" w:hAnsi="Arial"/>
          <w:sz w:val="20"/>
          <w:szCs w:val="20"/>
          <w:color w:val="auto"/>
        </w:rPr>
        <w:t>established any credit or given any value,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in reliance on any </w:t>
      </w:r>
      <w:r>
        <w:rPr>
          <w:rFonts w:ascii="Arial" w:cs="Arial" w:eastAsia="Arial" w:hAnsi="Arial"/>
          <w:sz w:val="20"/>
          <w:szCs w:val="20"/>
          <w:b w:val="1"/>
          <w:bCs w:val="1"/>
          <w:color w:val="auto"/>
        </w:rPr>
        <w:t>Written</w:t>
      </w:r>
      <w:r>
        <w:rPr>
          <w:rFonts w:ascii="Arial" w:cs="Arial" w:eastAsia="Arial" w:hAnsi="Arial"/>
          <w:sz w:val="20"/>
          <w:szCs w:val="20"/>
          <w:color w:val="auto"/>
        </w:rPr>
        <w:t xml:space="preserve"> and </w:t>
      </w:r>
      <w:r>
        <w:rPr>
          <w:rFonts w:ascii="Arial" w:cs="Arial" w:eastAsia="Arial" w:hAnsi="Arial"/>
          <w:sz w:val="20"/>
          <w:szCs w:val="20"/>
          <w:b w:val="1"/>
          <w:bCs w:val="1"/>
          <w:color w:val="auto"/>
        </w:rPr>
        <w:t>Original</w:t>
      </w:r>
      <w:r>
        <w:rPr>
          <w:rFonts w:ascii="Arial" w:cs="Arial" w:eastAsia="Arial" w:hAnsi="Arial"/>
          <w:sz w:val="20"/>
          <w:szCs w:val="20"/>
          <w:color w:val="auto"/>
        </w:rPr>
        <w:t>:</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916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5"/>
          <w:szCs w:val="15"/>
          <w:color w:val="auto"/>
        </w:rPr>
        <w:t>Page 1 of 17</w:t>
      </w:r>
    </w:p>
    <w:p>
      <w:pPr>
        <w:sectPr>
          <w:pgSz w:w="12240" w:h="15840" w:orient="portrait"/>
          <w:cols w:equalWidth="0" w:num="1">
            <w:col w:w="10080"/>
          </w:cols>
          <w:pgMar w:left="1080" w:top="714" w:right="1080" w:bottom="156" w:gutter="0" w:footer="0" w:header="0"/>
          <w:type w:val="continuous"/>
        </w:sectPr>
      </w:pPr>
    </w:p>
    <w:bookmarkStart w:id="14" w:name="page15"/>
    <w:bookmarkEnd w:id="14"/>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40" w:hanging="360"/>
        <w:spacing w:after="0"/>
        <w:tabs>
          <w:tab w:leader="none" w:pos="144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Negotiable Instrument </w:t>
      </w:r>
      <w:r>
        <w:rPr>
          <w:rFonts w:ascii="Arial" w:cs="Arial" w:eastAsia="Arial" w:hAnsi="Arial"/>
          <w:sz w:val="20"/>
          <w:szCs w:val="20"/>
          <w:color w:val="auto"/>
        </w:rPr>
        <w:t>(other than an</w:t>
      </w:r>
      <w:r>
        <w:rPr>
          <w:rFonts w:ascii="Arial" w:cs="Arial" w:eastAsia="Arial" w:hAnsi="Arial"/>
          <w:sz w:val="20"/>
          <w:szCs w:val="20"/>
          <w:b w:val="1"/>
          <w:bCs w:val="1"/>
          <w:color w:val="auto"/>
        </w:rPr>
        <w:t xml:space="preserve"> Evidence of Debt</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Acceptance</w:t>
      </w:r>
      <w:r>
        <w:rPr>
          <w:rFonts w:ascii="Arial" w:cs="Arial" w:eastAsia="Arial" w:hAnsi="Arial"/>
          <w:sz w:val="20"/>
          <w:szCs w:val="20"/>
          <w:color w:val="auto"/>
        </w:rPr>
        <w:t>;</w:t>
      </w:r>
    </w:p>
    <w:p>
      <w:pPr>
        <w:spacing w:after="0" w:line="117" w:lineRule="exact"/>
        <w:rPr>
          <w:rFonts w:ascii="Arial" w:cs="Arial" w:eastAsia="Arial" w:hAnsi="Arial"/>
          <w:sz w:val="20"/>
          <w:szCs w:val="20"/>
          <w:color w:val="auto"/>
        </w:rPr>
      </w:pPr>
    </w:p>
    <w:p>
      <w:pPr>
        <w:ind w:left="1440" w:hanging="360"/>
        <w:spacing w:after="0"/>
        <w:tabs>
          <w:tab w:leader="none" w:pos="144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 xml:space="preserve">Withdrawal Order </w:t>
      </w:r>
      <w:r>
        <w:rPr>
          <w:rFonts w:ascii="Arial" w:cs="Arial" w:eastAsia="Arial" w:hAnsi="Arial"/>
          <w:sz w:val="20"/>
          <w:szCs w:val="20"/>
          <w:color w:val="auto"/>
        </w:rPr>
        <w:t>or receipt for the withdrawal of</w:t>
      </w:r>
      <w:r>
        <w:rPr>
          <w:rFonts w:ascii="Arial" w:cs="Arial" w:eastAsia="Arial" w:hAnsi="Arial"/>
          <w:sz w:val="20"/>
          <w:szCs w:val="20"/>
          <w:b w:val="1"/>
          <w:bCs w:val="1"/>
          <w:color w:val="auto"/>
        </w:rPr>
        <w:t xml:space="preserve"> Property</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Certificate of Deposit</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0"/>
          <w:numId w:val="15"/>
        </w:numPr>
        <w:rPr>
          <w:rFonts w:ascii="Arial" w:cs="Arial" w:eastAsia="Arial" w:hAnsi="Arial"/>
          <w:sz w:val="20"/>
          <w:szCs w:val="20"/>
          <w:color w:val="auto"/>
        </w:rPr>
      </w:pPr>
      <w:r>
        <w:rPr>
          <w:rFonts w:ascii="Arial" w:cs="Arial" w:eastAsia="Arial" w:hAnsi="Arial"/>
          <w:sz w:val="20"/>
          <w:szCs w:val="20"/>
          <w:b w:val="1"/>
          <w:bCs w:val="1"/>
          <w:color w:val="auto"/>
        </w:rPr>
        <w:t>Letter of Credit</w:t>
      </w:r>
      <w:r>
        <w:rPr>
          <w:rFonts w:ascii="Arial" w:cs="Arial" w:eastAsia="Arial" w:hAnsi="Arial"/>
          <w:sz w:val="20"/>
          <w:szCs w:val="20"/>
          <w:color w:val="auto"/>
        </w:rPr>
        <w:t>; or</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instruction or advice directed to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and purportedly signed by any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any financial institution, or any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which</w:t>
      </w:r>
    </w:p>
    <w:p>
      <w:pPr>
        <w:spacing w:after="0" w:line="117" w:lineRule="exact"/>
        <w:rPr>
          <w:sz w:val="20"/>
          <w:szCs w:val="20"/>
          <w:color w:val="auto"/>
        </w:rPr>
      </w:pPr>
    </w:p>
    <w:p>
      <w:pPr>
        <w:ind w:left="1800" w:hanging="360"/>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bears a </w:t>
      </w:r>
      <w:r>
        <w:rPr>
          <w:rFonts w:ascii="Arial" w:cs="Arial" w:eastAsia="Arial" w:hAnsi="Arial"/>
          <w:sz w:val="20"/>
          <w:szCs w:val="20"/>
          <w:b w:val="1"/>
          <w:bCs w:val="1"/>
          <w:color w:val="auto"/>
        </w:rPr>
        <w:t>Forgery</w:t>
      </w:r>
      <w:r>
        <w:rPr>
          <w:rFonts w:ascii="Arial" w:cs="Arial" w:eastAsia="Arial" w:hAnsi="Arial"/>
          <w:sz w:val="20"/>
          <w:szCs w:val="20"/>
          <w:color w:val="auto"/>
        </w:rPr>
        <w:t>; or</w:t>
      </w:r>
    </w:p>
    <w:p>
      <w:pPr>
        <w:spacing w:after="0" w:line="118" w:lineRule="exact"/>
        <w:rPr>
          <w:rFonts w:ascii="Arial" w:cs="Arial" w:eastAsia="Arial" w:hAnsi="Arial"/>
          <w:sz w:val="20"/>
          <w:szCs w:val="20"/>
          <w:color w:val="auto"/>
        </w:rPr>
      </w:pPr>
    </w:p>
    <w:p>
      <w:pPr>
        <w:ind w:left="1800" w:hanging="360"/>
        <w:spacing w:after="0"/>
        <w:tabs>
          <w:tab w:leader="none" w:pos="18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is fraudulently materially altered.</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For the purpose of this Insuring Clause 4, a reproduction of a handwritten signature is treated the same as the handwritten signature. An electronic or digital signature is not treated as a reproduction of a handwritten signature.</w:t>
      </w:r>
    </w:p>
    <w:p>
      <w:pPr>
        <w:spacing w:after="0" w:line="119" w:lineRule="exact"/>
        <w:rPr>
          <w:sz w:val="20"/>
          <w:szCs w:val="20"/>
          <w:color w:val="auto"/>
        </w:rPr>
      </w:pPr>
    </w:p>
    <w:p>
      <w:pPr>
        <w:ind w:left="720" w:hanging="360"/>
        <w:spacing w:after="0"/>
        <w:tabs>
          <w:tab w:leader="none" w:pos="7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Extended Forgery</w:t>
      </w:r>
    </w:p>
    <w:p>
      <w:pPr>
        <w:spacing w:after="0" w:line="122"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19"/>
          <w:szCs w:val="19"/>
          <w:color w:val="auto"/>
        </w:rPr>
        <w:t xml:space="preserve">Loss resulting directly from the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having, in good faith, for its own account or the account of others:</w:t>
      </w:r>
    </w:p>
    <w:p>
      <w:pPr>
        <w:spacing w:after="0" w:line="128"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 xml:space="preserve">acquired, sold or delivered, given value, extended credit or assumed liability in reliance on any </w:t>
      </w:r>
      <w:r>
        <w:rPr>
          <w:rFonts w:ascii="Arial" w:cs="Arial" w:eastAsia="Arial" w:hAnsi="Arial"/>
          <w:sz w:val="20"/>
          <w:szCs w:val="20"/>
          <w:b w:val="1"/>
          <w:bCs w:val="1"/>
          <w:color w:val="auto"/>
        </w:rPr>
        <w:t>Written</w:t>
      </w:r>
      <w:r>
        <w:rPr>
          <w:rFonts w:ascii="Arial" w:cs="Arial" w:eastAsia="Arial" w:hAnsi="Arial"/>
          <w:sz w:val="20"/>
          <w:szCs w:val="20"/>
          <w:color w:val="auto"/>
        </w:rPr>
        <w:t xml:space="preserve"> and </w:t>
      </w:r>
      <w:r>
        <w:rPr>
          <w:rFonts w:ascii="Arial" w:cs="Arial" w:eastAsia="Arial" w:hAnsi="Arial"/>
          <w:sz w:val="20"/>
          <w:szCs w:val="20"/>
          <w:b w:val="1"/>
          <w:bCs w:val="1"/>
          <w:color w:val="auto"/>
        </w:rPr>
        <w:t>Original</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17"/>
        </w:numPr>
        <w:rPr>
          <w:rFonts w:ascii="Arial" w:cs="Arial" w:eastAsia="Arial" w:hAnsi="Arial"/>
          <w:sz w:val="20"/>
          <w:szCs w:val="20"/>
          <w:color w:val="auto"/>
        </w:rPr>
      </w:pPr>
      <w:r>
        <w:rPr>
          <w:rFonts w:ascii="Arial" w:cs="Arial" w:eastAsia="Arial" w:hAnsi="Arial"/>
          <w:sz w:val="20"/>
          <w:szCs w:val="20"/>
          <w:b w:val="1"/>
          <w:bCs w:val="1"/>
          <w:color w:val="auto"/>
        </w:rPr>
        <w:t>Certificated Security</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17"/>
        </w:numPr>
        <w:rPr>
          <w:rFonts w:ascii="Arial" w:cs="Arial" w:eastAsia="Arial" w:hAnsi="Arial"/>
          <w:sz w:val="20"/>
          <w:szCs w:val="20"/>
          <w:color w:val="auto"/>
        </w:rPr>
      </w:pPr>
      <w:r>
        <w:rPr>
          <w:rFonts w:ascii="Arial" w:cs="Arial" w:eastAsia="Arial" w:hAnsi="Arial"/>
          <w:sz w:val="20"/>
          <w:szCs w:val="20"/>
          <w:color w:val="auto"/>
        </w:rPr>
        <w:t>deed, mortgage or other instrument conveying title to, or creating or discharging a lien on, real property;</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17"/>
        </w:numPr>
        <w:rPr>
          <w:rFonts w:ascii="Arial" w:cs="Arial" w:eastAsia="Arial" w:hAnsi="Arial"/>
          <w:sz w:val="20"/>
          <w:szCs w:val="20"/>
          <w:color w:val="auto"/>
        </w:rPr>
      </w:pPr>
      <w:r>
        <w:rPr>
          <w:rFonts w:ascii="Arial" w:cs="Arial" w:eastAsia="Arial" w:hAnsi="Arial"/>
          <w:sz w:val="20"/>
          <w:szCs w:val="20"/>
          <w:b w:val="1"/>
          <w:bCs w:val="1"/>
          <w:color w:val="auto"/>
        </w:rPr>
        <w:t>Evidence of Debt</w:t>
      </w:r>
      <w:r>
        <w:rPr>
          <w:rFonts w:ascii="Arial" w:cs="Arial" w:eastAsia="Arial" w:hAnsi="Arial"/>
          <w:sz w:val="20"/>
          <w:szCs w:val="20"/>
          <w:color w:val="auto"/>
        </w:rPr>
        <w:t>; or</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2"/>
          <w:numId w:val="17"/>
        </w:numPr>
        <w:rPr>
          <w:rFonts w:ascii="Arial" w:cs="Arial" w:eastAsia="Arial" w:hAnsi="Arial"/>
          <w:sz w:val="20"/>
          <w:szCs w:val="20"/>
          <w:color w:val="auto"/>
        </w:rPr>
      </w:pPr>
      <w:r>
        <w:rPr>
          <w:rFonts w:ascii="Arial" w:cs="Arial" w:eastAsia="Arial" w:hAnsi="Arial"/>
          <w:sz w:val="20"/>
          <w:szCs w:val="20"/>
          <w:b w:val="1"/>
          <w:bCs w:val="1"/>
          <w:color w:val="auto"/>
        </w:rPr>
        <w:t>Instruction</w:t>
      </w:r>
      <w:r>
        <w:rPr>
          <w:rFonts w:ascii="Arial" w:cs="Arial" w:eastAsia="Arial" w:hAnsi="Arial"/>
          <w:sz w:val="20"/>
          <w:szCs w:val="20"/>
          <w:color w:val="auto"/>
        </w:rPr>
        <w:t>,</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which</w:t>
      </w:r>
    </w:p>
    <w:p>
      <w:pPr>
        <w:spacing w:after="0" w:line="117" w:lineRule="exact"/>
        <w:rPr>
          <w:sz w:val="20"/>
          <w:szCs w:val="20"/>
          <w:color w:val="auto"/>
        </w:rPr>
      </w:pPr>
    </w:p>
    <w:p>
      <w:pPr>
        <w:ind w:left="1800" w:hanging="360"/>
        <w:spacing w:after="0"/>
        <w:tabs>
          <w:tab w:leader="none" w:pos="1800" w:val="left"/>
        </w:tabs>
        <w:numPr>
          <w:ilvl w:val="2"/>
          <w:numId w:val="18"/>
        </w:numPr>
        <w:rPr>
          <w:rFonts w:ascii="Arial" w:cs="Arial" w:eastAsia="Arial" w:hAnsi="Arial"/>
          <w:sz w:val="20"/>
          <w:szCs w:val="20"/>
          <w:color w:val="auto"/>
        </w:rPr>
      </w:pPr>
      <w:r>
        <w:rPr>
          <w:rFonts w:ascii="Arial" w:cs="Arial" w:eastAsia="Arial" w:hAnsi="Arial"/>
          <w:sz w:val="20"/>
          <w:szCs w:val="20"/>
          <w:color w:val="auto"/>
        </w:rPr>
        <w:t xml:space="preserve">bears a </w:t>
      </w:r>
      <w:r>
        <w:rPr>
          <w:rFonts w:ascii="Arial" w:cs="Arial" w:eastAsia="Arial" w:hAnsi="Arial"/>
          <w:sz w:val="20"/>
          <w:szCs w:val="20"/>
          <w:b w:val="1"/>
          <w:bCs w:val="1"/>
          <w:color w:val="auto"/>
        </w:rPr>
        <w:t>Forgery</w:t>
      </w:r>
      <w:r>
        <w:rPr>
          <w:rFonts w:ascii="Arial" w:cs="Arial" w:eastAsia="Arial" w:hAnsi="Arial"/>
          <w:sz w:val="20"/>
          <w:szCs w:val="20"/>
          <w:color w:val="auto"/>
        </w:rPr>
        <w:t xml:space="preserve">, but only to the extent the </w:t>
      </w:r>
      <w:r>
        <w:rPr>
          <w:rFonts w:ascii="Arial" w:cs="Arial" w:eastAsia="Arial" w:hAnsi="Arial"/>
          <w:sz w:val="20"/>
          <w:szCs w:val="20"/>
          <w:b w:val="1"/>
          <w:bCs w:val="1"/>
          <w:color w:val="auto"/>
        </w:rPr>
        <w:t>Forgery</w:t>
      </w:r>
      <w:r>
        <w:rPr>
          <w:rFonts w:ascii="Arial" w:cs="Arial" w:eastAsia="Arial" w:hAnsi="Arial"/>
          <w:sz w:val="20"/>
          <w:szCs w:val="20"/>
          <w:color w:val="auto"/>
        </w:rPr>
        <w:t xml:space="preserve"> directly causes the loss;</w:t>
      </w:r>
    </w:p>
    <w:p>
      <w:pPr>
        <w:spacing w:after="0" w:line="121" w:lineRule="exact"/>
        <w:rPr>
          <w:rFonts w:ascii="Arial" w:cs="Arial" w:eastAsia="Arial" w:hAnsi="Arial"/>
          <w:sz w:val="20"/>
          <w:szCs w:val="20"/>
          <w:color w:val="auto"/>
        </w:rPr>
      </w:pPr>
    </w:p>
    <w:p>
      <w:pPr>
        <w:ind w:left="1800" w:hanging="360"/>
        <w:spacing w:after="0" w:line="236" w:lineRule="auto"/>
        <w:tabs>
          <w:tab w:leader="none" w:pos="1800" w:val="left"/>
        </w:tabs>
        <w:numPr>
          <w:ilvl w:val="2"/>
          <w:numId w:val="18"/>
        </w:numPr>
        <w:rPr>
          <w:rFonts w:ascii="Arial" w:cs="Arial" w:eastAsia="Arial" w:hAnsi="Arial"/>
          <w:sz w:val="20"/>
          <w:szCs w:val="20"/>
          <w:color w:val="auto"/>
        </w:rPr>
      </w:pPr>
      <w:r>
        <w:rPr>
          <w:rFonts w:ascii="Arial" w:cs="Arial" w:eastAsia="Arial" w:hAnsi="Arial"/>
          <w:sz w:val="20"/>
          <w:szCs w:val="20"/>
          <w:color w:val="auto"/>
        </w:rPr>
        <w:t>is fraudulently materially altered, but only to the extent the alteration directly causes the loss; or</w:t>
      </w:r>
    </w:p>
    <w:p>
      <w:pPr>
        <w:spacing w:after="0" w:line="118" w:lineRule="exact"/>
        <w:rPr>
          <w:rFonts w:ascii="Arial" w:cs="Arial" w:eastAsia="Arial" w:hAnsi="Arial"/>
          <w:sz w:val="20"/>
          <w:szCs w:val="20"/>
          <w:color w:val="auto"/>
        </w:rPr>
      </w:pPr>
    </w:p>
    <w:p>
      <w:pPr>
        <w:ind w:left="1800" w:hanging="360"/>
        <w:spacing w:after="0"/>
        <w:tabs>
          <w:tab w:leader="none" w:pos="1800" w:val="left"/>
        </w:tabs>
        <w:numPr>
          <w:ilvl w:val="2"/>
          <w:numId w:val="18"/>
        </w:numPr>
        <w:rPr>
          <w:rFonts w:ascii="Arial" w:cs="Arial" w:eastAsia="Arial" w:hAnsi="Arial"/>
          <w:sz w:val="20"/>
          <w:szCs w:val="20"/>
          <w:color w:val="auto"/>
        </w:rPr>
      </w:pPr>
      <w:r>
        <w:rPr>
          <w:rFonts w:ascii="Arial" w:cs="Arial" w:eastAsia="Arial" w:hAnsi="Arial"/>
          <w:sz w:val="20"/>
          <w:szCs w:val="20"/>
          <w:color w:val="auto"/>
        </w:rPr>
        <w:t>is lost or stolen;</w:t>
      </w:r>
    </w:p>
    <w:p>
      <w:pPr>
        <w:spacing w:after="0" w:line="116"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b.  guaranteed in writing or witnessed any signature on any:</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transfer;</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assignment;</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bill of sale;</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power of attorney; or</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19"/>
        </w:numPr>
        <w:rPr>
          <w:rFonts w:ascii="Arial" w:cs="Arial" w:eastAsia="Arial" w:hAnsi="Arial"/>
          <w:sz w:val="20"/>
          <w:szCs w:val="20"/>
          <w:color w:val="auto"/>
        </w:rPr>
      </w:pPr>
      <w:r>
        <w:rPr>
          <w:rFonts w:ascii="Arial" w:cs="Arial" w:eastAsia="Arial" w:hAnsi="Arial"/>
          <w:sz w:val="20"/>
          <w:szCs w:val="20"/>
          <w:color w:val="auto"/>
        </w:rPr>
        <w:t>endorsement upon any item listed in a.(1) through a.(4) above,</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but only to the extent that such guarantee or signature directly causes the loss; or</w:t>
      </w:r>
    </w:p>
    <w:p>
      <w:pPr>
        <w:spacing w:after="0" w:line="121" w:lineRule="exact"/>
        <w:rPr>
          <w:sz w:val="20"/>
          <w:szCs w:val="20"/>
          <w:color w:val="auto"/>
        </w:rPr>
      </w:pPr>
    </w:p>
    <w:p>
      <w:pPr>
        <w:jc w:val="both"/>
        <w:ind w:left="1080" w:hanging="360"/>
        <w:spacing w:after="0" w:line="236" w:lineRule="auto"/>
        <w:tabs>
          <w:tab w:leader="none" w:pos="1080"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acquired, sold or delivered, or given value, extended credit or assumed liability in reliance on any item listed in a.(1) or a.(2) above which is a </w:t>
      </w:r>
      <w:r>
        <w:rPr>
          <w:rFonts w:ascii="Arial" w:cs="Arial" w:eastAsia="Arial" w:hAnsi="Arial"/>
          <w:sz w:val="20"/>
          <w:szCs w:val="20"/>
          <w:b w:val="1"/>
          <w:bCs w:val="1"/>
          <w:color w:val="auto"/>
        </w:rPr>
        <w:t>Counterfeit Original</w:t>
      </w:r>
      <w:r>
        <w:rPr>
          <w:rFonts w:ascii="Arial" w:cs="Arial" w:eastAsia="Arial" w:hAnsi="Arial"/>
          <w:sz w:val="20"/>
          <w:szCs w:val="20"/>
          <w:color w:val="auto"/>
        </w:rPr>
        <w:t xml:space="preserve">, but only to the extent the </w:t>
      </w:r>
      <w:r>
        <w:rPr>
          <w:rFonts w:ascii="Arial" w:cs="Arial" w:eastAsia="Arial" w:hAnsi="Arial"/>
          <w:sz w:val="20"/>
          <w:szCs w:val="20"/>
          <w:b w:val="1"/>
          <w:bCs w:val="1"/>
          <w:color w:val="auto"/>
        </w:rPr>
        <w:t>Counterfeit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Original </w:t>
      </w:r>
      <w:r>
        <w:rPr>
          <w:rFonts w:ascii="Arial" w:cs="Arial" w:eastAsia="Arial" w:hAnsi="Arial"/>
          <w:sz w:val="20"/>
          <w:szCs w:val="20"/>
          <w:color w:val="auto"/>
        </w:rPr>
        <w:t>directly causes the loss.</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2 of 17</w:t>
      </w:r>
    </w:p>
    <w:p>
      <w:pPr>
        <w:sectPr>
          <w:pgSz w:w="12240" w:h="15840" w:orient="portrait"/>
          <w:cols w:equalWidth="0" w:num="1">
            <w:col w:w="10080"/>
          </w:cols>
          <w:pgMar w:left="1080" w:top="714" w:right="1080" w:bottom="156" w:gutter="0" w:footer="0" w:header="0"/>
          <w:type w:val="continuous"/>
        </w:sectPr>
      </w:pPr>
    </w:p>
    <w:bookmarkStart w:id="15" w:name="page16"/>
    <w:bookmarkEnd w:id="15"/>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720"/>
        <w:spacing w:after="0" w:line="252" w:lineRule="auto"/>
        <w:rPr>
          <w:sz w:val="20"/>
          <w:szCs w:val="20"/>
          <w:color w:val="auto"/>
        </w:rPr>
      </w:pPr>
      <w:r>
        <w:rPr>
          <w:rFonts w:ascii="Arial" w:cs="Arial" w:eastAsia="Arial" w:hAnsi="Arial"/>
          <w:sz w:val="19"/>
          <w:szCs w:val="19"/>
          <w:color w:val="auto"/>
        </w:rPr>
        <w:t xml:space="preserve">Actual physical possession, and continued actual physical possession if taken as collateral, of the items listed in a.(1) through a.(4) above by an </w:t>
      </w:r>
      <w:r>
        <w:rPr>
          <w:rFonts w:ascii="Arial" w:cs="Arial" w:eastAsia="Arial" w:hAnsi="Arial"/>
          <w:sz w:val="19"/>
          <w:szCs w:val="19"/>
          <w:b w:val="1"/>
          <w:bCs w:val="1"/>
          <w:color w:val="auto"/>
        </w:rPr>
        <w:t>Employee</w:t>
      </w:r>
      <w:r>
        <w:rPr>
          <w:rFonts w:ascii="Arial" w:cs="Arial" w:eastAsia="Arial" w:hAnsi="Arial"/>
          <w:sz w:val="19"/>
          <w:szCs w:val="19"/>
          <w:color w:val="auto"/>
        </w:rPr>
        <w:t xml:space="preserve">, </w:t>
      </w:r>
      <w:r>
        <w:rPr>
          <w:rFonts w:ascii="Arial" w:cs="Arial" w:eastAsia="Arial" w:hAnsi="Arial"/>
          <w:sz w:val="19"/>
          <w:szCs w:val="19"/>
          <w:b w:val="1"/>
          <w:bCs w:val="1"/>
          <w:color w:val="auto"/>
        </w:rPr>
        <w:t>Custodian</w:t>
      </w:r>
      <w:r>
        <w:rPr>
          <w:rFonts w:ascii="Arial" w:cs="Arial" w:eastAsia="Arial" w:hAnsi="Arial"/>
          <w:sz w:val="19"/>
          <w:szCs w:val="19"/>
          <w:color w:val="auto"/>
        </w:rPr>
        <w:t xml:space="preserve">, or a federal or state chartered deposit institution of the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is a condition precedent to the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having relied on such items. Release or return of such collateral is an acknowledgment by the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that it no longer relies on such collateral.</w:t>
      </w:r>
    </w:p>
    <w:p>
      <w:pPr>
        <w:spacing w:after="0" w:line="11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For the purpose of this Insuring Clause 5, a reproduction of a handwritten signature is treated the same as the handwritten signature. An electronic or digital signature is not treated as a reproduction of a handwritten signature.</w:t>
      </w:r>
    </w:p>
    <w:p>
      <w:pPr>
        <w:spacing w:after="0" w:line="119"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Counterfeit Money</w:t>
      </w:r>
    </w:p>
    <w:p>
      <w:pPr>
        <w:spacing w:after="0" w:line="116"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 xml:space="preserve">Loss resulting directly from the receipt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good faith of counterfeit </w:t>
      </w:r>
      <w:r>
        <w:rPr>
          <w:rFonts w:ascii="Arial" w:cs="Arial" w:eastAsia="Arial" w:hAnsi="Arial"/>
          <w:sz w:val="20"/>
          <w:szCs w:val="20"/>
          <w:b w:val="1"/>
          <w:bCs w:val="1"/>
          <w:color w:val="auto"/>
        </w:rPr>
        <w:t>Money</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Computer System Fraud</w:t>
      </w:r>
    </w:p>
    <w:p>
      <w:pPr>
        <w:spacing w:after="0" w:line="116"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Loss resulting directly from the:</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 xml:space="preserve">withdrawal, transfer, payment, or delivery of </w:t>
      </w:r>
      <w:r>
        <w:rPr>
          <w:rFonts w:ascii="Arial" w:cs="Arial" w:eastAsia="Arial" w:hAnsi="Arial"/>
          <w:sz w:val="20"/>
          <w:szCs w:val="20"/>
          <w:b w:val="1"/>
          <w:bCs w:val="1"/>
          <w:color w:val="auto"/>
        </w:rPr>
        <w:t>Property</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ind w:left="720" w:right="1480"/>
        <w:spacing w:after="0" w:line="357" w:lineRule="auto"/>
        <w:tabs>
          <w:tab w:leader="none" w:pos="10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 xml:space="preserve">creation, deletion, debiting, or crediting of an account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which results directly from a </w:t>
      </w:r>
      <w:r>
        <w:rPr>
          <w:rFonts w:ascii="Arial" w:cs="Arial" w:eastAsia="Arial" w:hAnsi="Arial"/>
          <w:sz w:val="20"/>
          <w:szCs w:val="20"/>
          <w:b w:val="1"/>
          <w:bCs w:val="1"/>
          <w:color w:val="auto"/>
        </w:rPr>
        <w:t>Network Intrusion</w:t>
      </w:r>
      <w:r>
        <w:rPr>
          <w:rFonts w:ascii="Arial" w:cs="Arial" w:eastAsia="Arial" w:hAnsi="Arial"/>
          <w:sz w:val="20"/>
          <w:szCs w:val="20"/>
          <w:color w:val="auto"/>
        </w:rPr>
        <w:t>.</w:t>
      </w:r>
    </w:p>
    <w:p>
      <w:pPr>
        <w:spacing w:after="0" w:line="6"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Claims Expense</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b w:val="1"/>
          <w:bCs w:val="1"/>
          <w:color w:val="auto"/>
        </w:rPr>
        <w:t xml:space="preserve">Claims Expenses </w:t>
      </w:r>
      <w:r>
        <w:rPr>
          <w:rFonts w:ascii="Arial" w:cs="Arial" w:eastAsia="Arial" w:hAnsi="Arial"/>
          <w:sz w:val="20"/>
          <w:szCs w:val="20"/>
          <w:color w:val="auto"/>
        </w:rPr>
        <w:t>incurred by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in determining the amount of covered loss under this Bond</w:t>
      </w:r>
      <w:r>
        <w:rPr>
          <w:rFonts w:ascii="Arial" w:cs="Arial" w:eastAsia="Arial" w:hAnsi="Arial"/>
          <w:sz w:val="20"/>
          <w:szCs w:val="20"/>
          <w:b w:val="1"/>
          <w:bCs w:val="1"/>
          <w:color w:val="auto"/>
        </w:rPr>
        <w:t xml:space="preserve"> </w:t>
      </w:r>
      <w:r>
        <w:rPr>
          <w:rFonts w:ascii="Arial" w:cs="Arial" w:eastAsia="Arial" w:hAnsi="Arial"/>
          <w:sz w:val="20"/>
          <w:szCs w:val="20"/>
          <w:color w:val="auto"/>
        </w:rPr>
        <w:t>in excess of the applicable Deductible Amount.</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Audit Expense</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b w:val="1"/>
          <w:bCs w:val="1"/>
          <w:color w:val="auto"/>
        </w:rPr>
        <w:t xml:space="preserve">Audit Expenses </w:t>
      </w:r>
      <w:r>
        <w:rPr>
          <w:rFonts w:ascii="Arial" w:cs="Arial" w:eastAsia="Arial" w:hAnsi="Arial"/>
          <w:sz w:val="20"/>
          <w:szCs w:val="20"/>
          <w:color w:val="auto"/>
        </w:rPr>
        <w:t>incurred by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by reason of the discovery of loss covered under Insuring</w:t>
      </w:r>
      <w:r>
        <w:rPr>
          <w:rFonts w:ascii="Arial" w:cs="Arial" w:eastAsia="Arial" w:hAnsi="Arial"/>
          <w:sz w:val="20"/>
          <w:szCs w:val="20"/>
          <w:b w:val="1"/>
          <w:bCs w:val="1"/>
          <w:color w:val="auto"/>
        </w:rPr>
        <w:t xml:space="preserve"> </w:t>
      </w:r>
      <w:r>
        <w:rPr>
          <w:rFonts w:ascii="Arial" w:cs="Arial" w:eastAsia="Arial" w:hAnsi="Arial"/>
          <w:sz w:val="20"/>
          <w:szCs w:val="20"/>
          <w:color w:val="auto"/>
        </w:rPr>
        <w:t>Clause 1.</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Uncollectible Items Of Deposit</w:t>
      </w:r>
    </w:p>
    <w:p>
      <w:pPr>
        <w:spacing w:after="0" w:line="121"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Loss resulting directly from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having credited an account of a customer, shareholder, or subscriber on the faith of any </w:t>
      </w:r>
      <w:r>
        <w:rPr>
          <w:rFonts w:ascii="Arial" w:cs="Arial" w:eastAsia="Arial" w:hAnsi="Arial"/>
          <w:sz w:val="20"/>
          <w:szCs w:val="20"/>
          <w:b w:val="1"/>
          <w:bCs w:val="1"/>
          <w:color w:val="auto"/>
        </w:rPr>
        <w:t>Items of Deposit</w:t>
      </w:r>
      <w:r>
        <w:rPr>
          <w:rFonts w:ascii="Arial" w:cs="Arial" w:eastAsia="Arial" w:hAnsi="Arial"/>
          <w:sz w:val="20"/>
          <w:szCs w:val="20"/>
          <w:color w:val="auto"/>
        </w:rPr>
        <w:t xml:space="preserve"> which prove to be uncollectible, provided that the crediting of such account causes:</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redemptions or withdrawals to be permitted;</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shares to be issued; or</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dividends to be paid,</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from an account of an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As a condition precedent to coverage under this Insuring Clause 10,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must hold </w:t>
      </w:r>
      <w:r>
        <w:rPr>
          <w:rFonts w:ascii="Arial" w:cs="Arial" w:eastAsia="Arial" w:hAnsi="Arial"/>
          <w:sz w:val="20"/>
          <w:szCs w:val="20"/>
          <w:b w:val="1"/>
          <w:bCs w:val="1"/>
          <w:color w:val="auto"/>
        </w:rPr>
        <w:t>Items of</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Deposit </w:t>
      </w:r>
      <w:r>
        <w:rPr>
          <w:rFonts w:ascii="Arial" w:cs="Arial" w:eastAsia="Arial" w:hAnsi="Arial"/>
          <w:sz w:val="20"/>
          <w:szCs w:val="20"/>
          <w:color w:val="auto"/>
        </w:rPr>
        <w:t>for the minimum number of days stated in the Application before permitting any redemptions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withdrawals, issuing any shares, or paying any dividends with respect to such </w:t>
      </w:r>
      <w:r>
        <w:rPr>
          <w:rFonts w:ascii="Arial" w:cs="Arial" w:eastAsia="Arial" w:hAnsi="Arial"/>
          <w:sz w:val="20"/>
          <w:szCs w:val="20"/>
          <w:b w:val="1"/>
          <w:bCs w:val="1"/>
          <w:color w:val="auto"/>
        </w:rPr>
        <w:t>Items of Deposit</w:t>
      </w:r>
      <w:r>
        <w:rPr>
          <w:rFonts w:ascii="Arial" w:cs="Arial" w:eastAsia="Arial" w:hAnsi="Arial"/>
          <w:sz w:val="20"/>
          <w:szCs w:val="20"/>
          <w:color w:val="auto"/>
        </w:rPr>
        <w:t>.</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Items of Deposit </w:t>
      </w:r>
      <w:r>
        <w:rPr>
          <w:rFonts w:ascii="Arial" w:cs="Arial" w:eastAsia="Arial" w:hAnsi="Arial"/>
          <w:sz w:val="20"/>
          <w:szCs w:val="20"/>
          <w:color w:val="auto"/>
        </w:rPr>
        <w:t>shall not be deemed uncollectible until the</w:t>
      </w:r>
      <w:r>
        <w:rPr>
          <w:rFonts w:ascii="Arial" w:cs="Arial" w:eastAsia="Arial" w:hAnsi="Arial"/>
          <w:sz w:val="20"/>
          <w:szCs w:val="20"/>
          <w:b w:val="1"/>
          <w:bCs w:val="1"/>
          <w:color w:val="auto"/>
        </w:rPr>
        <w:t xml:space="preserve"> Assured’s </w:t>
      </w:r>
      <w:r>
        <w:rPr>
          <w:rFonts w:ascii="Arial" w:cs="Arial" w:eastAsia="Arial" w:hAnsi="Arial"/>
          <w:sz w:val="20"/>
          <w:szCs w:val="20"/>
          <w:color w:val="auto"/>
        </w:rPr>
        <w:t>standard collection procedures</w:t>
      </w:r>
      <w:r>
        <w:rPr>
          <w:rFonts w:ascii="Arial" w:cs="Arial" w:eastAsia="Arial" w:hAnsi="Arial"/>
          <w:sz w:val="20"/>
          <w:szCs w:val="20"/>
          <w:b w:val="1"/>
          <w:bCs w:val="1"/>
          <w:color w:val="auto"/>
        </w:rPr>
        <w:t xml:space="preserve"> </w:t>
      </w:r>
      <w:r>
        <w:rPr>
          <w:rFonts w:ascii="Arial" w:cs="Arial" w:eastAsia="Arial" w:hAnsi="Arial"/>
          <w:sz w:val="20"/>
          <w:szCs w:val="20"/>
          <w:color w:val="auto"/>
        </w:rPr>
        <w:t>have failed.</w:t>
      </w:r>
    </w:p>
    <w:p>
      <w:pPr>
        <w:spacing w:after="0" w:line="118" w:lineRule="exact"/>
        <w:rPr>
          <w:sz w:val="20"/>
          <w:szCs w:val="20"/>
          <w:color w:val="auto"/>
        </w:rPr>
      </w:pPr>
    </w:p>
    <w:p>
      <w:pPr>
        <w:ind w:left="720" w:hanging="360"/>
        <w:spacing w:after="0"/>
        <w:tabs>
          <w:tab w:leader="none" w:pos="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Voice Initiated Funds Transfer Instruction</w:t>
      </w:r>
    </w:p>
    <w:p>
      <w:pPr>
        <w:spacing w:after="0" w:line="121"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Loss resulting directly from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having, in good faith, transferred, paid, or delivered </w:t>
      </w:r>
      <w:r>
        <w:rPr>
          <w:rFonts w:ascii="Arial" w:cs="Arial" w:eastAsia="Arial" w:hAnsi="Arial"/>
          <w:sz w:val="20"/>
          <w:szCs w:val="20"/>
          <w:b w:val="1"/>
          <w:bCs w:val="1"/>
          <w:color w:val="auto"/>
        </w:rPr>
        <w:t>Money</w:t>
      </w:r>
      <w:r>
        <w:rPr>
          <w:rFonts w:ascii="Arial" w:cs="Arial" w:eastAsia="Arial" w:hAnsi="Arial"/>
          <w:sz w:val="20"/>
          <w:szCs w:val="20"/>
          <w:color w:val="auto"/>
        </w:rPr>
        <w:t xml:space="preserve"> or </w:t>
      </w:r>
      <w:r>
        <w:rPr>
          <w:rFonts w:ascii="Arial" w:cs="Arial" w:eastAsia="Arial" w:hAnsi="Arial"/>
          <w:sz w:val="20"/>
          <w:szCs w:val="20"/>
          <w:b w:val="1"/>
          <w:bCs w:val="1"/>
          <w:color w:val="auto"/>
        </w:rPr>
        <w:t xml:space="preserve">Securities </w:t>
      </w:r>
      <w:r>
        <w:rPr>
          <w:rFonts w:ascii="Arial" w:cs="Arial" w:eastAsia="Arial" w:hAnsi="Arial"/>
          <w:sz w:val="20"/>
          <w:szCs w:val="20"/>
          <w:color w:val="auto"/>
        </w:rPr>
        <w:t>in reliance upon any</w:t>
      </w:r>
      <w:r>
        <w:rPr>
          <w:rFonts w:ascii="Arial" w:cs="Arial" w:eastAsia="Arial" w:hAnsi="Arial"/>
          <w:sz w:val="20"/>
          <w:szCs w:val="20"/>
          <w:b w:val="1"/>
          <w:bCs w:val="1"/>
          <w:color w:val="auto"/>
        </w:rPr>
        <w:t xml:space="preserve"> Voice Initiated Funds Transfer Instruction </w:t>
      </w:r>
      <w:r>
        <w:rPr>
          <w:rFonts w:ascii="Arial" w:cs="Arial" w:eastAsia="Arial" w:hAnsi="Arial"/>
          <w:sz w:val="20"/>
          <w:szCs w:val="20"/>
          <w:color w:val="auto"/>
        </w:rPr>
        <w:t>that purports, and</w:t>
      </w:r>
      <w:r>
        <w:rPr>
          <w:rFonts w:ascii="Arial" w:cs="Arial" w:eastAsia="Arial" w:hAnsi="Arial"/>
          <w:sz w:val="20"/>
          <w:szCs w:val="20"/>
          <w:b w:val="1"/>
          <w:bCs w:val="1"/>
          <w:color w:val="auto"/>
        </w:rPr>
        <w:t xml:space="preserve"> </w:t>
      </w:r>
      <w:r>
        <w:rPr>
          <w:rFonts w:ascii="Arial" w:cs="Arial" w:eastAsia="Arial" w:hAnsi="Arial"/>
          <w:sz w:val="20"/>
          <w:szCs w:val="20"/>
          <w:color w:val="auto"/>
        </w:rPr>
        <w:t>reasonably appears, to have originated from:</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Customer</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22"/>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acting on instructions of such </w:t>
      </w:r>
      <w:r>
        <w:rPr>
          <w:rFonts w:ascii="Arial" w:cs="Arial" w:eastAsia="Arial" w:hAnsi="Arial"/>
          <w:sz w:val="20"/>
          <w:szCs w:val="20"/>
          <w:b w:val="1"/>
          <w:bCs w:val="1"/>
          <w:color w:val="auto"/>
        </w:rPr>
        <w:t>Customer</w:t>
      </w:r>
      <w:r>
        <w:rPr>
          <w:rFonts w:ascii="Arial" w:cs="Arial" w:eastAsia="Arial" w:hAnsi="Arial"/>
          <w:sz w:val="20"/>
          <w:szCs w:val="20"/>
          <w:color w:val="auto"/>
        </w:rPr>
        <w:t>; or</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3 of 17</w:t>
      </w:r>
    </w:p>
    <w:p>
      <w:pPr>
        <w:sectPr>
          <w:pgSz w:w="12240" w:h="15840" w:orient="portrait"/>
          <w:cols w:equalWidth="0" w:num="1">
            <w:col w:w="10080"/>
          </w:cols>
          <w:pgMar w:left="1080" w:top="714" w:right="1080" w:bottom="156" w:gutter="0" w:footer="0" w:header="0"/>
          <w:type w:val="continuous"/>
        </w:sectPr>
      </w:pPr>
    </w:p>
    <w:bookmarkStart w:id="16" w:name="page17"/>
    <w:bookmarkEnd w:id="16"/>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hanging="360"/>
        <w:spacing w:after="0"/>
        <w:tabs>
          <w:tab w:leader="none" w:pos="10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a financial institution acting on behalf of such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with authority to make such instructions,</w:t>
      </w:r>
    </w:p>
    <w:p>
      <w:pPr>
        <w:spacing w:after="0" w:line="12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but which </w:t>
      </w:r>
      <w:r>
        <w:rPr>
          <w:rFonts w:ascii="Arial" w:cs="Arial" w:eastAsia="Arial" w:hAnsi="Arial"/>
          <w:sz w:val="20"/>
          <w:szCs w:val="20"/>
          <w:b w:val="1"/>
          <w:bCs w:val="1"/>
          <w:color w:val="auto"/>
        </w:rPr>
        <w:t>Voice Initiated Funds Transfer Instruction</w:t>
      </w:r>
      <w:r>
        <w:rPr>
          <w:rFonts w:ascii="Arial" w:cs="Arial" w:eastAsia="Arial" w:hAnsi="Arial"/>
          <w:sz w:val="20"/>
          <w:szCs w:val="20"/>
          <w:color w:val="auto"/>
        </w:rPr>
        <w:t xml:space="preserve"> was, in fact, fraudulently issued without the knowledge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or </w:t>
      </w:r>
      <w:r>
        <w:rPr>
          <w:rFonts w:ascii="Arial" w:cs="Arial" w:eastAsia="Arial" w:hAnsi="Arial"/>
          <w:sz w:val="20"/>
          <w:szCs w:val="20"/>
          <w:b w:val="1"/>
          <w:bCs w:val="1"/>
          <w:color w:val="auto"/>
        </w:rPr>
        <w:t>Customer</w:t>
      </w:r>
      <w:r>
        <w:rPr>
          <w:rFonts w:ascii="Arial" w:cs="Arial" w:eastAsia="Arial" w:hAnsi="Arial"/>
          <w:sz w:val="20"/>
          <w:szCs w:val="20"/>
          <w:color w:val="auto"/>
        </w:rPr>
        <w:t>.</w:t>
      </w:r>
    </w:p>
    <w:p>
      <w:pPr>
        <w:spacing w:after="0" w:line="12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As a condition precedent to coverage under this Insuring Clause 11, the </w:t>
      </w:r>
      <w:r>
        <w:rPr>
          <w:rFonts w:ascii="Arial" w:cs="Arial" w:eastAsia="Arial" w:hAnsi="Arial"/>
          <w:sz w:val="20"/>
          <w:szCs w:val="20"/>
          <w:b w:val="1"/>
          <w:bCs w:val="1"/>
          <w:color w:val="auto"/>
        </w:rPr>
        <w:t>Voice Initiated Funds Transfer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Instruction </w:t>
      </w:r>
      <w:r>
        <w:rPr>
          <w:rFonts w:ascii="Arial" w:cs="Arial" w:eastAsia="Arial" w:hAnsi="Arial"/>
          <w:sz w:val="20"/>
          <w:szCs w:val="20"/>
          <w:color w:val="auto"/>
        </w:rPr>
        <w:t>must be received and processed in accordance with the Designated Procedures as outlined in</w:t>
      </w:r>
      <w:r>
        <w:rPr>
          <w:rFonts w:ascii="Arial" w:cs="Arial" w:eastAsia="Arial" w:hAnsi="Arial"/>
          <w:sz w:val="20"/>
          <w:szCs w:val="20"/>
          <w:b w:val="1"/>
          <w:bCs w:val="1"/>
          <w:color w:val="auto"/>
        </w:rPr>
        <w:t xml:space="preserve"> </w:t>
      </w:r>
      <w:r>
        <w:rPr>
          <w:rFonts w:ascii="Arial" w:cs="Arial" w:eastAsia="Arial" w:hAnsi="Arial"/>
          <w:sz w:val="20"/>
          <w:szCs w:val="20"/>
          <w:color w:val="auto"/>
        </w:rPr>
        <w:t>the Application furnished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160020</wp:posOffset>
            </wp:positionV>
            <wp:extent cx="64395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spacing w:after="0" w:line="377" w:lineRule="exact"/>
        <w:rPr>
          <w:sz w:val="20"/>
          <w:szCs w:val="20"/>
          <w:color w:val="auto"/>
        </w:rPr>
      </w:pPr>
    </w:p>
    <w:p>
      <w:pPr>
        <w:ind w:left="720" w:hanging="720"/>
        <w:spacing w:after="0"/>
        <w:tabs>
          <w:tab w:leader="none" w:pos="7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GENERAL AGREEMENTS</w:t>
      </w:r>
    </w:p>
    <w:p>
      <w:pPr>
        <w:spacing w:after="0" w:line="116" w:lineRule="exact"/>
        <w:rPr>
          <w:rFonts w:ascii="Arial" w:cs="Arial" w:eastAsia="Arial" w:hAnsi="Arial"/>
          <w:sz w:val="20"/>
          <w:szCs w:val="20"/>
          <w:b w:val="1"/>
          <w:bCs w:val="1"/>
          <w:color w:val="auto"/>
        </w:rPr>
      </w:pPr>
    </w:p>
    <w:p>
      <w:pPr>
        <w:ind w:left="720" w:hanging="360"/>
        <w:spacing w:after="0"/>
        <w:tabs>
          <w:tab w:leader="none" w:pos="720" w:val="left"/>
        </w:tabs>
        <w:numPr>
          <w:ilvl w:val="1"/>
          <w:numId w:val="24"/>
        </w:numPr>
        <w:rPr>
          <w:rFonts w:ascii="Arial" w:cs="Arial" w:eastAsia="Arial" w:hAnsi="Arial"/>
          <w:sz w:val="20"/>
          <w:szCs w:val="20"/>
          <w:color w:val="auto"/>
        </w:rPr>
      </w:pPr>
      <w:r>
        <w:rPr>
          <w:rFonts w:ascii="Arial" w:cs="Arial" w:eastAsia="Arial" w:hAnsi="Arial"/>
          <w:sz w:val="20"/>
          <w:szCs w:val="20"/>
          <w:color w:val="auto"/>
        </w:rPr>
        <w:t>Automatic Increase – Limit Of Liability</w:t>
      </w:r>
    </w:p>
    <w:p>
      <w:pPr>
        <w:spacing w:after="0" w:line="121"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If, during the Bond Period, an increase in the minimum amount of the Single Loss Limit Of Liability applicable to Insuring Clause 1 is required pursuant to Rule 17g-1 of the Investment Company Act of 1940, as a result of:</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2"/>
          <w:numId w:val="24"/>
        </w:numPr>
        <w:rPr>
          <w:rFonts w:ascii="Arial" w:cs="Arial" w:eastAsia="Arial" w:hAnsi="Arial"/>
          <w:sz w:val="20"/>
          <w:szCs w:val="20"/>
          <w:color w:val="auto"/>
        </w:rPr>
      </w:pPr>
      <w:r>
        <w:rPr>
          <w:rFonts w:ascii="Arial" w:cs="Arial" w:eastAsia="Arial" w:hAnsi="Arial"/>
          <w:sz w:val="20"/>
          <w:szCs w:val="20"/>
          <w:color w:val="auto"/>
        </w:rPr>
        <w:t xml:space="preserve">the creation of a new </w:t>
      </w:r>
      <w:r>
        <w:rPr>
          <w:rFonts w:ascii="Arial" w:cs="Arial" w:eastAsia="Arial" w:hAnsi="Arial"/>
          <w:sz w:val="20"/>
          <w:szCs w:val="20"/>
          <w:b w:val="1"/>
          <w:bCs w:val="1"/>
          <w:color w:val="auto"/>
        </w:rPr>
        <w:t>Investment Company</w:t>
      </w:r>
      <w:r>
        <w:rPr>
          <w:rFonts w:ascii="Arial" w:cs="Arial" w:eastAsia="Arial" w:hAnsi="Arial"/>
          <w:sz w:val="20"/>
          <w:szCs w:val="20"/>
          <w:color w:val="auto"/>
        </w:rPr>
        <w:t>;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2"/>
          <w:numId w:val="24"/>
        </w:numPr>
        <w:rPr>
          <w:rFonts w:ascii="Arial" w:cs="Arial" w:eastAsia="Arial" w:hAnsi="Arial"/>
          <w:sz w:val="20"/>
          <w:szCs w:val="20"/>
          <w:color w:val="auto"/>
        </w:rPr>
      </w:pPr>
      <w:r>
        <w:rPr>
          <w:rFonts w:ascii="Arial" w:cs="Arial" w:eastAsia="Arial" w:hAnsi="Arial"/>
          <w:sz w:val="20"/>
          <w:szCs w:val="20"/>
          <w:color w:val="auto"/>
        </w:rPr>
        <w:t xml:space="preserve">an increase in the gross assets of </w:t>
      </w:r>
      <w:r>
        <w:rPr>
          <w:rFonts w:ascii="Arial" w:cs="Arial" w:eastAsia="Arial" w:hAnsi="Arial"/>
          <w:sz w:val="20"/>
          <w:szCs w:val="20"/>
          <w:b w:val="1"/>
          <w:bCs w:val="1"/>
          <w:color w:val="auto"/>
        </w:rPr>
        <w:t>Investment Companies</w:t>
      </w:r>
      <w:r>
        <w:rPr>
          <w:rFonts w:ascii="Arial" w:cs="Arial" w:eastAsia="Arial" w:hAnsi="Arial"/>
          <w:sz w:val="20"/>
          <w:szCs w:val="20"/>
          <w:color w:val="auto"/>
        </w:rPr>
        <w:t xml:space="preserve"> covered under the Bond,</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119" w:lineRule="exact"/>
        <w:rPr>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Joint Assured</w:t>
      </w:r>
    </w:p>
    <w:p>
      <w:pPr>
        <w:spacing w:after="0" w:line="122"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first named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be deemed to be the sole agent of the other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123"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If the first named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ceases for any reason to be covered under this Bond, then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next named on the Application shall thereafter be considered as the first named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for the purposes of this Bond.</w:t>
      </w:r>
    </w:p>
    <w:p>
      <w:pPr>
        <w:spacing w:after="0" w:line="123"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Company shall furnish each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with a copy of the Bond and with any amendment thereto, together with a copy of each formal filing of claim by any other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and notification of the terms of the settlement of each such claim prior to the execution of such settlement.</w:t>
      </w:r>
    </w:p>
    <w:p>
      <w:pPr>
        <w:spacing w:after="0" w:line="123"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Knowledge possessed or discovery made by any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constitute knowledge possessed or discovery made by all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for the purposes of this Bond.</w:t>
      </w:r>
    </w:p>
    <w:p>
      <w:pPr>
        <w:spacing w:after="0" w:line="122"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All loss and other payments, if any, payable by the Company, shall be payable to the first named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without regard to such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obligations to others, and the Company shall not be responsible for the application by the first named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of any payment made by the Company. If the Company agrees to and makes payment to any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other than the first named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such payment shall be treated as though made to the first named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5"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19"/>
          <w:szCs w:val="19"/>
          <w:color w:val="auto"/>
        </w:rPr>
        <w:t xml:space="preserve">The Company shall not be liable for loss sustained by one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to the advantage of any other </w:t>
      </w:r>
      <w:r>
        <w:rPr>
          <w:rFonts w:ascii="Arial" w:cs="Arial" w:eastAsia="Arial" w:hAnsi="Arial"/>
          <w:sz w:val="19"/>
          <w:szCs w:val="19"/>
          <w:b w:val="1"/>
          <w:bCs w:val="1"/>
          <w:color w:val="auto"/>
        </w:rPr>
        <w:t>Assured</w:t>
      </w:r>
      <w:r>
        <w:rPr>
          <w:rFonts w:ascii="Arial" w:cs="Arial" w:eastAsia="Arial" w:hAnsi="Arial"/>
          <w:sz w:val="19"/>
          <w:szCs w:val="19"/>
          <w:color w:val="auto"/>
        </w:rPr>
        <w:t>.</w:t>
      </w:r>
    </w:p>
    <w:p>
      <w:pPr>
        <w:spacing w:after="0" w:line="124" w:lineRule="exact"/>
        <w:rPr>
          <w:rFonts w:ascii="Arial" w:cs="Arial" w:eastAsia="Arial" w:hAnsi="Arial"/>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Notice To Company Of Legal Proceedings Against Assured – Election To Defend</w:t>
      </w:r>
    </w:p>
    <w:p>
      <w:pPr>
        <w:spacing w:after="0" w:line="121" w:lineRule="exact"/>
        <w:rPr>
          <w:rFonts w:ascii="Arial" w:cs="Arial" w:eastAsia="Arial" w:hAnsi="Arial"/>
          <w:sz w:val="20"/>
          <w:szCs w:val="20"/>
          <w:color w:val="auto"/>
        </w:rPr>
      </w:pPr>
    </w:p>
    <w:p>
      <w:pPr>
        <w:jc w:val="both"/>
        <w:ind w:left="720"/>
        <w:spacing w:after="0" w:line="237" w:lineRule="auto"/>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promptly give notice to the Company of any legal proceeding brought to determine the </w:t>
      </w:r>
      <w:r>
        <w:rPr>
          <w:rFonts w:ascii="Arial" w:cs="Arial" w:eastAsia="Arial" w:hAnsi="Arial"/>
          <w:sz w:val="20"/>
          <w:szCs w:val="20"/>
          <w:b w:val="1"/>
          <w:bCs w:val="1"/>
          <w:color w:val="auto"/>
        </w:rPr>
        <w:t xml:space="preserve">Assured’s </w:t>
      </w:r>
      <w:r>
        <w:rPr>
          <w:rFonts w:ascii="Arial" w:cs="Arial" w:eastAsia="Arial" w:hAnsi="Arial"/>
          <w:sz w:val="20"/>
          <w:szCs w:val="20"/>
          <w:color w:val="auto"/>
        </w:rPr>
        <w:t>liability for any loss, claim or damage which, if established, would constitute a collectible loss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under this Bond. Concurrent with such notice, and as requested thereafter,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furnish copies of all pleadings and pertinent papers to the Company.</w:t>
      </w:r>
    </w:p>
    <w:p>
      <w:pPr>
        <w:spacing w:after="0" w:line="121"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Company may, at its sole option, elect to conduct the defense of all or part of such legal proceeding. The defense by the Company shall be in the name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through attorneys selected by the Company.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provide all reasonable information and assistance as required by the Company for such defense.</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4 of 17</w:t>
      </w:r>
    </w:p>
    <w:p>
      <w:pPr>
        <w:sectPr>
          <w:pgSz w:w="12240" w:h="15840" w:orient="portrait"/>
          <w:cols w:equalWidth="0" w:num="1">
            <w:col w:w="10080"/>
          </w:cols>
          <w:pgMar w:left="1080" w:top="714" w:right="1080" w:bottom="156" w:gutter="0" w:footer="0" w:header="0"/>
          <w:type w:val="continuous"/>
        </w:sectPr>
      </w:pPr>
    </w:p>
    <w:bookmarkStart w:id="17" w:name="page18"/>
    <w:bookmarkEnd w:id="17"/>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720"/>
        <w:spacing w:after="0" w:line="251" w:lineRule="auto"/>
        <w:rPr>
          <w:sz w:val="20"/>
          <w:szCs w:val="20"/>
          <w:color w:val="auto"/>
        </w:rPr>
      </w:pPr>
      <w:r>
        <w:rPr>
          <w:rFonts w:ascii="Arial" w:cs="Arial" w:eastAsia="Arial" w:hAnsi="Arial"/>
          <w:sz w:val="19"/>
          <w:szCs w:val="19"/>
          <w:color w:val="auto"/>
        </w:rPr>
        <w:t>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w:t>
      </w:r>
    </w:p>
    <w:p>
      <w:pPr>
        <w:spacing w:after="0" w:line="11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If the Company declines to defend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no settlement without the prior written consent of the Company or judgment against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determine the existence, extent or amount of coverage under this Bond, and the Company shall not be liable for any costs, fees and expenses incurred by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0" w:lineRule="exact"/>
        <w:rPr>
          <w:sz w:val="20"/>
          <w:szCs w:val="20"/>
          <w:color w:val="auto"/>
        </w:rPr>
      </w:pPr>
    </w:p>
    <w:p>
      <w:pPr>
        <w:ind w:left="720" w:hanging="360"/>
        <w:spacing w:after="0"/>
        <w:tabs>
          <w:tab w:leader="none" w:pos="720" w:val="left"/>
        </w:tabs>
        <w:numPr>
          <w:ilvl w:val="1"/>
          <w:numId w:val="26"/>
        </w:numPr>
        <w:rPr>
          <w:rFonts w:ascii="Arial" w:cs="Arial" w:eastAsia="Arial" w:hAnsi="Arial"/>
          <w:sz w:val="20"/>
          <w:szCs w:val="20"/>
          <w:color w:val="auto"/>
        </w:rPr>
      </w:pPr>
      <w:r>
        <w:rPr>
          <w:rFonts w:ascii="Arial" w:cs="Arial" w:eastAsia="Arial" w:hAnsi="Arial"/>
          <w:sz w:val="20"/>
          <w:szCs w:val="20"/>
          <w:color w:val="auto"/>
        </w:rPr>
        <w:t>Representations Made By Assured</w:t>
      </w:r>
    </w:p>
    <w:p>
      <w:pPr>
        <w:spacing w:after="0" w:line="122"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w:t>
      </w:r>
    </w:p>
    <w:p>
      <w:pPr>
        <w:spacing w:after="0" w:line="396" w:lineRule="exact"/>
        <w:rPr>
          <w:rFonts w:ascii="Arial" w:cs="Arial" w:eastAsia="Arial" w:hAnsi="Arial"/>
          <w:sz w:val="20"/>
          <w:szCs w:val="20"/>
          <w:color w:val="auto"/>
        </w:rPr>
      </w:pPr>
    </w:p>
    <w:p>
      <w:pPr>
        <w:ind w:left="720" w:hanging="720"/>
        <w:spacing w:after="0"/>
        <w:tabs>
          <w:tab w:leader="none" w:pos="7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18" w:lineRule="exact"/>
        <w:rPr>
          <w:rFonts w:ascii="Arial" w:cs="Arial" w:eastAsia="Arial" w:hAnsi="Arial"/>
          <w:sz w:val="20"/>
          <w:szCs w:val="20"/>
          <w:b w:val="1"/>
          <w:bCs w:val="1"/>
          <w:color w:val="auto"/>
        </w:rPr>
      </w:pPr>
    </w:p>
    <w:p>
      <w:pPr>
        <w:ind w:left="720"/>
        <w:spacing w:after="0"/>
        <w:rPr>
          <w:rFonts w:ascii="Arial" w:cs="Arial" w:eastAsia="Arial" w:hAnsi="Arial"/>
          <w:sz w:val="20"/>
          <w:szCs w:val="20"/>
          <w:b w:val="1"/>
          <w:bCs w:val="1"/>
          <w:color w:val="auto"/>
        </w:rPr>
      </w:pPr>
      <w:r>
        <w:rPr>
          <w:rFonts w:ascii="Arial" w:cs="Arial" w:eastAsia="Arial" w:hAnsi="Arial"/>
          <w:sz w:val="20"/>
          <w:szCs w:val="20"/>
          <w:color w:val="auto"/>
        </w:rPr>
        <w:t>As used in this Bond:</w:t>
      </w:r>
    </w:p>
    <w:p>
      <w:pPr>
        <w:spacing w:after="0" w:line="121" w:lineRule="exact"/>
        <w:rPr>
          <w:rFonts w:ascii="Arial" w:cs="Arial" w:eastAsia="Arial" w:hAnsi="Arial"/>
          <w:sz w:val="20"/>
          <w:szCs w:val="20"/>
          <w:b w:val="1"/>
          <w:bCs w:val="1"/>
          <w:color w:val="auto"/>
        </w:rPr>
      </w:pPr>
    </w:p>
    <w:p>
      <w:pPr>
        <w:ind w:left="720"/>
        <w:spacing w:after="0" w:line="357"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Acceptance </w:t>
      </w:r>
      <w:r>
        <w:rPr>
          <w:rFonts w:ascii="Arial" w:cs="Arial" w:eastAsia="Arial" w:hAnsi="Arial"/>
          <w:sz w:val="20"/>
          <w:szCs w:val="20"/>
          <w:color w:val="auto"/>
        </w:rPr>
        <w:t>means a draft which the drawee has, by signature written on it, engaged to honor as presented.</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means:</w:t>
      </w:r>
    </w:p>
    <w:p>
      <w:pPr>
        <w:spacing w:after="0" w:line="10" w:lineRule="exact"/>
        <w:rPr>
          <w:rFonts w:ascii="Arial" w:cs="Arial" w:eastAsia="Arial" w:hAnsi="Arial"/>
          <w:sz w:val="20"/>
          <w:szCs w:val="20"/>
          <w:b w:val="1"/>
          <w:bCs w:val="1"/>
          <w:color w:val="auto"/>
        </w:rPr>
      </w:pPr>
    </w:p>
    <w:p>
      <w:pPr>
        <w:ind w:left="1080" w:hanging="360"/>
        <w:spacing w:after="0" w:line="236" w:lineRule="auto"/>
        <w:tabs>
          <w:tab w:leader="none" w:pos="1080" w:val="left"/>
        </w:tabs>
        <w:numPr>
          <w:ilvl w:val="2"/>
          <w:numId w:val="27"/>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Investment Company</w:t>
      </w:r>
      <w:r>
        <w:rPr>
          <w:rFonts w:ascii="Arial" w:cs="Arial" w:eastAsia="Arial" w:hAnsi="Arial"/>
          <w:sz w:val="20"/>
          <w:szCs w:val="20"/>
          <w:color w:val="auto"/>
        </w:rPr>
        <w:t xml:space="preserve"> listed under Name of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the Declarations (the “first named </w:t>
      </w:r>
      <w:r>
        <w:rPr>
          <w:rFonts w:ascii="Arial" w:cs="Arial" w:eastAsia="Arial" w:hAnsi="Arial"/>
          <w:sz w:val="20"/>
          <w:szCs w:val="20"/>
          <w:b w:val="1"/>
          <w:bCs w:val="1"/>
          <w:color w:val="auto"/>
        </w:rPr>
        <w:t>Assured</w:t>
      </w:r>
      <w:r>
        <w:rPr>
          <w:rFonts w:ascii="Arial" w:cs="Arial" w:eastAsia="Arial" w:hAnsi="Arial"/>
          <w:sz w:val="20"/>
          <w:szCs w:val="20"/>
          <w:color w:val="auto"/>
        </w:rPr>
        <w:t>”);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2"/>
          <w:numId w:val="27"/>
        </w:numPr>
        <w:rPr>
          <w:rFonts w:ascii="Arial" w:cs="Arial" w:eastAsia="Arial" w:hAnsi="Arial"/>
          <w:sz w:val="20"/>
          <w:szCs w:val="20"/>
          <w:color w:val="auto"/>
        </w:rPr>
      </w:pPr>
      <w:r>
        <w:rPr>
          <w:rFonts w:ascii="Arial" w:cs="Arial" w:eastAsia="Arial" w:hAnsi="Arial"/>
          <w:sz w:val="20"/>
          <w:szCs w:val="20"/>
          <w:color w:val="auto"/>
        </w:rPr>
        <w:t xml:space="preserve">any other </w:t>
      </w:r>
      <w:r>
        <w:rPr>
          <w:rFonts w:ascii="Arial" w:cs="Arial" w:eastAsia="Arial" w:hAnsi="Arial"/>
          <w:sz w:val="20"/>
          <w:szCs w:val="20"/>
          <w:b w:val="1"/>
          <w:bCs w:val="1"/>
          <w:color w:val="auto"/>
        </w:rPr>
        <w:t>Investment Company</w:t>
      </w:r>
      <w:r>
        <w:rPr>
          <w:rFonts w:ascii="Arial" w:cs="Arial" w:eastAsia="Arial" w:hAnsi="Arial"/>
          <w:sz w:val="20"/>
          <w:szCs w:val="20"/>
          <w:color w:val="auto"/>
        </w:rPr>
        <w:t xml:space="preserve"> listed in the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-1485265</wp:posOffset>
            </wp:positionV>
            <wp:extent cx="64395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spacing w:after="0" w:line="9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Assured </w:t>
      </w:r>
      <w:r>
        <w:rPr>
          <w:rFonts w:ascii="Arial" w:cs="Arial" w:eastAsia="Arial" w:hAnsi="Arial"/>
          <w:sz w:val="20"/>
          <w:szCs w:val="20"/>
          <w:color w:val="auto"/>
        </w:rPr>
        <w:t>does not include any entity or organization that is not an</w:t>
      </w:r>
      <w:r>
        <w:rPr>
          <w:rFonts w:ascii="Arial" w:cs="Arial" w:eastAsia="Arial" w:hAnsi="Arial"/>
          <w:sz w:val="20"/>
          <w:szCs w:val="20"/>
          <w:b w:val="1"/>
          <w:bCs w:val="1"/>
          <w:color w:val="auto"/>
        </w:rPr>
        <w:t xml:space="preserve"> Investment Company</w:t>
      </w:r>
      <w:r>
        <w:rPr>
          <w:rFonts w:ascii="Arial" w:cs="Arial" w:eastAsia="Arial" w:hAnsi="Arial"/>
          <w:sz w:val="20"/>
          <w:szCs w:val="20"/>
          <w:color w:val="auto"/>
        </w:rPr>
        <w: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Assured’s Network </w:t>
      </w:r>
      <w:r>
        <w:rPr>
          <w:rFonts w:ascii="Arial" w:cs="Arial" w:eastAsia="Arial" w:hAnsi="Arial"/>
          <w:sz w:val="20"/>
          <w:szCs w:val="20"/>
          <w:color w:val="auto"/>
        </w:rPr>
        <w:t>means:</w:t>
      </w:r>
    </w:p>
    <w:p>
      <w:pPr>
        <w:spacing w:after="0" w:line="118" w:lineRule="exact"/>
        <w:rPr>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Assured’s Computer System</w:t>
      </w:r>
      <w:r>
        <w:rPr>
          <w:rFonts w:ascii="Arial" w:cs="Arial" w:eastAsia="Arial" w:hAnsi="Arial"/>
          <w:sz w:val="20"/>
          <w:szCs w:val="20"/>
          <w:color w:val="auto"/>
        </w:rPr>
        <w:t>; or</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0"/>
          <w:numId w:val="28"/>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Electronic Communication System</w:t>
      </w:r>
      <w:r>
        <w:rPr>
          <w:rFonts w:ascii="Arial" w:cs="Arial" w:eastAsia="Arial" w:hAnsi="Arial"/>
          <w:sz w:val="20"/>
          <w:szCs w:val="20"/>
          <w:color w:val="auto"/>
        </w:rPr>
        <w:t>.</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Audit Expenses </w:t>
      </w:r>
      <w:r>
        <w:rPr>
          <w:rFonts w:ascii="Arial" w:cs="Arial" w:eastAsia="Arial" w:hAnsi="Arial"/>
          <w:sz w:val="20"/>
          <w:szCs w:val="20"/>
          <w:color w:val="auto"/>
        </w:rPr>
        <w:t>means reasonable expenses incurred by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with the Company’s prior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consent, which shall not be unreasonably withheld, for audits or examinations required by any governmental regulatory authority or self-regulatory organization to be conducted by such authority, organization, or their appointee. </w:t>
      </w:r>
      <w:r>
        <w:rPr>
          <w:rFonts w:ascii="Arial" w:cs="Arial" w:eastAsia="Arial" w:hAnsi="Arial"/>
          <w:sz w:val="20"/>
          <w:szCs w:val="20"/>
          <w:b w:val="1"/>
          <w:bCs w:val="1"/>
          <w:color w:val="auto"/>
        </w:rPr>
        <w:t>Audit Expense</w:t>
      </w:r>
      <w:r>
        <w:rPr>
          <w:rFonts w:ascii="Arial" w:cs="Arial" w:eastAsia="Arial" w:hAnsi="Arial"/>
          <w:sz w:val="20"/>
          <w:szCs w:val="20"/>
          <w:color w:val="auto"/>
        </w:rPr>
        <w:t xml:space="preserve"> shall not include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internal corporate costs (such as salaries), attorneys’ fees, or expenses incurred by any customer.</w:t>
      </w:r>
    </w:p>
    <w:p>
      <w:pPr>
        <w:spacing w:after="0" w:line="126"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Certificate of Deposit </w:t>
      </w:r>
      <w:r>
        <w:rPr>
          <w:rFonts w:ascii="Arial" w:cs="Arial" w:eastAsia="Arial" w:hAnsi="Arial"/>
          <w:sz w:val="20"/>
          <w:szCs w:val="20"/>
          <w:color w:val="auto"/>
        </w:rPr>
        <w:t>means an acknowledgment in writing by a financial institution of receipt of</w:t>
      </w:r>
      <w:r>
        <w:rPr>
          <w:rFonts w:ascii="Arial" w:cs="Arial" w:eastAsia="Arial" w:hAnsi="Arial"/>
          <w:sz w:val="20"/>
          <w:szCs w:val="20"/>
          <w:b w:val="1"/>
          <w:bCs w:val="1"/>
          <w:color w:val="auto"/>
        </w:rPr>
        <w:t xml:space="preserve"> Money </w:t>
      </w:r>
      <w:r>
        <w:rPr>
          <w:rFonts w:ascii="Arial" w:cs="Arial" w:eastAsia="Arial" w:hAnsi="Arial"/>
          <w:sz w:val="20"/>
          <w:szCs w:val="20"/>
          <w:color w:val="auto"/>
        </w:rPr>
        <w:t>with an engagement to repay it.</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Certificated Security </w:t>
      </w:r>
      <w:r>
        <w:rPr>
          <w:rFonts w:ascii="Arial" w:cs="Arial" w:eastAsia="Arial" w:hAnsi="Arial"/>
          <w:sz w:val="20"/>
          <w:szCs w:val="20"/>
          <w:color w:val="auto"/>
        </w:rPr>
        <w:t>means a share, participation or other interest in property of the issuer, or an</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of the issuer, or an obligation of the issuer, which is:</w:t>
      </w:r>
    </w:p>
    <w:p>
      <w:pPr>
        <w:spacing w:after="0" w:line="118" w:lineRule="exact"/>
        <w:rPr>
          <w:sz w:val="20"/>
          <w:szCs w:val="20"/>
          <w:color w:val="auto"/>
        </w:rPr>
      </w:pPr>
    </w:p>
    <w:p>
      <w:pPr>
        <w:ind w:left="1080" w:hanging="360"/>
        <w:spacing w:after="0"/>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represented by an instrument issued in bearer or registered form;</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of a type commonly dealt in on securities exchanges or markets or commonly recognized in any area in which it is issued or dealt in as a medium for investment; and</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either one of a class or series or by its terms divisible into a class or series of shares, participations, interests or obligations.</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14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5 of 17</w:t>
      </w:r>
    </w:p>
    <w:p>
      <w:pPr>
        <w:sectPr>
          <w:pgSz w:w="12240" w:h="15840" w:orient="portrait"/>
          <w:cols w:equalWidth="0" w:num="1">
            <w:col w:w="10080"/>
          </w:cols>
          <w:pgMar w:left="1080" w:top="714" w:right="1080" w:bottom="156" w:gutter="0" w:footer="0" w:header="0"/>
          <w:type w:val="continuous"/>
        </w:sectPr>
      </w:pPr>
    </w:p>
    <w:bookmarkStart w:id="18" w:name="page19"/>
    <w:bookmarkEnd w:id="18"/>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Claims Expenses </w:t>
      </w:r>
      <w:r>
        <w:rPr>
          <w:rFonts w:ascii="Arial" w:cs="Arial" w:eastAsia="Arial" w:hAnsi="Arial"/>
          <w:sz w:val="20"/>
          <w:szCs w:val="20"/>
          <w:color w:val="auto"/>
        </w:rPr>
        <w:t>means reasonable expenses incurred by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with the Company’s prior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consent, which shall not be unreasonably withheld, solely for independent firms or individuals retained to determine the amount of a covered loss. </w:t>
      </w:r>
      <w:r>
        <w:rPr>
          <w:rFonts w:ascii="Arial" w:cs="Arial" w:eastAsia="Arial" w:hAnsi="Arial"/>
          <w:sz w:val="20"/>
          <w:szCs w:val="20"/>
          <w:b w:val="1"/>
          <w:bCs w:val="1"/>
          <w:color w:val="auto"/>
        </w:rPr>
        <w:t>Claims Expenses</w:t>
      </w:r>
      <w:r>
        <w:rPr>
          <w:rFonts w:ascii="Arial" w:cs="Arial" w:eastAsia="Arial" w:hAnsi="Arial"/>
          <w:sz w:val="20"/>
          <w:szCs w:val="20"/>
          <w:color w:val="auto"/>
        </w:rPr>
        <w:t xml:space="preserve"> shall not include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internal corporate costs (such as salaries), attorneys’ fees, or expenses incurred by any customer.</w:t>
      </w:r>
    </w:p>
    <w:p>
      <w:pPr>
        <w:spacing w:after="0" w:line="125"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Computer System </w:t>
      </w:r>
      <w:r>
        <w:rPr>
          <w:rFonts w:ascii="Arial" w:cs="Arial" w:eastAsia="Arial" w:hAnsi="Arial"/>
          <w:sz w:val="20"/>
          <w:szCs w:val="20"/>
          <w:color w:val="auto"/>
        </w:rPr>
        <w:t>means a device or group of devices and all input, output, processing, storage, off-line</w:t>
      </w:r>
      <w:r>
        <w:rPr>
          <w:rFonts w:ascii="Arial" w:cs="Arial" w:eastAsia="Arial" w:hAnsi="Arial"/>
          <w:sz w:val="20"/>
          <w:szCs w:val="20"/>
          <w:b w:val="1"/>
          <w:bCs w:val="1"/>
          <w:color w:val="auto"/>
        </w:rPr>
        <w:t xml:space="preserve"> </w:t>
      </w:r>
      <w:r>
        <w:rPr>
          <w:rFonts w:ascii="Arial" w:cs="Arial" w:eastAsia="Arial" w:hAnsi="Arial"/>
          <w:sz w:val="20"/>
          <w:szCs w:val="20"/>
          <w:color w:val="auto"/>
        </w:rPr>
        <w:t>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w:t>
      </w:r>
    </w:p>
    <w:p>
      <w:pPr>
        <w:spacing w:after="0" w:line="124"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Counterfeit Original </w:t>
      </w:r>
      <w:r>
        <w:rPr>
          <w:rFonts w:ascii="Arial" w:cs="Arial" w:eastAsia="Arial" w:hAnsi="Arial"/>
          <w:sz w:val="20"/>
          <w:szCs w:val="20"/>
          <w:color w:val="auto"/>
        </w:rPr>
        <w:t>means an imitation of an actual valid</w:t>
      </w:r>
      <w:r>
        <w:rPr>
          <w:rFonts w:ascii="Arial" w:cs="Arial" w:eastAsia="Arial" w:hAnsi="Arial"/>
          <w:sz w:val="20"/>
          <w:szCs w:val="20"/>
          <w:b w:val="1"/>
          <w:bCs w:val="1"/>
          <w:color w:val="auto"/>
        </w:rPr>
        <w:t xml:space="preserve"> Original </w:t>
      </w:r>
      <w:r>
        <w:rPr>
          <w:rFonts w:ascii="Arial" w:cs="Arial" w:eastAsia="Arial" w:hAnsi="Arial"/>
          <w:sz w:val="20"/>
          <w:szCs w:val="20"/>
          <w:color w:val="auto"/>
        </w:rPr>
        <w:t>which is intended to deceive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taken as the </w:t>
      </w:r>
      <w:r>
        <w:rPr>
          <w:rFonts w:ascii="Arial" w:cs="Arial" w:eastAsia="Arial" w:hAnsi="Arial"/>
          <w:sz w:val="20"/>
          <w:szCs w:val="20"/>
          <w:b w:val="1"/>
          <w:bCs w:val="1"/>
          <w:color w:val="auto"/>
        </w:rPr>
        <w:t>Original</w:t>
      </w:r>
      <w:r>
        <w:rPr>
          <w:rFonts w:ascii="Arial" w:cs="Arial" w:eastAsia="Arial" w:hAnsi="Arial"/>
          <w:sz w:val="20"/>
          <w:szCs w:val="20"/>
          <w:color w:val="auto"/>
        </w:rPr>
        <w:t>.</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Cryptocurrency </w:t>
      </w:r>
      <w:r>
        <w:rPr>
          <w:rFonts w:ascii="Arial" w:cs="Arial" w:eastAsia="Arial" w:hAnsi="Arial"/>
          <w:sz w:val="20"/>
          <w:szCs w:val="20"/>
          <w:color w:val="auto"/>
        </w:rPr>
        <w:t>means a digital or electronic medium of exchange, operating independently of a central</w:t>
      </w:r>
      <w:r>
        <w:rPr>
          <w:rFonts w:ascii="Arial" w:cs="Arial" w:eastAsia="Arial" w:hAnsi="Arial"/>
          <w:sz w:val="20"/>
          <w:szCs w:val="20"/>
          <w:b w:val="1"/>
          <w:bCs w:val="1"/>
          <w:color w:val="auto"/>
        </w:rPr>
        <w:t xml:space="preserve"> </w:t>
      </w:r>
      <w:r>
        <w:rPr>
          <w:rFonts w:ascii="Arial" w:cs="Arial" w:eastAsia="Arial" w:hAnsi="Arial"/>
          <w:sz w:val="20"/>
          <w:szCs w:val="20"/>
          <w:color w:val="auto"/>
        </w:rPr>
        <w:t>bank, in which encryption techniques are used to regulate the generation of units and to verify the transfer of such units.</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Custodian </w:t>
      </w:r>
      <w:r>
        <w:rPr>
          <w:rFonts w:ascii="Arial" w:cs="Arial" w:eastAsia="Arial" w:hAnsi="Arial"/>
          <w:sz w:val="20"/>
          <w:szCs w:val="20"/>
          <w:color w:val="auto"/>
        </w:rPr>
        <w:t>means the institution designated by an</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to maintain possession and control of its</w:t>
      </w:r>
      <w:r>
        <w:rPr>
          <w:rFonts w:ascii="Arial" w:cs="Arial" w:eastAsia="Arial" w:hAnsi="Arial"/>
          <w:sz w:val="20"/>
          <w:szCs w:val="20"/>
          <w:b w:val="1"/>
          <w:bCs w:val="1"/>
          <w:color w:val="auto"/>
        </w:rPr>
        <w:t xml:space="preserve"> </w:t>
      </w:r>
      <w:r>
        <w:rPr>
          <w:rFonts w:ascii="Arial" w:cs="Arial" w:eastAsia="Arial" w:hAnsi="Arial"/>
          <w:sz w:val="20"/>
          <w:szCs w:val="20"/>
          <w:color w:val="auto"/>
        </w:rPr>
        <w:t>assets.</w:t>
      </w:r>
    </w:p>
    <w:p>
      <w:pPr>
        <w:spacing w:after="0" w:line="123" w:lineRule="exact"/>
        <w:rPr>
          <w:sz w:val="20"/>
          <w:szCs w:val="20"/>
          <w:color w:val="auto"/>
        </w:rPr>
      </w:pPr>
    </w:p>
    <w:p>
      <w:pPr>
        <w:jc w:val="both"/>
        <w:ind w:left="720"/>
        <w:spacing w:after="0"/>
        <w:rPr>
          <w:sz w:val="20"/>
          <w:szCs w:val="20"/>
          <w:color w:val="auto"/>
        </w:rPr>
      </w:pPr>
      <w:r>
        <w:rPr>
          <w:rFonts w:ascii="Arial" w:cs="Arial" w:eastAsia="Arial" w:hAnsi="Arial"/>
          <w:sz w:val="20"/>
          <w:szCs w:val="20"/>
          <w:b w:val="1"/>
          <w:bCs w:val="1"/>
          <w:color w:val="auto"/>
        </w:rPr>
        <w:t xml:space="preserve">Customer </w:t>
      </w:r>
      <w:r>
        <w:rPr>
          <w:rFonts w:ascii="Arial" w:cs="Arial" w:eastAsia="Arial" w:hAnsi="Arial"/>
          <w:sz w:val="20"/>
          <w:szCs w:val="20"/>
          <w:color w:val="auto"/>
        </w:rPr>
        <w:t>means any shareholder of an</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which has a written agreement with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transfer such shareholder’s </w:t>
      </w:r>
      <w:r>
        <w:rPr>
          <w:rFonts w:ascii="Arial" w:cs="Arial" w:eastAsia="Arial" w:hAnsi="Arial"/>
          <w:sz w:val="20"/>
          <w:szCs w:val="20"/>
          <w:b w:val="1"/>
          <w:bCs w:val="1"/>
          <w:color w:val="auto"/>
        </w:rPr>
        <w:t>Money</w:t>
      </w:r>
      <w:r>
        <w:rPr>
          <w:rFonts w:ascii="Arial" w:cs="Arial" w:eastAsia="Arial" w:hAnsi="Arial"/>
          <w:sz w:val="20"/>
          <w:szCs w:val="20"/>
          <w:color w:val="auto"/>
        </w:rPr>
        <w:t xml:space="preserve"> or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through a </w:t>
      </w:r>
      <w:r>
        <w:rPr>
          <w:rFonts w:ascii="Arial" w:cs="Arial" w:eastAsia="Arial" w:hAnsi="Arial"/>
          <w:sz w:val="20"/>
          <w:szCs w:val="20"/>
          <w:b w:val="1"/>
          <w:bCs w:val="1"/>
          <w:color w:val="auto"/>
        </w:rPr>
        <w:t>Voice Initiated Funds Transfer</w:t>
      </w:r>
      <w:r>
        <w:rPr>
          <w:rFonts w:ascii="Arial" w:cs="Arial" w:eastAsia="Arial" w:hAnsi="Arial"/>
          <w:sz w:val="20"/>
          <w:szCs w:val="20"/>
          <w:color w:val="auto"/>
        </w:rPr>
        <w:t xml:space="preserve"> </w:t>
      </w:r>
      <w:r>
        <w:rPr>
          <w:rFonts w:ascii="Arial" w:cs="Arial" w:eastAsia="Arial" w:hAnsi="Arial"/>
          <w:sz w:val="20"/>
          <w:szCs w:val="20"/>
          <w:b w:val="1"/>
          <w:bCs w:val="1"/>
          <w:color w:val="auto"/>
        </w:rPr>
        <w:t>Instruction</w:t>
      </w:r>
      <w:r>
        <w:rPr>
          <w:rFonts w:ascii="Arial" w:cs="Arial" w:eastAsia="Arial" w:hAnsi="Arial"/>
          <w:sz w:val="20"/>
          <w:szCs w:val="20"/>
          <w:color w:val="auto"/>
        </w:rPr>
        <w:t>.</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Customer Communication System </w:t>
      </w:r>
      <w:r>
        <w:rPr>
          <w:rFonts w:ascii="Arial" w:cs="Arial" w:eastAsia="Arial" w:hAnsi="Arial"/>
          <w:sz w:val="20"/>
          <w:szCs w:val="20"/>
          <w:color w:val="auto"/>
        </w:rPr>
        <w:t>means an:</w:t>
      </w:r>
    </w:p>
    <w:p>
      <w:pPr>
        <w:spacing w:after="0" w:line="121" w:lineRule="exact"/>
        <w:rPr>
          <w:sz w:val="20"/>
          <w:szCs w:val="20"/>
          <w:color w:val="auto"/>
        </w:rPr>
      </w:pPr>
    </w:p>
    <w:p>
      <w:pPr>
        <w:ind w:left="1080" w:hanging="360"/>
        <w:spacing w:after="0" w:line="236" w:lineRule="auto"/>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online portal or mobile application provided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for purposes of accessing a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account; or</w:t>
      </w:r>
    </w:p>
    <w:p>
      <w:pPr>
        <w:spacing w:after="0" w:line="122" w:lineRule="exact"/>
        <w:rPr>
          <w:rFonts w:ascii="Arial" w:cs="Arial" w:eastAsia="Arial" w:hAnsi="Arial"/>
          <w:sz w:val="20"/>
          <w:szCs w:val="20"/>
          <w:color w:val="auto"/>
        </w:rPr>
      </w:pPr>
    </w:p>
    <w:p>
      <w:pPr>
        <w:ind w:left="720" w:right="940"/>
        <w:spacing w:after="0" w:line="358" w:lineRule="auto"/>
        <w:tabs>
          <w:tab w:leader="none" w:pos="1080" w:val="left"/>
        </w:tabs>
        <w:numPr>
          <w:ilvl w:val="0"/>
          <w:numId w:val="30"/>
        </w:numPr>
        <w:rPr>
          <w:rFonts w:ascii="Arial" w:cs="Arial" w:eastAsia="Arial" w:hAnsi="Arial"/>
          <w:sz w:val="20"/>
          <w:szCs w:val="20"/>
          <w:color w:val="auto"/>
        </w:rPr>
      </w:pPr>
      <w:r>
        <w:rPr>
          <w:rFonts w:ascii="Arial" w:cs="Arial" w:eastAsia="Arial" w:hAnsi="Arial"/>
          <w:sz w:val="20"/>
          <w:szCs w:val="20"/>
          <w:color w:val="auto"/>
        </w:rPr>
        <w:t xml:space="preserve">electronic mailing system hosted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by a third party cloud service provider. </w:t>
      </w:r>
      <w:r>
        <w:rPr>
          <w:rFonts w:ascii="Arial" w:cs="Arial" w:eastAsia="Arial" w:hAnsi="Arial"/>
          <w:sz w:val="20"/>
          <w:szCs w:val="20"/>
          <w:b w:val="1"/>
          <w:bCs w:val="1"/>
          <w:color w:val="auto"/>
        </w:rPr>
        <w:t xml:space="preserve">Director </w:t>
      </w:r>
      <w:r>
        <w:rPr>
          <w:rFonts w:ascii="Arial" w:cs="Arial" w:eastAsia="Arial" w:hAnsi="Arial"/>
          <w:sz w:val="20"/>
          <w:szCs w:val="20"/>
          <w:color w:val="auto"/>
        </w:rPr>
        <w:t>means any natural person duly elected or appointed:</w:t>
      </w:r>
    </w:p>
    <w:p>
      <w:pPr>
        <w:spacing w:after="0" w:line="4"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as an officer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to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board of directors;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as a trustee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Electronic Communication System </w:t>
      </w:r>
      <w:r>
        <w:rPr>
          <w:rFonts w:ascii="Arial" w:cs="Arial" w:eastAsia="Arial" w:hAnsi="Arial"/>
          <w:sz w:val="20"/>
          <w:szCs w:val="20"/>
          <w:color w:val="auto"/>
        </w:rPr>
        <w:t>means:</w:t>
      </w:r>
    </w:p>
    <w:p>
      <w:pPr>
        <w:spacing w:after="0" w:line="121" w:lineRule="exact"/>
        <w:rPr>
          <w:sz w:val="20"/>
          <w:szCs w:val="20"/>
          <w:color w:val="auto"/>
        </w:rPr>
      </w:pPr>
    </w:p>
    <w:p>
      <w:pPr>
        <w:jc w:val="both"/>
        <w:ind w:left="1080" w:hanging="360"/>
        <w:spacing w:after="0" w:line="236" w:lineRule="auto"/>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Fedwire, Clearing House Interbank Payment System (CHIPS), Society for Worldwide Interbank Financial Telecommunication (SWIFT), and similar automated interbank communication systems in which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participates;</w:t>
      </w:r>
    </w:p>
    <w:p>
      <w:pPr>
        <w:spacing w:after="0" w:line="120" w:lineRule="exact"/>
        <w:rPr>
          <w:rFonts w:ascii="Arial" w:cs="Arial" w:eastAsia="Arial" w:hAnsi="Arial"/>
          <w:sz w:val="20"/>
          <w:szCs w:val="20"/>
          <w:color w:val="auto"/>
        </w:rPr>
      </w:pPr>
    </w:p>
    <w:p>
      <w:pPr>
        <w:ind w:left="1080" w:hanging="360"/>
        <w:spacing w:after="0"/>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b w:val="1"/>
          <w:bCs w:val="1"/>
          <w:color w:val="auto"/>
        </w:rPr>
        <w:t>Customer Communication System</w:t>
      </w:r>
      <w:r>
        <w:rPr>
          <w:rFonts w:ascii="Arial" w:cs="Arial" w:eastAsia="Arial" w:hAnsi="Arial"/>
          <w:sz w:val="20"/>
          <w:szCs w:val="20"/>
          <w:color w:val="auto"/>
        </w:rPr>
        <w:t>; or</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any communication system similar to those set forth in (1) and (2) of this definition in which the </w:t>
      </w:r>
      <w:r>
        <w:rPr>
          <w:rFonts w:ascii="Arial" w:cs="Arial" w:eastAsia="Arial" w:hAnsi="Arial"/>
          <w:sz w:val="20"/>
          <w:szCs w:val="20"/>
          <w:b w:val="1"/>
          <w:bCs w:val="1"/>
          <w:color w:val="auto"/>
        </w:rPr>
        <w:t xml:space="preserve">Assured </w:t>
      </w:r>
      <w:r>
        <w:rPr>
          <w:rFonts w:ascii="Arial" w:cs="Arial" w:eastAsia="Arial" w:hAnsi="Arial"/>
          <w:sz w:val="20"/>
          <w:szCs w:val="20"/>
          <w:color w:val="auto"/>
        </w:rPr>
        <w:t>participates,</w:t>
      </w:r>
    </w:p>
    <w:p>
      <w:pPr>
        <w:spacing w:after="0" w:line="123"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color w:val="auto"/>
        </w:rPr>
        <w:t xml:space="preserve">allowing for the input, output, examination, or transfer of electronic instructions into or from the </w:t>
      </w:r>
      <w:r>
        <w:rPr>
          <w:rFonts w:ascii="Arial" w:cs="Arial" w:eastAsia="Arial" w:hAnsi="Arial"/>
          <w:sz w:val="20"/>
          <w:szCs w:val="20"/>
          <w:b w:val="1"/>
          <w:bCs w:val="1"/>
          <w:color w:val="auto"/>
        </w:rPr>
        <w:t>Assured’s Computer System</w:t>
      </w:r>
      <w:r>
        <w:rPr>
          <w:rFonts w:ascii="Arial" w:cs="Arial" w:eastAsia="Arial" w:hAnsi="Arial"/>
          <w:sz w:val="20"/>
          <w:szCs w:val="20"/>
          <w:color w:val="auto"/>
        </w:rPr>
        <w: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means any natural person:</w:t>
      </w:r>
    </w:p>
    <w:p>
      <w:pPr>
        <w:spacing w:after="0" w:line="122" w:lineRule="exact"/>
        <w:rPr>
          <w:sz w:val="20"/>
          <w:szCs w:val="20"/>
          <w:color w:val="auto"/>
        </w:rPr>
      </w:pPr>
    </w:p>
    <w:p>
      <w:pPr>
        <w:jc w:val="both"/>
        <w:ind w:left="1080" w:hanging="360"/>
        <w:spacing w:after="0" w:line="236" w:lineRule="auto"/>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while in the regular service of an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the ordinary course of such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business, whom such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compensates directly by salary or wage and has the right to control and direct in the performance of such service;</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Director </w:t>
      </w:r>
      <w:r>
        <w:rPr>
          <w:rFonts w:ascii="Arial" w:cs="Arial" w:eastAsia="Arial" w:hAnsi="Arial"/>
          <w:sz w:val="20"/>
          <w:szCs w:val="20"/>
          <w:color w:val="auto"/>
        </w:rPr>
        <w:t>while in the regular service of an</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in the ordinary course of such</w:t>
      </w:r>
      <w:r>
        <w:rPr>
          <w:rFonts w:ascii="Arial" w:cs="Arial" w:eastAsia="Arial" w:hAnsi="Arial"/>
          <w:sz w:val="20"/>
          <w:szCs w:val="20"/>
          <w:b w:val="1"/>
          <w:bCs w:val="1"/>
          <w:color w:val="auto"/>
        </w:rPr>
        <w:t xml:space="preserve"> Assured’s </w:t>
      </w:r>
      <w:r>
        <w:rPr>
          <w:rFonts w:ascii="Arial" w:cs="Arial" w:eastAsia="Arial" w:hAnsi="Arial"/>
          <w:sz w:val="20"/>
          <w:szCs w:val="20"/>
          <w:color w:val="auto"/>
        </w:rPr>
        <w:t xml:space="preserve">business, or while acting as a member of any committee duly elected or appointed to examine or audit or have custody of or access to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9" w:lineRule="exact"/>
        <w:rPr>
          <w:rFonts w:ascii="Arial" w:cs="Arial" w:eastAsia="Arial" w:hAnsi="Arial"/>
          <w:sz w:val="20"/>
          <w:szCs w:val="20"/>
          <w:color w:val="auto"/>
        </w:rPr>
      </w:pPr>
    </w:p>
    <w:p>
      <w:pPr>
        <w:ind w:left="1080" w:hanging="360"/>
        <w:spacing w:after="0"/>
        <w:tabs>
          <w:tab w:leader="none" w:pos="1080"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intern while in the regular service of an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the ordinary course of such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business;</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6 of 17</w:t>
      </w:r>
    </w:p>
    <w:p>
      <w:pPr>
        <w:sectPr>
          <w:pgSz w:w="12240" w:h="15840" w:orient="portrait"/>
          <w:cols w:equalWidth="0" w:num="1">
            <w:col w:w="10080"/>
          </w:cols>
          <w:pgMar w:left="1080" w:top="714" w:right="1080" w:bottom="156" w:gutter="0" w:footer="0" w:header="0"/>
          <w:type w:val="continuous"/>
        </w:sectPr>
      </w:pPr>
    </w:p>
    <w:bookmarkStart w:id="19" w:name="page20"/>
    <w:bookmarkEnd w:id="19"/>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080" w:hanging="360"/>
        <w:spacing w:after="0" w:line="236"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provided by an employment contractor while in the regular service of an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the ordinary course of such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business under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supervision at any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premises;</w:t>
      </w:r>
    </w:p>
    <w:p>
      <w:pPr>
        <w:spacing w:after="0" w:line="119"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employee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contracted:</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investment advisor;</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underwriter (distributor);</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transfer agent;</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shareholder accounting record-keeper; or</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fund administrator,</w:t>
      </w:r>
    </w:p>
    <w:p>
      <w:pPr>
        <w:spacing w:after="0" w:line="118"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 xml:space="preserve">while performing acts for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the capacity of an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17" w:lineRule="exact"/>
        <w:rPr>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attorney of a law firm retained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while performing legal services for the </w:t>
      </w:r>
      <w:r>
        <w:rPr>
          <w:rFonts w:ascii="Arial" w:cs="Arial" w:eastAsia="Arial" w:hAnsi="Arial"/>
          <w:sz w:val="20"/>
          <w:szCs w:val="20"/>
          <w:b w:val="1"/>
          <w:bCs w:val="1"/>
          <w:color w:val="auto"/>
        </w:rPr>
        <w:t>Assured</w:t>
      </w:r>
      <w:r>
        <w:rPr>
          <w:rFonts w:ascii="Arial" w:cs="Arial" w:eastAsia="Arial" w:hAnsi="Arial"/>
          <w:sz w:val="20"/>
          <w:szCs w:val="20"/>
          <w:color w:val="auto"/>
        </w:rPr>
        <w:t>; or</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Processor</w:t>
      </w:r>
      <w:r>
        <w:rPr>
          <w:rFonts w:ascii="Arial" w:cs="Arial" w:eastAsia="Arial" w:hAnsi="Arial"/>
          <w:sz w:val="20"/>
          <w:szCs w:val="20"/>
          <w:color w:val="auto"/>
        </w:rPr>
        <w:t>, but only while such</w:t>
      </w:r>
      <w:r>
        <w:rPr>
          <w:rFonts w:ascii="Arial" w:cs="Arial" w:eastAsia="Arial" w:hAnsi="Arial"/>
          <w:sz w:val="20"/>
          <w:szCs w:val="20"/>
          <w:b w:val="1"/>
          <w:bCs w:val="1"/>
          <w:color w:val="auto"/>
        </w:rPr>
        <w:t xml:space="preserve"> Processor </w:t>
      </w:r>
      <w:r>
        <w:rPr>
          <w:rFonts w:ascii="Arial" w:cs="Arial" w:eastAsia="Arial" w:hAnsi="Arial"/>
          <w:sz w:val="20"/>
          <w:szCs w:val="20"/>
          <w:color w:val="auto"/>
        </w:rPr>
        <w:t>is performing services and not:</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creating, preparing, modifying, or maintaining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computer applications or software programs; or</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35"/>
        </w:numPr>
        <w:rPr>
          <w:rFonts w:ascii="Arial" w:cs="Arial" w:eastAsia="Arial" w:hAnsi="Arial"/>
          <w:sz w:val="20"/>
          <w:szCs w:val="20"/>
          <w:color w:val="auto"/>
        </w:rPr>
      </w:pPr>
      <w:r>
        <w:rPr>
          <w:rFonts w:ascii="Arial" w:cs="Arial" w:eastAsia="Arial" w:hAnsi="Arial"/>
          <w:sz w:val="20"/>
          <w:szCs w:val="20"/>
          <w:color w:val="auto"/>
        </w:rPr>
        <w:t xml:space="preserve">acting as a transfer agent or in any other agency capacity in issuing checks, drafts, or securities for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Each employer of persons as set forth in (6) and (7) of this definition and the partners, officers, and other employees of such employers shall collectively be deemed to be one person for the purpose of the definition of </w:t>
      </w:r>
      <w:r>
        <w:rPr>
          <w:rFonts w:ascii="Arial" w:cs="Arial" w:eastAsia="Arial" w:hAnsi="Arial"/>
          <w:sz w:val="20"/>
          <w:szCs w:val="20"/>
          <w:b w:val="1"/>
          <w:bCs w:val="1"/>
          <w:color w:val="auto"/>
        </w:rPr>
        <w:t>Single Loss</w:t>
      </w:r>
      <w:r>
        <w:rPr>
          <w:rFonts w:ascii="Arial" w:cs="Arial" w:eastAsia="Arial" w:hAnsi="Arial"/>
          <w:sz w:val="20"/>
          <w:szCs w:val="20"/>
          <w:color w:val="auto"/>
        </w:rPr>
        <w:t xml:space="preserve"> and in the event of payment under this Bond, the Company shall be subrogated to the </w:t>
      </w:r>
      <w:r>
        <w:rPr>
          <w:rFonts w:ascii="Arial" w:cs="Arial" w:eastAsia="Arial" w:hAnsi="Arial"/>
          <w:sz w:val="20"/>
          <w:szCs w:val="20"/>
          <w:b w:val="1"/>
          <w:bCs w:val="1"/>
          <w:color w:val="auto"/>
        </w:rPr>
        <w:t xml:space="preserve">Assured’s </w:t>
      </w:r>
      <w:r>
        <w:rPr>
          <w:rFonts w:ascii="Arial" w:cs="Arial" w:eastAsia="Arial" w:hAnsi="Arial"/>
          <w:sz w:val="20"/>
          <w:szCs w:val="20"/>
          <w:color w:val="auto"/>
        </w:rPr>
        <w:t>rights of recovery, as stated in Section 12., Subrogation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Assignment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Recovery,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and Limitations, against any such employer.</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does not include:</w:t>
      </w:r>
    </w:p>
    <w:p>
      <w:pPr>
        <w:spacing w:after="0" w:line="118" w:lineRule="exact"/>
        <w:rPr>
          <w:sz w:val="20"/>
          <w:szCs w:val="20"/>
          <w:color w:val="auto"/>
        </w:rPr>
      </w:pPr>
    </w:p>
    <w:p>
      <w:pPr>
        <w:ind w:left="1080" w:hanging="360"/>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employee of a fund administrator for any employee benefit plan; or</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employee of a transfer agent, shareholder accounting record-keeper, or fund administrator which is:</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36"/>
        </w:numPr>
        <w:rPr>
          <w:rFonts w:ascii="Arial" w:cs="Arial" w:eastAsia="Arial" w:hAnsi="Arial"/>
          <w:sz w:val="20"/>
          <w:szCs w:val="20"/>
          <w:color w:val="auto"/>
        </w:rPr>
      </w:pPr>
      <w:r>
        <w:rPr>
          <w:rFonts w:ascii="Arial" w:cs="Arial" w:eastAsia="Arial" w:hAnsi="Arial"/>
          <w:sz w:val="20"/>
          <w:szCs w:val="20"/>
          <w:color w:val="auto"/>
        </w:rPr>
        <w:t xml:space="preserve">not an “affiliated person” (as defined in Section 2(a) of the Investment Company Act of 1940) of an </w:t>
      </w:r>
      <w:r>
        <w:rPr>
          <w:rFonts w:ascii="Arial" w:cs="Arial" w:eastAsia="Arial" w:hAnsi="Arial"/>
          <w:sz w:val="20"/>
          <w:szCs w:val="20"/>
          <w:b w:val="1"/>
          <w:bCs w:val="1"/>
          <w:color w:val="auto"/>
        </w:rPr>
        <w:t xml:space="preserve">Assured </w:t>
      </w:r>
      <w:r>
        <w:rPr>
          <w:rFonts w:ascii="Arial" w:cs="Arial" w:eastAsia="Arial" w:hAnsi="Arial"/>
          <w:sz w:val="20"/>
          <w:szCs w:val="20"/>
          <w:color w:val="auto"/>
        </w:rPr>
        <w:t>or of the investment advisor or underwriter (distributor) of such</w:t>
      </w:r>
      <w:r>
        <w:rPr>
          <w:rFonts w:ascii="Arial" w:cs="Arial" w:eastAsia="Arial" w:hAnsi="Arial"/>
          <w:sz w:val="20"/>
          <w:szCs w:val="20"/>
          <w:b w:val="1"/>
          <w:bCs w:val="1"/>
          <w:color w:val="auto"/>
        </w:rPr>
        <w:t xml:space="preserve"> Assured</w:t>
      </w:r>
      <w:r>
        <w:rPr>
          <w:rFonts w:ascii="Arial" w:cs="Arial" w:eastAsia="Arial" w:hAnsi="Arial"/>
          <w:sz w:val="20"/>
          <w:szCs w:val="20"/>
          <w:color w:val="auto"/>
        </w:rPr>
        <w:t>; or</w:t>
      </w:r>
    </w:p>
    <w:p>
      <w:pPr>
        <w:spacing w:after="0" w:line="117" w:lineRule="exact"/>
        <w:rPr>
          <w:rFonts w:ascii="Arial" w:cs="Arial" w:eastAsia="Arial" w:hAnsi="Arial"/>
          <w:sz w:val="20"/>
          <w:szCs w:val="20"/>
          <w:color w:val="auto"/>
        </w:rPr>
      </w:pPr>
    </w:p>
    <w:p>
      <w:pPr>
        <w:ind w:left="1440" w:hanging="360"/>
        <w:spacing w:after="0"/>
        <w:tabs>
          <w:tab w:leader="none" w:pos="1440" w:val="left"/>
        </w:tabs>
        <w:numPr>
          <w:ilvl w:val="1"/>
          <w:numId w:val="36"/>
        </w:numPr>
        <w:rPr>
          <w:rFonts w:ascii="Arial" w:cs="Arial" w:eastAsia="Arial" w:hAnsi="Arial"/>
          <w:sz w:val="20"/>
          <w:szCs w:val="20"/>
          <w:color w:val="auto"/>
        </w:rPr>
      </w:pPr>
      <w:r>
        <w:rPr>
          <w:rFonts w:ascii="Arial" w:cs="Arial" w:eastAsia="Arial" w:hAnsi="Arial"/>
          <w:sz w:val="20"/>
          <w:szCs w:val="20"/>
          <w:color w:val="auto"/>
        </w:rPr>
        <w:t>a “bank” (as defined in Section 2(a) of the Investment Company Act of 1940).</w:t>
      </w:r>
    </w:p>
    <w:p>
      <w:pPr>
        <w:spacing w:after="0" w:line="12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Evidence of Debt </w:t>
      </w:r>
      <w:r>
        <w:rPr>
          <w:rFonts w:ascii="Arial" w:cs="Arial" w:eastAsia="Arial" w:hAnsi="Arial"/>
          <w:sz w:val="20"/>
          <w:szCs w:val="20"/>
          <w:color w:val="auto"/>
        </w:rPr>
        <w:t>means an instrument, including a</w:t>
      </w:r>
      <w:r>
        <w:rPr>
          <w:rFonts w:ascii="Arial" w:cs="Arial" w:eastAsia="Arial" w:hAnsi="Arial"/>
          <w:sz w:val="20"/>
          <w:szCs w:val="20"/>
          <w:b w:val="1"/>
          <w:bCs w:val="1"/>
          <w:color w:val="auto"/>
        </w:rPr>
        <w:t xml:space="preserve"> Negotiable Instrument</w:t>
      </w:r>
      <w:r>
        <w:rPr>
          <w:rFonts w:ascii="Arial" w:cs="Arial" w:eastAsia="Arial" w:hAnsi="Arial"/>
          <w:sz w:val="20"/>
          <w:szCs w:val="20"/>
          <w:color w:val="auto"/>
        </w:rPr>
        <w:t>, executed by a</w:t>
      </w:r>
      <w:r>
        <w:rPr>
          <w:rFonts w:ascii="Arial" w:cs="Arial" w:eastAsia="Arial" w:hAnsi="Arial"/>
          <w:sz w:val="20"/>
          <w:szCs w:val="20"/>
          <w:b w:val="1"/>
          <w:bCs w:val="1"/>
          <w:color w:val="auto"/>
        </w:rPr>
        <w:t xml:space="preserve"> Customer </w:t>
      </w:r>
      <w:r>
        <w:rPr>
          <w:rFonts w:ascii="Arial" w:cs="Arial" w:eastAsia="Arial" w:hAnsi="Arial"/>
          <w:sz w:val="20"/>
          <w:szCs w:val="20"/>
          <w:color w:val="auto"/>
        </w:rPr>
        <w:t xml:space="preserve">and held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which in the regular course of business is treated as evidencing the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debt to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Forgery </w:t>
      </w:r>
      <w:r>
        <w:rPr>
          <w:rFonts w:ascii="Arial" w:cs="Arial" w:eastAsia="Arial" w:hAnsi="Arial"/>
          <w:sz w:val="20"/>
          <w:szCs w:val="20"/>
          <w:color w:val="auto"/>
        </w:rPr>
        <w:t>means:</w:t>
      </w:r>
    </w:p>
    <w:p>
      <w:pPr>
        <w:spacing w:after="0" w:line="121" w:lineRule="exact"/>
        <w:rPr>
          <w:sz w:val="20"/>
          <w:szCs w:val="20"/>
          <w:color w:val="auto"/>
        </w:rPr>
      </w:pPr>
    </w:p>
    <w:p>
      <w:pPr>
        <w:ind w:left="1080" w:hanging="360"/>
        <w:spacing w:after="0" w:line="236" w:lineRule="auto"/>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affixing the handwritten signature, or a reproduction of the handwritten signature, of another natural person without authorization and with the intent to deceive; or</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affixing the name of an organization as an endorsement to a check without authority and with the intent to deceive,</w:t>
      </w:r>
    </w:p>
    <w:p>
      <w:pPr>
        <w:spacing w:after="0" w:line="123"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color w:val="auto"/>
        </w:rPr>
        <w:t xml:space="preserve">provided that a signature which consists in whole or in part of one’s own name signed with or without authority, in any capacity, for any purpose is not a </w:t>
      </w:r>
      <w:r>
        <w:rPr>
          <w:rFonts w:ascii="Arial" w:cs="Arial" w:eastAsia="Arial" w:hAnsi="Arial"/>
          <w:sz w:val="20"/>
          <w:szCs w:val="20"/>
          <w:b w:val="1"/>
          <w:bCs w:val="1"/>
          <w:color w:val="auto"/>
        </w:rPr>
        <w:t>Forgery</w:t>
      </w:r>
      <w:r>
        <w:rPr>
          <w:rFonts w:ascii="Arial" w:cs="Arial" w:eastAsia="Arial" w:hAnsi="Arial"/>
          <w:sz w:val="20"/>
          <w:szCs w:val="20"/>
          <w:color w:val="auto"/>
        </w:rPr>
        <w:t>.</w:t>
      </w:r>
    </w:p>
    <w:p>
      <w:pPr>
        <w:spacing w:after="0" w:line="121"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b w:val="1"/>
          <w:bCs w:val="1"/>
          <w:color w:val="auto"/>
        </w:rPr>
        <w:t xml:space="preserve">Initial Transaction Statement </w:t>
      </w:r>
      <w:r>
        <w:rPr>
          <w:rFonts w:ascii="Arial" w:cs="Arial" w:eastAsia="Arial" w:hAnsi="Arial"/>
          <w:sz w:val="20"/>
          <w:szCs w:val="20"/>
          <w:color w:val="auto"/>
        </w:rPr>
        <w:t>means the first written statement signed by or on behalf of the issuer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an </w:t>
      </w:r>
      <w:r>
        <w:rPr>
          <w:rFonts w:ascii="Arial" w:cs="Arial" w:eastAsia="Arial" w:hAnsi="Arial"/>
          <w:sz w:val="20"/>
          <w:szCs w:val="20"/>
          <w:b w:val="1"/>
          <w:bCs w:val="1"/>
          <w:color w:val="auto"/>
        </w:rPr>
        <w:t>Uncertificated Security</w:t>
      </w:r>
      <w:r>
        <w:rPr>
          <w:rFonts w:ascii="Arial" w:cs="Arial" w:eastAsia="Arial" w:hAnsi="Arial"/>
          <w:sz w:val="20"/>
          <w:szCs w:val="20"/>
          <w:color w:val="auto"/>
        </w:rPr>
        <w:t xml:space="preserve"> sent to the registered owner or registered pledgee containing:</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14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7 of 17</w:t>
      </w:r>
    </w:p>
    <w:p>
      <w:pPr>
        <w:sectPr>
          <w:pgSz w:w="12240" w:h="15840" w:orient="portrait"/>
          <w:cols w:equalWidth="0" w:num="1">
            <w:col w:w="10080"/>
          </w:cols>
          <w:pgMar w:left="1080" w:top="714" w:right="1080" w:bottom="156" w:gutter="0" w:footer="0" w:header="0"/>
          <w:type w:val="continuous"/>
        </w:sectPr>
      </w:pPr>
    </w:p>
    <w:bookmarkStart w:id="20" w:name="page21"/>
    <w:bookmarkEnd w:id="20"/>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a description of the issue of which the </w:t>
      </w:r>
      <w:r>
        <w:rPr>
          <w:rFonts w:ascii="Arial" w:cs="Arial" w:eastAsia="Arial" w:hAnsi="Arial"/>
          <w:sz w:val="20"/>
          <w:szCs w:val="20"/>
          <w:b w:val="1"/>
          <w:bCs w:val="1"/>
          <w:color w:val="auto"/>
        </w:rPr>
        <w:t>Uncertificated Security</w:t>
      </w:r>
      <w:r>
        <w:rPr>
          <w:rFonts w:ascii="Arial" w:cs="Arial" w:eastAsia="Arial" w:hAnsi="Arial"/>
          <w:sz w:val="20"/>
          <w:szCs w:val="20"/>
          <w:color w:val="auto"/>
        </w:rPr>
        <w:t xml:space="preserve"> is a part;</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number of shares or units transferred to the registered owner, pledged by the registered owner to the registered pledgee, or released from pledge by the registered pledgee;</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name, address and taxpayer identification number, if any, of the registered owner and registered pledgee; and</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date the transfer, pledge or release was registered.</w:t>
      </w:r>
    </w:p>
    <w:p>
      <w:pPr>
        <w:spacing w:after="0" w:line="12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Instruction </w:t>
      </w:r>
      <w:r>
        <w:rPr>
          <w:rFonts w:ascii="Arial" w:cs="Arial" w:eastAsia="Arial" w:hAnsi="Arial"/>
          <w:sz w:val="20"/>
          <w:szCs w:val="20"/>
          <w:color w:val="auto"/>
        </w:rPr>
        <w:t>means a written order to the issuer of an</w:t>
      </w:r>
      <w:r>
        <w:rPr>
          <w:rFonts w:ascii="Arial" w:cs="Arial" w:eastAsia="Arial" w:hAnsi="Arial"/>
          <w:sz w:val="20"/>
          <w:szCs w:val="20"/>
          <w:b w:val="1"/>
          <w:bCs w:val="1"/>
          <w:color w:val="auto"/>
        </w:rPr>
        <w:t xml:space="preserve"> Uncertificated Security </w:t>
      </w:r>
      <w:r>
        <w:rPr>
          <w:rFonts w:ascii="Arial" w:cs="Arial" w:eastAsia="Arial" w:hAnsi="Arial"/>
          <w:sz w:val="20"/>
          <w:szCs w:val="20"/>
          <w:color w:val="auto"/>
        </w:rPr>
        <w:t>requesting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transfer, pledge or release from pledge of the specified </w:t>
      </w:r>
      <w:r>
        <w:rPr>
          <w:rFonts w:ascii="Arial" w:cs="Arial" w:eastAsia="Arial" w:hAnsi="Arial"/>
          <w:sz w:val="20"/>
          <w:szCs w:val="20"/>
          <w:b w:val="1"/>
          <w:bCs w:val="1"/>
          <w:color w:val="auto"/>
        </w:rPr>
        <w:t>Uncertificated Security</w:t>
      </w:r>
      <w:r>
        <w:rPr>
          <w:rFonts w:ascii="Arial" w:cs="Arial" w:eastAsia="Arial" w:hAnsi="Arial"/>
          <w:sz w:val="20"/>
          <w:szCs w:val="20"/>
          <w:color w:val="auto"/>
        </w:rPr>
        <w:t xml:space="preserve"> be registered.</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Investment Company </w:t>
      </w:r>
      <w:r>
        <w:rPr>
          <w:rFonts w:ascii="Arial" w:cs="Arial" w:eastAsia="Arial" w:hAnsi="Arial"/>
          <w:sz w:val="20"/>
          <w:szCs w:val="20"/>
          <w:color w:val="auto"/>
        </w:rPr>
        <w:t>means any entity registered under the Investment Company Act of 1940.</w:t>
      </w:r>
    </w:p>
    <w:p>
      <w:pPr>
        <w:spacing w:after="0" w:line="122"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Items of Deposit </w:t>
      </w:r>
      <w:r>
        <w:rPr>
          <w:rFonts w:ascii="Arial" w:cs="Arial" w:eastAsia="Arial" w:hAnsi="Arial"/>
          <w:sz w:val="20"/>
          <w:szCs w:val="20"/>
          <w:color w:val="auto"/>
        </w:rPr>
        <w:t>means one or more checks or drafts drawn upon a financial institution in the United</w:t>
      </w:r>
      <w:r>
        <w:rPr>
          <w:rFonts w:ascii="Arial" w:cs="Arial" w:eastAsia="Arial" w:hAnsi="Arial"/>
          <w:sz w:val="20"/>
          <w:szCs w:val="20"/>
          <w:b w:val="1"/>
          <w:bCs w:val="1"/>
          <w:color w:val="auto"/>
        </w:rPr>
        <w:t xml:space="preserve"> </w:t>
      </w:r>
      <w:r>
        <w:rPr>
          <w:rFonts w:ascii="Arial" w:cs="Arial" w:eastAsia="Arial" w:hAnsi="Arial"/>
          <w:sz w:val="20"/>
          <w:szCs w:val="20"/>
          <w:color w:val="auto"/>
        </w:rPr>
        <w:t>States of America.</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Larceny or Embezzlement </w:t>
      </w:r>
      <w:r>
        <w:rPr>
          <w:rFonts w:ascii="Arial" w:cs="Arial" w:eastAsia="Arial" w:hAnsi="Arial"/>
          <w:sz w:val="20"/>
          <w:szCs w:val="20"/>
          <w:color w:val="auto"/>
        </w:rPr>
        <w:t>means larceny and embezzlement as defined under Section 37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Investment Company Act of 1940.</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Letter of Credit </w:t>
      </w:r>
      <w:r>
        <w:rPr>
          <w:rFonts w:ascii="Arial" w:cs="Arial" w:eastAsia="Arial" w:hAnsi="Arial"/>
          <w:sz w:val="20"/>
          <w:szCs w:val="20"/>
          <w:color w:val="auto"/>
        </w:rPr>
        <w:t>means an engagement in writing by a bank or other person made at the request of a</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 that the bank or other person will honor drafts or other demands for payment in compliance with the conditions specified in the engagement.</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Money </w:t>
      </w:r>
      <w:r>
        <w:rPr>
          <w:rFonts w:ascii="Arial" w:cs="Arial" w:eastAsia="Arial" w:hAnsi="Arial"/>
          <w:sz w:val="20"/>
          <w:szCs w:val="20"/>
          <w:color w:val="auto"/>
        </w:rPr>
        <w:t>means a medium of exchange in current use authorized or adopted by a domestic or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government as part of its currency.</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Negotiable Instrument </w:t>
      </w:r>
      <w:r>
        <w:rPr>
          <w:rFonts w:ascii="Arial" w:cs="Arial" w:eastAsia="Arial" w:hAnsi="Arial"/>
          <w:sz w:val="20"/>
          <w:szCs w:val="20"/>
          <w:color w:val="auto"/>
        </w:rPr>
        <w:t>means any writing:</w:t>
      </w:r>
    </w:p>
    <w:p>
      <w:pPr>
        <w:spacing w:after="0" w:line="117" w:lineRule="exact"/>
        <w:rPr>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signed by the maker or drawer;</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containing an unconditional promise or order to pay a sum certain in </w:t>
      </w:r>
      <w:r>
        <w:rPr>
          <w:rFonts w:ascii="Arial" w:cs="Arial" w:eastAsia="Arial" w:hAnsi="Arial"/>
          <w:sz w:val="20"/>
          <w:szCs w:val="20"/>
          <w:b w:val="1"/>
          <w:bCs w:val="1"/>
          <w:color w:val="auto"/>
        </w:rPr>
        <w:t>Money</w:t>
      </w:r>
      <w:r>
        <w:rPr>
          <w:rFonts w:ascii="Arial" w:cs="Arial" w:eastAsia="Arial" w:hAnsi="Arial"/>
          <w:sz w:val="20"/>
          <w:szCs w:val="20"/>
          <w:color w:val="auto"/>
        </w:rPr>
        <w:t xml:space="preserve"> and no other promise, order, obligation or power given by the maker or drawer;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payable on demand or at a definite time; and</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payable to order or bearer.</w:t>
      </w:r>
    </w:p>
    <w:p>
      <w:pPr>
        <w:spacing w:after="0" w:line="121"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b w:val="1"/>
          <w:bCs w:val="1"/>
          <w:color w:val="auto"/>
        </w:rPr>
        <w:t xml:space="preserve">Negotiable Instrument </w:t>
      </w:r>
      <w:r>
        <w:rPr>
          <w:rFonts w:ascii="Arial" w:cs="Arial" w:eastAsia="Arial" w:hAnsi="Arial"/>
          <w:sz w:val="20"/>
          <w:szCs w:val="20"/>
          <w:color w:val="auto"/>
        </w:rPr>
        <w:t>includes a substitute check as defined in the Check Clearing for the 21</w:t>
      </w:r>
      <w:r>
        <w:rPr>
          <w:rFonts w:ascii="Arial" w:cs="Arial" w:eastAsia="Arial" w:hAnsi="Arial"/>
          <w:sz w:val="12"/>
          <w:szCs w:val="12"/>
          <w:color w:val="auto"/>
        </w:rPr>
        <w:t>st</w:t>
      </w:r>
      <w:r>
        <w:rPr>
          <w:rFonts w:ascii="Arial" w:cs="Arial" w:eastAsia="Arial" w:hAnsi="Arial"/>
          <w:sz w:val="20"/>
          <w:szCs w:val="20"/>
          <w:b w:val="1"/>
          <w:bCs w:val="1"/>
          <w:color w:val="auto"/>
        </w:rPr>
        <w:t xml:space="preserve"> </w:t>
      </w:r>
      <w:r>
        <w:rPr>
          <w:rFonts w:ascii="Arial" w:cs="Arial" w:eastAsia="Arial" w:hAnsi="Arial"/>
          <w:sz w:val="20"/>
          <w:szCs w:val="20"/>
          <w:color w:val="auto"/>
        </w:rPr>
        <w:t>Century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Act, and shall be treated the same as the </w:t>
      </w:r>
      <w:r>
        <w:rPr>
          <w:rFonts w:ascii="Arial" w:cs="Arial" w:eastAsia="Arial" w:hAnsi="Arial"/>
          <w:sz w:val="20"/>
          <w:szCs w:val="20"/>
          <w:b w:val="1"/>
          <w:bCs w:val="1"/>
          <w:color w:val="auto"/>
        </w:rPr>
        <w:t>Original</w:t>
      </w:r>
      <w:r>
        <w:rPr>
          <w:rFonts w:ascii="Arial" w:cs="Arial" w:eastAsia="Arial" w:hAnsi="Arial"/>
          <w:sz w:val="20"/>
          <w:szCs w:val="20"/>
          <w:color w:val="auto"/>
        </w:rPr>
        <w:t xml:space="preserve"> it replaced.</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Network Intrusion </w:t>
      </w:r>
      <w:r>
        <w:rPr>
          <w:rFonts w:ascii="Arial" w:cs="Arial" w:eastAsia="Arial" w:hAnsi="Arial"/>
          <w:sz w:val="20"/>
          <w:szCs w:val="20"/>
          <w:color w:val="auto"/>
        </w:rPr>
        <w:t>means the:</w:t>
      </w:r>
    </w:p>
    <w:p>
      <w:pPr>
        <w:spacing w:after="0" w:line="117" w:lineRule="exact"/>
        <w:rPr>
          <w:sz w:val="20"/>
          <w:szCs w:val="20"/>
          <w:color w:val="auto"/>
        </w:rPr>
      </w:pPr>
    </w:p>
    <w:p>
      <w:pPr>
        <w:ind w:left="1080" w:hanging="360"/>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unauthorized access;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entry of an unauthorized application or software program,</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into the </w:t>
      </w:r>
      <w:r>
        <w:rPr>
          <w:rFonts w:ascii="Arial" w:cs="Arial" w:eastAsia="Arial" w:hAnsi="Arial"/>
          <w:sz w:val="20"/>
          <w:szCs w:val="20"/>
          <w:b w:val="1"/>
          <w:bCs w:val="1"/>
          <w:color w:val="auto"/>
        </w:rPr>
        <w:t>Assured’s Network</w:t>
      </w:r>
      <w:r>
        <w:rPr>
          <w:rFonts w:ascii="Arial" w:cs="Arial" w:eastAsia="Arial" w:hAnsi="Arial"/>
          <w:sz w:val="20"/>
          <w:szCs w:val="20"/>
          <w:color w:val="auto"/>
        </w:rPr>
        <w:t xml:space="preserve">, by any entity or natural person, except an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or any authorized representative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Original </w:t>
      </w:r>
      <w:r>
        <w:rPr>
          <w:rFonts w:ascii="Arial" w:cs="Arial" w:eastAsia="Arial" w:hAnsi="Arial"/>
          <w:sz w:val="20"/>
          <w:szCs w:val="20"/>
          <w:color w:val="auto"/>
        </w:rPr>
        <w:t>means the first rendering or archetype and does not include photocopies or electronic</w:t>
      </w:r>
      <w:r>
        <w:rPr>
          <w:rFonts w:ascii="Arial" w:cs="Arial" w:eastAsia="Arial" w:hAnsi="Arial"/>
          <w:sz w:val="20"/>
          <w:szCs w:val="20"/>
          <w:b w:val="1"/>
          <w:bCs w:val="1"/>
          <w:color w:val="auto"/>
        </w:rPr>
        <w:t xml:space="preserve"> </w:t>
      </w:r>
      <w:r>
        <w:rPr>
          <w:rFonts w:ascii="Arial" w:cs="Arial" w:eastAsia="Arial" w:hAnsi="Arial"/>
          <w:sz w:val="20"/>
          <w:szCs w:val="20"/>
          <w:color w:val="auto"/>
        </w:rPr>
        <w:t>transmissions even if received and printed.</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Processor </w:t>
      </w:r>
      <w:r>
        <w:rPr>
          <w:rFonts w:ascii="Arial" w:cs="Arial" w:eastAsia="Arial" w:hAnsi="Arial"/>
          <w:sz w:val="20"/>
          <w:szCs w:val="20"/>
          <w:color w:val="auto"/>
        </w:rPr>
        <w:t>means an employee of any entity authorized by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to perform data processing of the</w:t>
      </w:r>
      <w:r>
        <w:rPr>
          <w:rFonts w:ascii="Arial" w:cs="Arial" w:eastAsia="Arial" w:hAnsi="Arial"/>
          <w:sz w:val="20"/>
          <w:szCs w:val="20"/>
          <w:b w:val="1"/>
          <w:bCs w:val="1"/>
          <w:color w:val="auto"/>
        </w:rPr>
        <w:t xml:space="preserve"> Assured’s </w:t>
      </w:r>
      <w:r>
        <w:rPr>
          <w:rFonts w:ascii="Arial" w:cs="Arial" w:eastAsia="Arial" w:hAnsi="Arial"/>
          <w:sz w:val="20"/>
          <w:szCs w:val="20"/>
          <w:color w:val="auto"/>
        </w:rPr>
        <w:t>checks and accounting records related to such checks.</w:t>
      </w:r>
      <w:r>
        <w:rPr>
          <w:rFonts w:ascii="Arial" w:cs="Arial" w:eastAsia="Arial" w:hAnsi="Arial"/>
          <w:sz w:val="20"/>
          <w:szCs w:val="20"/>
          <w:b w:val="1"/>
          <w:bCs w:val="1"/>
          <w:color w:val="auto"/>
        </w:rPr>
        <w:t xml:space="preserve"> Processor </w:t>
      </w:r>
      <w:r>
        <w:rPr>
          <w:rFonts w:ascii="Arial" w:cs="Arial" w:eastAsia="Arial" w:hAnsi="Arial"/>
          <w:sz w:val="20"/>
          <w:szCs w:val="20"/>
          <w:color w:val="auto"/>
        </w:rPr>
        <w:t>does not include any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of a Federal Reserve Bank or clearing house.</w:t>
      </w:r>
    </w:p>
    <w:p>
      <w:pPr>
        <w:spacing w:after="0" w:line="123"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b w:val="1"/>
          <w:bCs w:val="1"/>
          <w:color w:val="auto"/>
        </w:rPr>
        <w:t xml:space="preserve">Property </w:t>
      </w:r>
      <w:r>
        <w:rPr>
          <w:rFonts w:ascii="Arial" w:cs="Arial" w:eastAsia="Arial" w:hAnsi="Arial"/>
          <w:sz w:val="20"/>
          <w:szCs w:val="20"/>
          <w:color w:val="auto"/>
        </w:rPr>
        <w:t>means</w:t>
      </w:r>
      <w:r>
        <w:rPr>
          <w:rFonts w:ascii="Arial" w:cs="Arial" w:eastAsia="Arial" w:hAnsi="Arial"/>
          <w:sz w:val="20"/>
          <w:szCs w:val="20"/>
          <w:b w:val="1"/>
          <w:bCs w:val="1"/>
          <w:color w:val="auto"/>
        </w:rPr>
        <w:t xml:space="preserve"> Money</w:t>
      </w:r>
      <w:r>
        <w:rPr>
          <w:rFonts w:ascii="Arial" w:cs="Arial" w:eastAsia="Arial" w:hAnsi="Arial"/>
          <w:sz w:val="20"/>
          <w:szCs w:val="20"/>
          <w:color w:val="auto"/>
        </w:rPr>
        <w:t>;</w:t>
      </w:r>
      <w:r>
        <w:rPr>
          <w:rFonts w:ascii="Arial" w:cs="Arial" w:eastAsia="Arial" w:hAnsi="Arial"/>
          <w:sz w:val="20"/>
          <w:szCs w:val="20"/>
          <w:b w:val="1"/>
          <w:bCs w:val="1"/>
          <w:color w:val="auto"/>
        </w:rPr>
        <w:t xml:space="preserve"> Securities</w:t>
      </w:r>
      <w:r>
        <w:rPr>
          <w:rFonts w:ascii="Arial" w:cs="Arial" w:eastAsia="Arial" w:hAnsi="Arial"/>
          <w:sz w:val="20"/>
          <w:szCs w:val="20"/>
          <w:color w:val="auto"/>
        </w:rPr>
        <w:t>;</w:t>
      </w:r>
      <w:r>
        <w:rPr>
          <w:rFonts w:ascii="Arial" w:cs="Arial" w:eastAsia="Arial" w:hAnsi="Arial"/>
          <w:sz w:val="20"/>
          <w:szCs w:val="20"/>
          <w:b w:val="1"/>
          <w:bCs w:val="1"/>
          <w:color w:val="auto"/>
        </w:rPr>
        <w:t xml:space="preserve"> Initial Transaction Statement</w:t>
      </w:r>
      <w:r>
        <w:rPr>
          <w:rFonts w:ascii="Arial" w:cs="Arial" w:eastAsia="Arial" w:hAnsi="Arial"/>
          <w:sz w:val="20"/>
          <w:szCs w:val="20"/>
          <w:color w:val="auto"/>
        </w:rPr>
        <w:t>;</w:t>
      </w:r>
      <w:r>
        <w:rPr>
          <w:rFonts w:ascii="Arial" w:cs="Arial" w:eastAsia="Arial" w:hAnsi="Arial"/>
          <w:sz w:val="20"/>
          <w:szCs w:val="20"/>
          <w:b w:val="1"/>
          <w:bCs w:val="1"/>
          <w:color w:val="auto"/>
        </w:rPr>
        <w:t xml:space="preserve"> Negotiable Instrument</w:t>
      </w:r>
      <w:r>
        <w:rPr>
          <w:rFonts w:ascii="Arial" w:cs="Arial" w:eastAsia="Arial" w:hAnsi="Arial"/>
          <w:sz w:val="20"/>
          <w:szCs w:val="20"/>
          <w:color w:val="auto"/>
        </w:rPr>
        <w:t>;</w:t>
      </w:r>
      <w:r>
        <w:rPr>
          <w:rFonts w:ascii="Arial" w:cs="Arial" w:eastAsia="Arial" w:hAnsi="Arial"/>
          <w:sz w:val="20"/>
          <w:szCs w:val="20"/>
          <w:b w:val="1"/>
          <w:bCs w:val="1"/>
          <w:color w:val="auto"/>
        </w:rPr>
        <w:t xml:space="preserve"> Certificate of Deposit</w:t>
      </w:r>
      <w:r>
        <w:rPr>
          <w:rFonts w:ascii="Arial" w:cs="Arial" w:eastAsia="Arial" w:hAnsi="Arial"/>
          <w:sz w:val="20"/>
          <w:szCs w:val="20"/>
          <w:color w:val="auto"/>
        </w:rPr>
        <w:t>;</w:t>
      </w:r>
      <w:r>
        <w:rPr>
          <w:rFonts w:ascii="Arial" w:cs="Arial" w:eastAsia="Arial" w:hAnsi="Arial"/>
          <w:sz w:val="20"/>
          <w:szCs w:val="20"/>
          <w:b w:val="1"/>
          <w:bCs w:val="1"/>
          <w:color w:val="auto"/>
        </w:rPr>
        <w:t xml:space="preserve"> Acceptance</w:t>
      </w:r>
      <w:r>
        <w:rPr>
          <w:rFonts w:ascii="Arial" w:cs="Arial" w:eastAsia="Arial" w:hAnsi="Arial"/>
          <w:sz w:val="20"/>
          <w:szCs w:val="20"/>
          <w:color w:val="auto"/>
        </w:rPr>
        <w:t>;</w:t>
      </w:r>
      <w:r>
        <w:rPr>
          <w:rFonts w:ascii="Arial" w:cs="Arial" w:eastAsia="Arial" w:hAnsi="Arial"/>
          <w:sz w:val="20"/>
          <w:szCs w:val="20"/>
          <w:b w:val="1"/>
          <w:bCs w:val="1"/>
          <w:color w:val="auto"/>
        </w:rPr>
        <w:t xml:space="preserve"> Evidence of Debt</w:t>
      </w:r>
      <w:r>
        <w:rPr>
          <w:rFonts w:ascii="Arial" w:cs="Arial" w:eastAsia="Arial" w:hAnsi="Arial"/>
          <w:sz w:val="20"/>
          <w:szCs w:val="20"/>
          <w:color w:val="auto"/>
        </w:rPr>
        <w:t>;</w:t>
      </w:r>
      <w:r>
        <w:rPr>
          <w:rFonts w:ascii="Arial" w:cs="Arial" w:eastAsia="Arial" w:hAnsi="Arial"/>
          <w:sz w:val="20"/>
          <w:szCs w:val="20"/>
          <w:b w:val="1"/>
          <w:bCs w:val="1"/>
          <w:color w:val="auto"/>
        </w:rPr>
        <w:t xml:space="preserve"> Withdrawal Order</w:t>
      </w:r>
      <w:r>
        <w:rPr>
          <w:rFonts w:ascii="Arial" w:cs="Arial" w:eastAsia="Arial" w:hAnsi="Arial"/>
          <w:sz w:val="20"/>
          <w:szCs w:val="20"/>
          <w:color w:val="auto"/>
        </w:rPr>
        <w:t>;</w:t>
      </w:r>
      <w:r>
        <w:rPr>
          <w:rFonts w:ascii="Arial" w:cs="Arial" w:eastAsia="Arial" w:hAnsi="Arial"/>
          <w:sz w:val="20"/>
          <w:szCs w:val="20"/>
          <w:b w:val="1"/>
          <w:bCs w:val="1"/>
          <w:color w:val="auto"/>
        </w:rPr>
        <w:t xml:space="preserve"> Letter of Credit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insurance policy; abstract of title, deed and mortgage on real estate; revenue and other stamps; precious metals in any form; and books of accounts and other </w:t>
      </w:r>
      <w:r>
        <w:rPr>
          <w:rFonts w:ascii="Arial" w:cs="Arial" w:eastAsia="Arial" w:hAnsi="Arial"/>
          <w:sz w:val="20"/>
          <w:szCs w:val="20"/>
          <w:b w:val="1"/>
          <w:bCs w:val="1"/>
          <w:color w:val="auto"/>
        </w:rPr>
        <w:t>Written</w:t>
      </w:r>
      <w:r>
        <w:rPr>
          <w:rFonts w:ascii="Arial" w:cs="Arial" w:eastAsia="Arial" w:hAnsi="Arial"/>
          <w:sz w:val="20"/>
          <w:szCs w:val="20"/>
          <w:color w:val="auto"/>
        </w:rPr>
        <w:t xml:space="preserve"> records, but not electronic data processing records or media.</w:t>
      </w:r>
    </w:p>
    <w:p>
      <w:pPr>
        <w:spacing w:after="0" w:line="122"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Property </w:t>
      </w:r>
      <w:r>
        <w:rPr>
          <w:rFonts w:ascii="Arial" w:cs="Arial" w:eastAsia="Arial" w:hAnsi="Arial"/>
          <w:sz w:val="20"/>
          <w:szCs w:val="20"/>
          <w:color w:val="auto"/>
        </w:rPr>
        <w:t>does not include electronic data or</w:t>
      </w:r>
      <w:r>
        <w:rPr>
          <w:rFonts w:ascii="Arial" w:cs="Arial" w:eastAsia="Arial" w:hAnsi="Arial"/>
          <w:sz w:val="20"/>
          <w:szCs w:val="20"/>
          <w:b w:val="1"/>
          <w:bCs w:val="1"/>
          <w:color w:val="auto"/>
        </w:rPr>
        <w:t xml:space="preserve"> Cryptocurrency</w:t>
      </w:r>
      <w:r>
        <w:rPr>
          <w:rFonts w:ascii="Arial" w:cs="Arial" w:eastAsia="Arial" w:hAnsi="Arial"/>
          <w:sz w:val="20"/>
          <w:szCs w:val="20"/>
          <w:color w:val="auto"/>
        </w:rPr>
        <w:t>.</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8 of 17</w:t>
      </w:r>
    </w:p>
    <w:p>
      <w:pPr>
        <w:sectPr>
          <w:pgSz w:w="12240" w:h="15840" w:orient="portrait"/>
          <w:cols w:equalWidth="0" w:num="1">
            <w:col w:w="10080"/>
          </w:cols>
          <w:pgMar w:left="1080" w:top="714" w:right="1080" w:bottom="156" w:gutter="0" w:footer="0" w:header="0"/>
          <w:type w:val="continuous"/>
        </w:sectPr>
      </w:pPr>
    </w:p>
    <w:bookmarkStart w:id="21" w:name="page22"/>
    <w:bookmarkEnd w:id="21"/>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Securities </w:t>
      </w:r>
      <w:r>
        <w:rPr>
          <w:rFonts w:ascii="Arial" w:cs="Arial" w:eastAsia="Arial" w:hAnsi="Arial"/>
          <w:sz w:val="20"/>
          <w:szCs w:val="20"/>
          <w:color w:val="auto"/>
        </w:rPr>
        <w:t>means either</w:t>
      </w:r>
      <w:r>
        <w:rPr>
          <w:rFonts w:ascii="Arial" w:cs="Arial" w:eastAsia="Arial" w:hAnsi="Arial"/>
          <w:sz w:val="20"/>
          <w:szCs w:val="20"/>
          <w:b w:val="1"/>
          <w:bCs w:val="1"/>
          <w:color w:val="auto"/>
        </w:rPr>
        <w:t xml:space="preserve"> Certificated Securities </w:t>
      </w:r>
      <w:r>
        <w:rPr>
          <w:rFonts w:ascii="Arial" w:cs="Arial" w:eastAsia="Arial" w:hAnsi="Arial"/>
          <w:sz w:val="20"/>
          <w:szCs w:val="20"/>
          <w:color w:val="auto"/>
        </w:rPr>
        <w:t>or</w:t>
      </w:r>
      <w:r>
        <w:rPr>
          <w:rFonts w:ascii="Arial" w:cs="Arial" w:eastAsia="Arial" w:hAnsi="Arial"/>
          <w:sz w:val="20"/>
          <w:szCs w:val="20"/>
          <w:b w:val="1"/>
          <w:bCs w:val="1"/>
          <w:color w:val="auto"/>
        </w:rPr>
        <w:t xml:space="preserve"> Uncertificated Securities</w:t>
      </w:r>
      <w:r>
        <w:rPr>
          <w:rFonts w:ascii="Arial" w:cs="Arial" w:eastAsia="Arial" w:hAnsi="Arial"/>
          <w:sz w:val="20"/>
          <w:szCs w:val="20"/>
          <w:color w:val="auto"/>
        </w:rPr>
        <w:t>.</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Single Loss </w:t>
      </w:r>
      <w:r>
        <w:rPr>
          <w:rFonts w:ascii="Arial" w:cs="Arial" w:eastAsia="Arial" w:hAnsi="Arial"/>
          <w:sz w:val="20"/>
          <w:szCs w:val="20"/>
          <w:color w:val="auto"/>
        </w:rPr>
        <w:t>means all covered loss, court costs, and attorneys’ fees resulting from:</w:t>
      </w:r>
    </w:p>
    <w:p>
      <w:pPr>
        <w:spacing w:after="0" w:line="117" w:lineRule="exact"/>
        <w:rPr>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any one act of burglary, robbery or attempt at either, in which no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is implicated;</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any one act or series of related acts on the part of any natural person resulting in the damage, destruction, or misplacement of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all acts other than those specified in (1) and (2) of this definition, caused by any natural person or in which such natural person is implicated;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one event not specified in (1), (2) or (3) of this definition.</w:t>
      </w:r>
    </w:p>
    <w:p>
      <w:pPr>
        <w:spacing w:after="0" w:line="121"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b w:val="1"/>
          <w:bCs w:val="1"/>
          <w:color w:val="auto"/>
        </w:rPr>
        <w:t xml:space="preserve">Transportation Company </w:t>
      </w:r>
      <w:r>
        <w:rPr>
          <w:rFonts w:ascii="Arial" w:cs="Arial" w:eastAsia="Arial" w:hAnsi="Arial"/>
          <w:sz w:val="20"/>
          <w:szCs w:val="20"/>
          <w:color w:val="auto"/>
        </w:rPr>
        <w:t>means any organization which provides its own or its leased vehicles for</w:t>
      </w:r>
      <w:r>
        <w:rPr>
          <w:rFonts w:ascii="Arial" w:cs="Arial" w:eastAsia="Arial" w:hAnsi="Arial"/>
          <w:sz w:val="20"/>
          <w:szCs w:val="20"/>
          <w:b w:val="1"/>
          <w:bCs w:val="1"/>
          <w:color w:val="auto"/>
        </w:rPr>
        <w:t xml:space="preserve"> </w:t>
      </w:r>
      <w:r>
        <w:rPr>
          <w:rFonts w:ascii="Arial" w:cs="Arial" w:eastAsia="Arial" w:hAnsi="Arial"/>
          <w:sz w:val="20"/>
          <w:szCs w:val="20"/>
          <w:color w:val="auto"/>
        </w:rPr>
        <w:t>transportation or which provides freight forwarding or air express services.</w:t>
      </w:r>
    </w:p>
    <w:p>
      <w:pPr>
        <w:spacing w:after="0" w:line="123"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b w:val="1"/>
          <w:bCs w:val="1"/>
          <w:color w:val="auto"/>
        </w:rPr>
        <w:t xml:space="preserve">Uncertificated Security </w:t>
      </w:r>
      <w:r>
        <w:rPr>
          <w:rFonts w:ascii="Arial" w:cs="Arial" w:eastAsia="Arial" w:hAnsi="Arial"/>
          <w:sz w:val="20"/>
          <w:szCs w:val="20"/>
          <w:color w:val="auto"/>
        </w:rPr>
        <w:t>means a share, participation or other interest in property of the issuer, or an</w:t>
      </w:r>
      <w:r>
        <w:rPr>
          <w:rFonts w:ascii="Arial" w:cs="Arial" w:eastAsia="Arial" w:hAnsi="Arial"/>
          <w:sz w:val="20"/>
          <w:szCs w:val="20"/>
          <w:b w:val="1"/>
          <w:bCs w:val="1"/>
          <w:color w:val="auto"/>
        </w:rPr>
        <w:t xml:space="preserve"> </w:t>
      </w:r>
      <w:r>
        <w:rPr>
          <w:rFonts w:ascii="Arial" w:cs="Arial" w:eastAsia="Arial" w:hAnsi="Arial"/>
          <w:sz w:val="20"/>
          <w:szCs w:val="20"/>
          <w:color w:val="auto"/>
        </w:rPr>
        <w:t>enterprise of the issuer, or an obligation of the issuer, which is:</w:t>
      </w:r>
    </w:p>
    <w:p>
      <w:pPr>
        <w:spacing w:after="0" w:line="123" w:lineRule="exact"/>
        <w:rPr>
          <w:sz w:val="20"/>
          <w:szCs w:val="20"/>
          <w:color w:val="auto"/>
        </w:rPr>
      </w:pPr>
    </w:p>
    <w:p>
      <w:pPr>
        <w:ind w:left="1080" w:hanging="360"/>
        <w:spacing w:after="0" w:line="236" w:lineRule="auto"/>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not represented by an instrument and the transfer of which is registered on books maintained for that purpose by or on behalf of the issuer;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of a type commonly dealt in on securities exchanges or markets; and</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2"/>
        </w:numPr>
        <w:rPr>
          <w:rFonts w:ascii="Arial" w:cs="Arial" w:eastAsia="Arial" w:hAnsi="Arial"/>
          <w:sz w:val="20"/>
          <w:szCs w:val="20"/>
          <w:color w:val="auto"/>
        </w:rPr>
      </w:pPr>
      <w:r>
        <w:rPr>
          <w:rFonts w:ascii="Arial" w:cs="Arial" w:eastAsia="Arial" w:hAnsi="Arial"/>
          <w:sz w:val="20"/>
          <w:szCs w:val="20"/>
          <w:color w:val="auto"/>
        </w:rPr>
        <w:t>either one of a class or series or by its terms divisible into a class or series of shares, participations, interests or obligations.</w:t>
      </w:r>
    </w:p>
    <w:p>
      <w:pPr>
        <w:spacing w:after="0" w:line="123"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b w:val="1"/>
          <w:bCs w:val="1"/>
          <w:color w:val="auto"/>
        </w:rPr>
        <w:t xml:space="preserve">Voice Initiated Funds Transfer Instruction </w:t>
      </w:r>
      <w:r>
        <w:rPr>
          <w:rFonts w:ascii="Arial" w:cs="Arial" w:eastAsia="Arial" w:hAnsi="Arial"/>
          <w:sz w:val="20"/>
          <w:szCs w:val="20"/>
          <w:color w:val="auto"/>
        </w:rPr>
        <w:t>means those oral instructions which authorize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transfer of </w:t>
      </w:r>
      <w:r>
        <w:rPr>
          <w:rFonts w:ascii="Arial" w:cs="Arial" w:eastAsia="Arial" w:hAnsi="Arial"/>
          <w:sz w:val="20"/>
          <w:szCs w:val="20"/>
          <w:b w:val="1"/>
          <w:bCs w:val="1"/>
          <w:color w:val="auto"/>
        </w:rPr>
        <w:t>Money</w:t>
      </w:r>
      <w:r>
        <w:rPr>
          <w:rFonts w:ascii="Arial" w:cs="Arial" w:eastAsia="Arial" w:hAnsi="Arial"/>
          <w:sz w:val="20"/>
          <w:szCs w:val="20"/>
          <w:color w:val="auto"/>
        </w:rPr>
        <w:t xml:space="preserve"> in a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account, or of a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w:t>
      </w:r>
      <w:r>
        <w:rPr>
          <w:rFonts w:ascii="Arial" w:cs="Arial" w:eastAsia="Arial" w:hAnsi="Arial"/>
          <w:sz w:val="20"/>
          <w:szCs w:val="20"/>
          <w:b w:val="1"/>
          <w:bCs w:val="1"/>
          <w:color w:val="auto"/>
        </w:rPr>
        <w:t>Securities</w:t>
      </w:r>
      <w:r>
        <w:rPr>
          <w:rFonts w:ascii="Arial" w:cs="Arial" w:eastAsia="Arial" w:hAnsi="Arial"/>
          <w:sz w:val="20"/>
          <w:szCs w:val="20"/>
          <w:color w:val="auto"/>
        </w:rPr>
        <w:t>, and which are:</w:t>
      </w:r>
    </w:p>
    <w:p>
      <w:pPr>
        <w:spacing w:after="0" w:line="117" w:lineRule="exact"/>
        <w:rPr>
          <w:sz w:val="20"/>
          <w:szCs w:val="20"/>
          <w:color w:val="auto"/>
        </w:rPr>
      </w:pPr>
    </w:p>
    <w:p>
      <w:pPr>
        <w:ind w:left="1080" w:hanging="360"/>
        <w:spacing w:after="0"/>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made over a telecommunications device; and</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directed to those natural persons specifically authorized to receive such instructions by such telecommunications device.</w:t>
      </w:r>
    </w:p>
    <w:p>
      <w:pPr>
        <w:spacing w:after="0" w:line="123" w:lineRule="exact"/>
        <w:rPr>
          <w:sz w:val="20"/>
          <w:szCs w:val="20"/>
          <w:color w:val="auto"/>
        </w:rPr>
      </w:pPr>
    </w:p>
    <w:p>
      <w:pPr>
        <w:jc w:val="both"/>
        <w:ind w:left="720"/>
        <w:spacing w:after="0"/>
        <w:rPr>
          <w:sz w:val="20"/>
          <w:szCs w:val="20"/>
          <w:color w:val="auto"/>
        </w:rPr>
      </w:pPr>
      <w:r>
        <w:rPr>
          <w:rFonts w:ascii="Arial" w:cs="Arial" w:eastAsia="Arial" w:hAnsi="Arial"/>
          <w:sz w:val="20"/>
          <w:szCs w:val="20"/>
          <w:b w:val="1"/>
          <w:bCs w:val="1"/>
          <w:color w:val="auto"/>
        </w:rPr>
        <w:t xml:space="preserve">Withdrawal Order </w:t>
      </w:r>
      <w:r>
        <w:rPr>
          <w:rFonts w:ascii="Arial" w:cs="Arial" w:eastAsia="Arial" w:hAnsi="Arial"/>
          <w:sz w:val="20"/>
          <w:szCs w:val="20"/>
          <w:color w:val="auto"/>
        </w:rPr>
        <w:t>means a non-negotiable instrument, other than an</w:t>
      </w:r>
      <w:r>
        <w:rPr>
          <w:rFonts w:ascii="Arial" w:cs="Arial" w:eastAsia="Arial" w:hAnsi="Arial"/>
          <w:sz w:val="20"/>
          <w:szCs w:val="20"/>
          <w:b w:val="1"/>
          <w:bCs w:val="1"/>
          <w:color w:val="auto"/>
        </w:rPr>
        <w:t xml:space="preserve"> Instruction</w:t>
      </w:r>
      <w:r>
        <w:rPr>
          <w:rFonts w:ascii="Arial" w:cs="Arial" w:eastAsia="Arial" w:hAnsi="Arial"/>
          <w:sz w:val="20"/>
          <w:szCs w:val="20"/>
          <w:color w:val="auto"/>
        </w:rPr>
        <w:t>, signed by a</w:t>
      </w:r>
      <w:r>
        <w:rPr>
          <w:rFonts w:ascii="Arial" w:cs="Arial" w:eastAsia="Arial" w:hAnsi="Arial"/>
          <w:sz w:val="20"/>
          <w:szCs w:val="20"/>
          <w:b w:val="1"/>
          <w:bCs w:val="1"/>
          <w:color w:val="auto"/>
        </w:rPr>
        <w:t xml:space="preserve"> Customer </w:t>
      </w:r>
      <w:r>
        <w:rPr>
          <w:rFonts w:ascii="Arial" w:cs="Arial" w:eastAsia="Arial" w:hAnsi="Arial"/>
          <w:sz w:val="20"/>
          <w:szCs w:val="20"/>
          <w:color w:val="auto"/>
        </w:rPr>
        <w:t>authorizing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to debit the</w:t>
      </w:r>
      <w:r>
        <w:rPr>
          <w:rFonts w:ascii="Arial" w:cs="Arial" w:eastAsia="Arial" w:hAnsi="Arial"/>
          <w:sz w:val="20"/>
          <w:szCs w:val="20"/>
          <w:b w:val="1"/>
          <w:bCs w:val="1"/>
          <w:color w:val="auto"/>
        </w:rPr>
        <w:t xml:space="preserve"> Customer’s </w:t>
      </w:r>
      <w:r>
        <w:rPr>
          <w:rFonts w:ascii="Arial" w:cs="Arial" w:eastAsia="Arial" w:hAnsi="Arial"/>
          <w:sz w:val="20"/>
          <w:szCs w:val="20"/>
          <w:color w:val="auto"/>
        </w:rPr>
        <w:t>account in the amount of funds stated</w:t>
      </w:r>
      <w:r>
        <w:rPr>
          <w:rFonts w:ascii="Arial" w:cs="Arial" w:eastAsia="Arial" w:hAnsi="Arial"/>
          <w:sz w:val="20"/>
          <w:szCs w:val="20"/>
          <w:b w:val="1"/>
          <w:bCs w:val="1"/>
          <w:color w:val="auto"/>
        </w:rPr>
        <w:t xml:space="preserve"> </w:t>
      </w:r>
      <w:r>
        <w:rPr>
          <w:rFonts w:ascii="Arial" w:cs="Arial" w:eastAsia="Arial" w:hAnsi="Arial"/>
          <w:sz w:val="20"/>
          <w:szCs w:val="20"/>
          <w:color w:val="auto"/>
        </w:rPr>
        <w:t>therein.</w:t>
      </w:r>
    </w:p>
    <w:p>
      <w:pPr>
        <w:spacing w:after="0" w:line="337" w:lineRule="exact"/>
        <w:rPr>
          <w:sz w:val="20"/>
          <w:szCs w:val="20"/>
          <w:color w:val="auto"/>
        </w:rPr>
      </w:pPr>
    </w:p>
    <w:p>
      <w:pPr>
        <w:ind w:left="720"/>
        <w:spacing w:after="0"/>
        <w:rPr>
          <w:sz w:val="20"/>
          <w:szCs w:val="20"/>
          <w:color w:val="auto"/>
        </w:rPr>
      </w:pPr>
      <w:r>
        <w:rPr>
          <w:rFonts w:ascii="Arial" w:cs="Arial" w:eastAsia="Arial" w:hAnsi="Arial"/>
          <w:sz w:val="20"/>
          <w:szCs w:val="20"/>
          <w:b w:val="1"/>
          <w:bCs w:val="1"/>
          <w:color w:val="auto"/>
        </w:rPr>
        <w:t xml:space="preserve">Written </w:t>
      </w:r>
      <w:r>
        <w:rPr>
          <w:rFonts w:ascii="Arial" w:cs="Arial" w:eastAsia="Arial" w:hAnsi="Arial"/>
          <w:sz w:val="20"/>
          <w:szCs w:val="20"/>
          <w:color w:val="auto"/>
        </w:rPr>
        <w:t>means expressed through letters or marks placed upon paper and visible to the eye.</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158750</wp:posOffset>
            </wp:positionV>
            <wp:extent cx="64395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9">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spacing w:after="0" w:line="375"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IV.</w:t>
      </w:r>
      <w:r>
        <w:rPr>
          <w:sz w:val="20"/>
          <w:szCs w:val="20"/>
          <w:color w:val="auto"/>
        </w:rPr>
        <w:tab/>
      </w:r>
      <w:r>
        <w:rPr>
          <w:rFonts w:ascii="Arial" w:cs="Arial" w:eastAsia="Arial" w:hAnsi="Arial"/>
          <w:sz w:val="20"/>
          <w:szCs w:val="20"/>
          <w:b w:val="1"/>
          <w:bCs w:val="1"/>
          <w:color w:val="auto"/>
        </w:rPr>
        <w:t>EXCLUSIONS</w:t>
      </w:r>
    </w:p>
    <w:p>
      <w:pPr>
        <w:spacing w:after="0" w:line="117" w:lineRule="exact"/>
        <w:rPr>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General Exclusions – Applicable To All Insuring Clauses</w:t>
      </w:r>
    </w:p>
    <w:p>
      <w:pPr>
        <w:spacing w:after="0" w:line="118"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This Bond does not cover loss resulting directly or indirectly from:</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of such riot, civil commotion, military, naval or usurped power, war or insurrection;</w:t>
      </w:r>
    </w:p>
    <w:p>
      <w:pPr>
        <w:spacing w:after="0" w:line="121" w:lineRule="exact"/>
        <w:rPr>
          <w:rFonts w:ascii="Arial" w:cs="Arial" w:eastAsia="Arial" w:hAnsi="Arial"/>
          <w:sz w:val="20"/>
          <w:szCs w:val="20"/>
          <w:color w:val="auto"/>
        </w:rPr>
      </w:pPr>
    </w:p>
    <w:p>
      <w:pPr>
        <w:ind w:left="1080" w:hanging="360"/>
        <w:spacing w:after="0"/>
        <w:tabs>
          <w:tab w:leader="none" w:pos="10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effects of nuclear fission or fusion, radioactivity, or chemical or biological contamination;</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4"/>
        </w:numPr>
        <w:rPr>
          <w:rFonts w:ascii="Arial" w:cs="Arial" w:eastAsia="Arial" w:hAnsi="Arial"/>
          <w:sz w:val="20"/>
          <w:szCs w:val="20"/>
          <w:color w:val="auto"/>
        </w:rPr>
      </w:pPr>
      <w:r>
        <w:rPr>
          <w:rFonts w:ascii="Arial" w:cs="Arial" w:eastAsia="Arial" w:hAnsi="Arial"/>
          <w:sz w:val="20"/>
          <w:szCs w:val="20"/>
          <w:color w:val="auto"/>
        </w:rPr>
        <w:t xml:space="preserve">the loss of potential income. This Exclusion 1.c., however, shall not apply to interest and dividends accrued to the benefit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any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prior to the discovery of a covered loss, whether or not such accrued interest or dividends have been paid into the account of such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w:t>
      </w:r>
      <w:r>
        <w:rPr>
          <w:rFonts w:ascii="Arial" w:cs="Arial" w:eastAsia="Arial" w:hAnsi="Arial"/>
          <w:sz w:val="20"/>
          <w:szCs w:val="20"/>
          <w:b w:val="1"/>
          <w:bCs w:val="1"/>
          <w:color w:val="auto"/>
        </w:rPr>
        <w:t xml:space="preserve">Customer </w:t>
      </w:r>
      <w:r>
        <w:rPr>
          <w:rFonts w:ascii="Arial" w:cs="Arial" w:eastAsia="Arial" w:hAnsi="Arial"/>
          <w:sz w:val="20"/>
          <w:szCs w:val="20"/>
          <w:color w:val="auto"/>
        </w:rPr>
        <w:t>as of the discovery of such covered loss;</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912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9 of 17</w:t>
      </w:r>
    </w:p>
    <w:p>
      <w:pPr>
        <w:sectPr>
          <w:pgSz w:w="12240" w:h="15840" w:orient="portrait"/>
          <w:cols w:equalWidth="0" w:num="1">
            <w:col w:w="10080"/>
          </w:cols>
          <w:pgMar w:left="1080" w:top="714" w:right="1080" w:bottom="156" w:gutter="0" w:footer="0" w:header="0"/>
          <w:type w:val="continuous"/>
        </w:sectPr>
      </w:pPr>
    </w:p>
    <w:bookmarkStart w:id="22" w:name="page23"/>
    <w:bookmarkEnd w:id="22"/>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0">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damages of any type for which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is legally liable, except compensatory damages, but not multiples thereof, arising from a loss covered under this Bond;</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all costs, fees and expenses incurred by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in establishing the existence of or amount of loss covered under this Bond, except for loss covered under Insuring Clause 8 or 9; or</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as a party to any legal proceeding, even if such legal proceeding results in a loss covered by this Bond;</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indirect or consequential loss of any nature, except for loss covered under Insuring Clause 8 or 9. This Exclusion 1.f., however, shall not apply to interest and dividends accrued to the benefit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any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prior to the discovery of a covered loss, whether or not such accrued interest or dividends have been paid into the account of such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as of the discovery of such covered loss;</w:t>
      </w:r>
    </w:p>
    <w:p>
      <w:pPr>
        <w:spacing w:after="0" w:line="121"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any violation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by any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of any law regulating:</w:t>
      </w:r>
    </w:p>
    <w:p>
      <w:pPr>
        <w:spacing w:after="0" w:line="118" w:lineRule="exact"/>
        <w:rPr>
          <w:rFonts w:ascii="Arial" w:cs="Arial" w:eastAsia="Arial" w:hAnsi="Arial"/>
          <w:sz w:val="20"/>
          <w:szCs w:val="20"/>
          <w:color w:val="auto"/>
        </w:rPr>
      </w:pPr>
    </w:p>
    <w:p>
      <w:pPr>
        <w:ind w:left="1800" w:hanging="360"/>
        <w:spacing w:after="0"/>
        <w:tabs>
          <w:tab w:leader="none" w:pos="1800" w:val="left"/>
        </w:tabs>
        <w:numPr>
          <w:ilvl w:val="2"/>
          <w:numId w:val="45"/>
        </w:numPr>
        <w:rPr>
          <w:rFonts w:ascii="Arial" w:cs="Arial" w:eastAsia="Arial" w:hAnsi="Arial"/>
          <w:sz w:val="20"/>
          <w:szCs w:val="20"/>
          <w:color w:val="auto"/>
        </w:rPr>
      </w:pPr>
      <w:r>
        <w:rPr>
          <w:rFonts w:ascii="Arial" w:cs="Arial" w:eastAsia="Arial" w:hAnsi="Arial"/>
          <w:sz w:val="20"/>
          <w:szCs w:val="20"/>
          <w:color w:val="auto"/>
        </w:rPr>
        <w:t>the issuance, purchase or sale of securities;</w:t>
      </w:r>
    </w:p>
    <w:p>
      <w:pPr>
        <w:spacing w:after="0" w:line="116" w:lineRule="exact"/>
        <w:rPr>
          <w:rFonts w:ascii="Arial" w:cs="Arial" w:eastAsia="Arial" w:hAnsi="Arial"/>
          <w:sz w:val="20"/>
          <w:szCs w:val="20"/>
          <w:color w:val="auto"/>
        </w:rPr>
      </w:pPr>
    </w:p>
    <w:p>
      <w:pPr>
        <w:ind w:left="1800" w:hanging="360"/>
        <w:spacing w:after="0"/>
        <w:tabs>
          <w:tab w:leader="none" w:pos="1800" w:val="left"/>
        </w:tabs>
        <w:numPr>
          <w:ilvl w:val="2"/>
          <w:numId w:val="45"/>
        </w:numPr>
        <w:rPr>
          <w:rFonts w:ascii="Arial" w:cs="Arial" w:eastAsia="Arial" w:hAnsi="Arial"/>
          <w:sz w:val="20"/>
          <w:szCs w:val="20"/>
          <w:color w:val="auto"/>
        </w:rPr>
      </w:pPr>
      <w:r>
        <w:rPr>
          <w:rFonts w:ascii="Arial" w:cs="Arial" w:eastAsia="Arial" w:hAnsi="Arial"/>
          <w:sz w:val="20"/>
          <w:szCs w:val="20"/>
          <w:color w:val="auto"/>
        </w:rPr>
        <w:t>securities transactions on security or commodity exchanges or the over the counter market;</w:t>
      </w:r>
    </w:p>
    <w:p>
      <w:pPr>
        <w:spacing w:after="0" w:line="116" w:lineRule="exact"/>
        <w:rPr>
          <w:rFonts w:ascii="Arial" w:cs="Arial" w:eastAsia="Arial" w:hAnsi="Arial"/>
          <w:sz w:val="20"/>
          <w:szCs w:val="20"/>
          <w:color w:val="auto"/>
        </w:rPr>
      </w:pPr>
    </w:p>
    <w:p>
      <w:pPr>
        <w:ind w:left="1800" w:hanging="360"/>
        <w:spacing w:after="0"/>
        <w:tabs>
          <w:tab w:leader="none" w:pos="1800" w:val="left"/>
        </w:tabs>
        <w:numPr>
          <w:ilvl w:val="2"/>
          <w:numId w:val="45"/>
        </w:numPr>
        <w:rPr>
          <w:rFonts w:ascii="Arial" w:cs="Arial" w:eastAsia="Arial" w:hAnsi="Arial"/>
          <w:sz w:val="20"/>
          <w:szCs w:val="20"/>
          <w:color w:val="auto"/>
        </w:rPr>
      </w:pPr>
      <w:r>
        <w:rPr>
          <w:rFonts w:ascii="Arial" w:cs="Arial" w:eastAsia="Arial" w:hAnsi="Arial"/>
          <w:sz w:val="20"/>
          <w:szCs w:val="20"/>
          <w:color w:val="auto"/>
        </w:rPr>
        <w:t>investment companies; or</w:t>
      </w:r>
    </w:p>
    <w:p>
      <w:pPr>
        <w:spacing w:after="0" w:line="118" w:lineRule="exact"/>
        <w:rPr>
          <w:rFonts w:ascii="Arial" w:cs="Arial" w:eastAsia="Arial" w:hAnsi="Arial"/>
          <w:sz w:val="20"/>
          <w:szCs w:val="20"/>
          <w:color w:val="auto"/>
        </w:rPr>
      </w:pPr>
    </w:p>
    <w:p>
      <w:pPr>
        <w:ind w:left="1800" w:hanging="360"/>
        <w:spacing w:after="0"/>
        <w:tabs>
          <w:tab w:leader="none" w:pos="1800" w:val="left"/>
        </w:tabs>
        <w:numPr>
          <w:ilvl w:val="2"/>
          <w:numId w:val="45"/>
        </w:numPr>
        <w:rPr>
          <w:rFonts w:ascii="Arial" w:cs="Arial" w:eastAsia="Arial" w:hAnsi="Arial"/>
          <w:sz w:val="20"/>
          <w:szCs w:val="20"/>
          <w:color w:val="auto"/>
        </w:rPr>
      </w:pPr>
      <w:r>
        <w:rPr>
          <w:rFonts w:ascii="Arial" w:cs="Arial" w:eastAsia="Arial" w:hAnsi="Arial"/>
          <w:sz w:val="20"/>
          <w:szCs w:val="20"/>
          <w:color w:val="auto"/>
        </w:rPr>
        <w:t>investment advisors; or</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of any rule or regulation made pursuant to any such law;</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the loss or disclosure of confidential information, material or data, while in the care, custody or control of the </w:t>
      </w:r>
      <w:r>
        <w:rPr>
          <w:rFonts w:ascii="Arial" w:cs="Arial" w:eastAsia="Arial" w:hAnsi="Arial"/>
          <w:sz w:val="20"/>
          <w:szCs w:val="20"/>
          <w:b w:val="1"/>
          <w:bCs w:val="1"/>
          <w:color w:val="auto"/>
        </w:rPr>
        <w:t>Assured</w:t>
      </w:r>
      <w:r>
        <w:rPr>
          <w:rFonts w:ascii="Arial" w:cs="Arial" w:eastAsia="Arial" w:hAnsi="Arial"/>
          <w:sz w:val="20"/>
          <w:szCs w:val="20"/>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w:t>
      </w:r>
    </w:p>
    <w:p>
      <w:pPr>
        <w:spacing w:after="0" w:line="127"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fees, costs, fines, penalties or any other expenses incurred by an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which result, directly or indirectly, from the access to or disclosure of an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w:t>
      </w:r>
    </w:p>
    <w:p>
      <w:pPr>
        <w:spacing w:after="0" w:line="121"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liability resulting from disclosure of or acting on material nonpublic information;</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liability assumed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by agreement under any contract, unless loss under this Bond would be covered in the absence of such agreement;</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the dishonest acts of any </w:t>
      </w:r>
      <w:r>
        <w:rPr>
          <w:rFonts w:ascii="Arial" w:cs="Arial" w:eastAsia="Arial" w:hAnsi="Arial"/>
          <w:sz w:val="20"/>
          <w:szCs w:val="20"/>
          <w:b w:val="1"/>
          <w:bCs w:val="1"/>
          <w:color w:val="auto"/>
        </w:rPr>
        <w:t>Director</w:t>
      </w:r>
      <w:r>
        <w:rPr>
          <w:rFonts w:ascii="Arial" w:cs="Arial" w:eastAsia="Arial" w:hAnsi="Arial"/>
          <w:sz w:val="20"/>
          <w:szCs w:val="20"/>
          <w:color w:val="auto"/>
        </w:rPr>
        <w:t xml:space="preserve"> who is not an </w:t>
      </w:r>
      <w:r>
        <w:rPr>
          <w:rFonts w:ascii="Arial" w:cs="Arial" w:eastAsia="Arial" w:hAnsi="Arial"/>
          <w:sz w:val="20"/>
          <w:szCs w:val="20"/>
          <w:b w:val="1"/>
          <w:bCs w:val="1"/>
          <w:color w:val="auto"/>
        </w:rPr>
        <w:t>Employee</w:t>
      </w:r>
      <w:r>
        <w:rPr>
          <w:rFonts w:ascii="Arial" w:cs="Arial" w:eastAsia="Arial" w:hAnsi="Arial"/>
          <w:sz w:val="20"/>
          <w:szCs w:val="20"/>
          <w:color w:val="auto"/>
        </w:rPr>
        <w:t>, acting alone or in collusion with others;</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any modification, damage, destruction, deletion, or corruption of any application or software program within the </w:t>
      </w:r>
      <w:r>
        <w:rPr>
          <w:rFonts w:ascii="Arial" w:cs="Arial" w:eastAsia="Arial" w:hAnsi="Arial"/>
          <w:sz w:val="20"/>
          <w:szCs w:val="20"/>
          <w:b w:val="1"/>
          <w:bCs w:val="1"/>
          <w:color w:val="auto"/>
        </w:rPr>
        <w:t>Assured’s Network</w:t>
      </w:r>
      <w:r>
        <w:rPr>
          <w:rFonts w:ascii="Arial" w:cs="Arial" w:eastAsia="Arial" w:hAnsi="Arial"/>
          <w:sz w:val="20"/>
          <w:szCs w:val="20"/>
          <w:color w:val="auto"/>
        </w:rPr>
        <w:t>, except for loss covered under Insuring Clause 7;</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threat or series of threats to:</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gain access to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w:t>
      </w:r>
      <w:r>
        <w:rPr>
          <w:rFonts w:ascii="Arial" w:cs="Arial" w:eastAsia="Arial" w:hAnsi="Arial"/>
          <w:sz w:val="20"/>
          <w:szCs w:val="20"/>
          <w:b w:val="1"/>
          <w:bCs w:val="1"/>
          <w:color w:val="auto"/>
        </w:rPr>
        <w:t>Computer System</w:t>
      </w:r>
      <w:r>
        <w:rPr>
          <w:rFonts w:ascii="Arial" w:cs="Arial" w:eastAsia="Arial" w:hAnsi="Arial"/>
          <w:sz w:val="20"/>
          <w:szCs w:val="20"/>
          <w:color w:val="auto"/>
        </w:rPr>
        <w:t xml:space="preserve"> and sell or disclose confidential information stored within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w:t>
      </w:r>
      <w:r>
        <w:rPr>
          <w:rFonts w:ascii="Arial" w:cs="Arial" w:eastAsia="Arial" w:hAnsi="Arial"/>
          <w:sz w:val="20"/>
          <w:szCs w:val="20"/>
          <w:b w:val="1"/>
          <w:bCs w:val="1"/>
          <w:color w:val="auto"/>
        </w:rPr>
        <w:t>Computer System</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1"/>
          <w:numId w:val="45"/>
        </w:numPr>
        <w:rPr>
          <w:rFonts w:ascii="Arial" w:cs="Arial" w:eastAsia="Arial" w:hAnsi="Arial"/>
          <w:sz w:val="20"/>
          <w:szCs w:val="20"/>
          <w:color w:val="auto"/>
        </w:rPr>
      </w:pPr>
      <w:r>
        <w:rPr>
          <w:rFonts w:ascii="Arial" w:cs="Arial" w:eastAsia="Arial" w:hAnsi="Arial"/>
          <w:sz w:val="20"/>
          <w:szCs w:val="20"/>
          <w:color w:val="auto"/>
        </w:rPr>
        <w:t xml:space="preserve">modify, damage, destroy, delete, or corrupt any application or software program within the </w:t>
      </w:r>
      <w:r>
        <w:rPr>
          <w:rFonts w:ascii="Arial" w:cs="Arial" w:eastAsia="Arial" w:hAnsi="Arial"/>
          <w:sz w:val="20"/>
          <w:szCs w:val="20"/>
          <w:b w:val="1"/>
          <w:bCs w:val="1"/>
          <w:color w:val="auto"/>
        </w:rPr>
        <w:t>Assured’s Computer System</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costs or expenses of any independent forensic analysts or network security consultants engaged to investigate or assess any actual or alleged threat;</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364"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10 of 17</w:t>
      </w:r>
    </w:p>
    <w:p>
      <w:pPr>
        <w:sectPr>
          <w:pgSz w:w="12240" w:h="15840" w:orient="portrait"/>
          <w:cols w:equalWidth="0" w:num="1">
            <w:col w:w="10080"/>
          </w:cols>
          <w:pgMar w:left="1080" w:top="714" w:right="1080" w:bottom="156" w:gutter="0" w:footer="0" w:header="0"/>
          <w:type w:val="continuous"/>
        </w:sectPr>
      </w:pPr>
    </w:p>
    <w:bookmarkStart w:id="23" w:name="page24"/>
    <w:bookmarkEnd w:id="23"/>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080" w:hanging="360"/>
        <w:spacing w:after="0" w:line="236" w:lineRule="auto"/>
        <w:tabs>
          <w:tab w:leader="none" w:pos="10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 xml:space="preserve">costs or expenses incurred to identify or remediate application or software program errors or vulnerabilities, or costs to update, replace, restore, upgrade, maintain, or improve a </w:t>
      </w:r>
      <w:r>
        <w:rPr>
          <w:rFonts w:ascii="Arial" w:cs="Arial" w:eastAsia="Arial" w:hAnsi="Arial"/>
          <w:sz w:val="20"/>
          <w:szCs w:val="20"/>
          <w:b w:val="1"/>
          <w:bCs w:val="1"/>
          <w:color w:val="auto"/>
        </w:rPr>
        <w:t>Computer</w:t>
      </w:r>
      <w:r>
        <w:rPr>
          <w:rFonts w:ascii="Arial" w:cs="Arial" w:eastAsia="Arial" w:hAnsi="Arial"/>
          <w:sz w:val="20"/>
          <w:szCs w:val="20"/>
          <w:color w:val="auto"/>
        </w:rPr>
        <w:t xml:space="preserve"> </w:t>
      </w:r>
      <w:r>
        <w:rPr>
          <w:rFonts w:ascii="Arial" w:cs="Arial" w:eastAsia="Arial" w:hAnsi="Arial"/>
          <w:sz w:val="20"/>
          <w:szCs w:val="20"/>
          <w:b w:val="1"/>
          <w:bCs w:val="1"/>
          <w:color w:val="auto"/>
        </w:rPr>
        <w:t>System</w:t>
      </w:r>
      <w:r>
        <w:rPr>
          <w:rFonts w:ascii="Arial" w:cs="Arial" w:eastAsia="Arial" w:hAnsi="Arial"/>
          <w:sz w:val="20"/>
          <w:szCs w:val="20"/>
          <w:color w:val="auto"/>
        </w:rPr>
        <w:t>;</w:t>
      </w:r>
    </w:p>
    <w:p>
      <w:pPr>
        <w:spacing w:after="0" w:line="123"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46"/>
        </w:numPr>
        <w:rPr>
          <w:rFonts w:ascii="Arial" w:cs="Arial" w:eastAsia="Arial" w:hAnsi="Arial"/>
          <w:sz w:val="20"/>
          <w:szCs w:val="20"/>
          <w:color w:val="auto"/>
        </w:rPr>
      </w:pPr>
      <w:r>
        <w:rPr>
          <w:rFonts w:ascii="Arial" w:cs="Arial" w:eastAsia="Arial" w:hAnsi="Arial"/>
          <w:sz w:val="20"/>
          <w:szCs w:val="20"/>
          <w:color w:val="auto"/>
        </w:rPr>
        <w:t>costs or expenses incurred to replace, restore, recreate, collect, or recover any application or software program;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46"/>
        </w:numPr>
        <w:rPr>
          <w:rFonts w:ascii="Arial" w:cs="Arial" w:eastAsia="Arial" w:hAnsi="Arial"/>
          <w:sz w:val="20"/>
          <w:szCs w:val="20"/>
          <w:color w:val="auto"/>
        </w:rPr>
      </w:pPr>
      <w:r>
        <w:rPr>
          <w:rFonts w:ascii="Arial" w:cs="Arial" w:eastAsia="Arial" w:hAnsi="Arial"/>
          <w:sz w:val="20"/>
          <w:szCs w:val="20"/>
          <w:b w:val="1"/>
          <w:bCs w:val="1"/>
          <w:color w:val="auto"/>
        </w:rPr>
        <w:t>Cryptocurrency</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720" w:right="2180" w:hanging="360"/>
        <w:spacing w:after="0" w:line="357" w:lineRule="auto"/>
        <w:tabs>
          <w:tab w:leader="none" w:pos="720" w:val="left"/>
        </w:tabs>
        <w:numPr>
          <w:ilvl w:val="0"/>
          <w:numId w:val="47"/>
        </w:numPr>
        <w:rPr>
          <w:rFonts w:ascii="Arial" w:cs="Arial" w:eastAsia="Arial" w:hAnsi="Arial"/>
          <w:sz w:val="20"/>
          <w:szCs w:val="20"/>
          <w:color w:val="auto"/>
        </w:rPr>
      </w:pPr>
      <w:r>
        <w:rPr>
          <w:rFonts w:ascii="Arial" w:cs="Arial" w:eastAsia="Arial" w:hAnsi="Arial"/>
          <w:sz w:val="20"/>
          <w:szCs w:val="20"/>
          <w:color w:val="auto"/>
        </w:rPr>
        <w:t>Specific Exclusions – Applicable To All Insuring Clauses Except Insuring Clause 1 This Bond does not cover loss resulting directly or indirectly from:</w:t>
      </w:r>
    </w:p>
    <w:p>
      <w:pPr>
        <w:spacing w:after="0" w:line="5" w:lineRule="exact"/>
        <w:rPr>
          <w:rFonts w:ascii="Arial" w:cs="Arial" w:eastAsia="Arial" w:hAnsi="Arial"/>
          <w:sz w:val="20"/>
          <w:szCs w:val="20"/>
          <w:color w:val="auto"/>
        </w:rPr>
      </w:pPr>
    </w:p>
    <w:p>
      <w:pPr>
        <w:ind w:left="1080" w:hanging="360"/>
        <w:spacing w:after="0"/>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acts of an </w:t>
      </w:r>
      <w:r>
        <w:rPr>
          <w:rFonts w:ascii="Arial" w:cs="Arial" w:eastAsia="Arial" w:hAnsi="Arial"/>
          <w:sz w:val="20"/>
          <w:szCs w:val="20"/>
          <w:b w:val="1"/>
          <w:bCs w:val="1"/>
          <w:color w:val="auto"/>
        </w:rPr>
        <w:t>Employee</w:t>
      </w:r>
      <w:r>
        <w:rPr>
          <w:rFonts w:ascii="Arial" w:cs="Arial" w:eastAsia="Arial" w:hAnsi="Arial"/>
          <w:sz w:val="20"/>
          <w:szCs w:val="20"/>
          <w:color w:val="auto"/>
        </w:rPr>
        <w:t>, except for loss covered under:</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47"/>
        </w:numPr>
        <w:rPr>
          <w:rFonts w:ascii="Arial" w:cs="Arial" w:eastAsia="Arial" w:hAnsi="Arial"/>
          <w:sz w:val="20"/>
          <w:szCs w:val="20"/>
          <w:color w:val="auto"/>
        </w:rPr>
      </w:pPr>
      <w:r>
        <w:rPr>
          <w:rFonts w:ascii="Arial" w:cs="Arial" w:eastAsia="Arial" w:hAnsi="Arial"/>
          <w:sz w:val="20"/>
          <w:szCs w:val="20"/>
          <w:color w:val="auto"/>
        </w:rPr>
        <w:t xml:space="preserve">Insuring Clause 2 or 3 which results directly from misplacement, mysterious unexplainable disappearance, or damage or destruction of </w:t>
      </w:r>
      <w:r>
        <w:rPr>
          <w:rFonts w:ascii="Arial" w:cs="Arial" w:eastAsia="Arial" w:hAnsi="Arial"/>
          <w:sz w:val="20"/>
          <w:szCs w:val="20"/>
          <w:b w:val="1"/>
          <w:bCs w:val="1"/>
          <w:color w:val="auto"/>
        </w:rPr>
        <w:t>Property</w:t>
      </w:r>
      <w:r>
        <w:rPr>
          <w:rFonts w:ascii="Arial" w:cs="Arial" w:eastAsia="Arial" w:hAnsi="Arial"/>
          <w:sz w:val="20"/>
          <w:szCs w:val="20"/>
          <w:color w:val="auto"/>
        </w:rPr>
        <w:t>; or</w:t>
      </w:r>
    </w:p>
    <w:p>
      <w:pPr>
        <w:spacing w:after="0" w:line="117" w:lineRule="exact"/>
        <w:rPr>
          <w:rFonts w:ascii="Arial" w:cs="Arial" w:eastAsia="Arial" w:hAnsi="Arial"/>
          <w:sz w:val="20"/>
          <w:szCs w:val="20"/>
          <w:color w:val="auto"/>
        </w:rPr>
      </w:pPr>
    </w:p>
    <w:p>
      <w:pPr>
        <w:ind w:left="1440" w:hanging="360"/>
        <w:spacing w:after="0"/>
        <w:tabs>
          <w:tab w:leader="none" w:pos="1440" w:val="left"/>
        </w:tabs>
        <w:numPr>
          <w:ilvl w:val="2"/>
          <w:numId w:val="47"/>
        </w:numPr>
        <w:rPr>
          <w:rFonts w:ascii="Arial" w:cs="Arial" w:eastAsia="Arial" w:hAnsi="Arial"/>
          <w:sz w:val="20"/>
          <w:szCs w:val="20"/>
          <w:color w:val="auto"/>
        </w:rPr>
      </w:pPr>
      <w:r>
        <w:rPr>
          <w:rFonts w:ascii="Arial" w:cs="Arial" w:eastAsia="Arial" w:hAnsi="Arial"/>
          <w:sz w:val="20"/>
          <w:szCs w:val="20"/>
          <w:color w:val="auto"/>
        </w:rPr>
        <w:t>Insuring Clause 11;</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surrender of a ransom or extortion payment away from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premises as a result of a threat to do bodily harm to any person, or to do damage to the premises or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of the </w:t>
      </w:r>
      <w:r>
        <w:rPr>
          <w:rFonts w:ascii="Arial" w:cs="Arial" w:eastAsia="Arial" w:hAnsi="Arial"/>
          <w:sz w:val="20"/>
          <w:szCs w:val="20"/>
          <w:b w:val="1"/>
          <w:bCs w:val="1"/>
          <w:color w:val="auto"/>
        </w:rPr>
        <w:t>Assured</w:t>
      </w:r>
      <w:r>
        <w:rPr>
          <w:rFonts w:ascii="Arial" w:cs="Arial" w:eastAsia="Arial" w:hAnsi="Arial"/>
          <w:sz w:val="20"/>
          <w:szCs w:val="20"/>
          <w:color w:val="auto"/>
        </w:rPr>
        <w:t>, except for loss covered under Insuring Clause 3.b.;</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at the time of such payment or withdrawal;</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any </w:t>
      </w:r>
      <w:r>
        <w:rPr>
          <w:rFonts w:ascii="Arial" w:cs="Arial" w:eastAsia="Arial" w:hAnsi="Arial"/>
          <w:sz w:val="20"/>
          <w:szCs w:val="20"/>
          <w:b w:val="1"/>
          <w:bCs w:val="1"/>
          <w:color w:val="auto"/>
        </w:rPr>
        <w:t>Uncertificated Security</w:t>
      </w:r>
      <w:r>
        <w:rPr>
          <w:rFonts w:ascii="Arial" w:cs="Arial" w:eastAsia="Arial" w:hAnsi="Arial"/>
          <w:sz w:val="20"/>
          <w:szCs w:val="20"/>
          <w:color w:val="auto"/>
        </w:rPr>
        <w:t>, except for loss covered under Insuring Clause 7;</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loss of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while:</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47"/>
        </w:numPr>
        <w:rPr>
          <w:rFonts w:ascii="Arial" w:cs="Arial" w:eastAsia="Arial" w:hAnsi="Arial"/>
          <w:sz w:val="20"/>
          <w:szCs w:val="20"/>
          <w:color w:val="auto"/>
        </w:rPr>
      </w:pPr>
      <w:r>
        <w:rPr>
          <w:rFonts w:ascii="Arial" w:cs="Arial" w:eastAsia="Arial" w:hAnsi="Arial"/>
          <w:sz w:val="20"/>
          <w:szCs w:val="20"/>
          <w:color w:val="auto"/>
        </w:rPr>
        <w:t>in the mail;</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47"/>
        </w:numPr>
        <w:rPr>
          <w:rFonts w:ascii="Arial" w:cs="Arial" w:eastAsia="Arial" w:hAnsi="Arial"/>
          <w:sz w:val="20"/>
          <w:szCs w:val="20"/>
          <w:color w:val="auto"/>
        </w:rPr>
      </w:pPr>
      <w:r>
        <w:rPr>
          <w:rFonts w:ascii="Arial" w:cs="Arial" w:eastAsia="Arial" w:hAnsi="Arial"/>
          <w:sz w:val="20"/>
          <w:szCs w:val="20"/>
          <w:color w:val="auto"/>
        </w:rPr>
        <w:t xml:space="preserve">in the custody of a </w:t>
      </w:r>
      <w:r>
        <w:rPr>
          <w:rFonts w:ascii="Arial" w:cs="Arial" w:eastAsia="Arial" w:hAnsi="Arial"/>
          <w:sz w:val="20"/>
          <w:szCs w:val="20"/>
          <w:b w:val="1"/>
          <w:bCs w:val="1"/>
          <w:color w:val="auto"/>
        </w:rPr>
        <w:t>Transportation Company</w:t>
      </w:r>
      <w:r>
        <w:rPr>
          <w:rFonts w:ascii="Arial" w:cs="Arial" w:eastAsia="Arial" w:hAnsi="Arial"/>
          <w:sz w:val="20"/>
          <w:szCs w:val="20"/>
          <w:color w:val="auto"/>
        </w:rPr>
        <w:t>, except for loss covered under Insuring Clause 3; or</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47"/>
        </w:numPr>
        <w:rPr>
          <w:rFonts w:ascii="Arial" w:cs="Arial" w:eastAsia="Arial" w:hAnsi="Arial"/>
          <w:sz w:val="20"/>
          <w:szCs w:val="20"/>
          <w:color w:val="auto"/>
        </w:rPr>
      </w:pPr>
      <w:r>
        <w:rPr>
          <w:rFonts w:ascii="Arial" w:cs="Arial" w:eastAsia="Arial" w:hAnsi="Arial"/>
          <w:sz w:val="20"/>
          <w:szCs w:val="20"/>
          <w:color w:val="auto"/>
        </w:rPr>
        <w:t>located on the premises of an armored motor vehicle operator;</w:t>
      </w:r>
    </w:p>
    <w:p>
      <w:pPr>
        <w:spacing w:after="0" w:line="121"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damages resulting from any civil, criminal or other legal proceeding in which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is adjudicated to have engaged in </w:t>
      </w:r>
      <w:r>
        <w:rPr>
          <w:rFonts w:ascii="Arial" w:cs="Arial" w:eastAsia="Arial" w:hAnsi="Arial"/>
          <w:sz w:val="20"/>
          <w:szCs w:val="20"/>
          <w:b w:val="1"/>
          <w:bCs w:val="1"/>
          <w:color w:val="auto"/>
        </w:rPr>
        <w:t>Racketeering</w:t>
      </w:r>
      <w:r>
        <w:rPr>
          <w:rFonts w:ascii="Arial" w:cs="Arial" w:eastAsia="Arial" w:hAnsi="Arial"/>
          <w:sz w:val="20"/>
          <w:szCs w:val="20"/>
          <w:color w:val="auto"/>
        </w:rPr>
        <w:t xml:space="preserve"> activity;</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failure for any reason of a financial or depository institution, its receiver or other liquidator to pay or deliver funds or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to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except for loss of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covered under Insuring Clause 2;</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instructions issued by a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to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when such instructions are made, sent, or originated by a natural person authorized by the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to make, send, or originate any instructions;</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use of credit, debit, charge, access, convenience, identification, cash management, or other cards whether such cards were issued, or purport to have been issued,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by any entity other than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3"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Items of Deposit </w:t>
      </w:r>
      <w:r>
        <w:rPr>
          <w:rFonts w:ascii="Arial" w:cs="Arial" w:eastAsia="Arial" w:hAnsi="Arial"/>
          <w:sz w:val="20"/>
          <w:szCs w:val="20"/>
          <w:color w:val="auto"/>
        </w:rPr>
        <w:t>which are not finally paid for any reason including, but not limited to,</w:t>
      </w:r>
      <w:r>
        <w:rPr>
          <w:rFonts w:ascii="Arial" w:cs="Arial" w:eastAsia="Arial" w:hAnsi="Arial"/>
          <w:sz w:val="20"/>
          <w:szCs w:val="20"/>
          <w:b w:val="1"/>
          <w:bCs w:val="1"/>
          <w:color w:val="auto"/>
        </w:rPr>
        <w:t xml:space="preserve"> Forgery </w:t>
      </w:r>
      <w:r>
        <w:rPr>
          <w:rFonts w:ascii="Arial" w:cs="Arial" w:eastAsia="Arial" w:hAnsi="Arial"/>
          <w:sz w:val="20"/>
          <w:szCs w:val="20"/>
          <w:color w:val="auto"/>
        </w:rPr>
        <w:t>or</w:t>
      </w:r>
      <w:r>
        <w:rPr>
          <w:rFonts w:ascii="Arial" w:cs="Arial" w:eastAsia="Arial" w:hAnsi="Arial"/>
          <w:sz w:val="20"/>
          <w:szCs w:val="20"/>
          <w:b w:val="1"/>
          <w:bCs w:val="1"/>
          <w:color w:val="auto"/>
        </w:rPr>
        <w:t xml:space="preserve"> </w:t>
      </w:r>
      <w:r>
        <w:rPr>
          <w:rFonts w:ascii="Arial" w:cs="Arial" w:eastAsia="Arial" w:hAnsi="Arial"/>
          <w:sz w:val="20"/>
          <w:szCs w:val="20"/>
          <w:color w:val="auto"/>
        </w:rPr>
        <w:t>any other fraud, except for loss covered under Insuring Clause 10;</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acts of any agent, broker, factor, commission merchant, independent contractor, intermediary, finder, or other representative of the same general character of the </w:t>
      </w:r>
      <w:r>
        <w:rPr>
          <w:rFonts w:ascii="Arial" w:cs="Arial" w:eastAsia="Arial" w:hAnsi="Arial"/>
          <w:sz w:val="20"/>
          <w:szCs w:val="20"/>
          <w:b w:val="1"/>
          <w:bCs w:val="1"/>
          <w:color w:val="auto"/>
        </w:rPr>
        <w:t>Assured</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the acts of any employee, agent, broker, factor, commission merchant, independent contractor, intermediary, finder, or other representative of the same general character of any third party, while conducting business with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on behalf of such third party.</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08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5"/>
          <w:szCs w:val="15"/>
          <w:color w:val="auto"/>
        </w:rPr>
        <w:t>Page 11 of 17</w:t>
      </w:r>
    </w:p>
    <w:p>
      <w:pPr>
        <w:sectPr>
          <w:pgSz w:w="12240" w:h="15840" w:orient="portrait"/>
          <w:cols w:equalWidth="0" w:num="1">
            <w:col w:w="10080"/>
          </w:cols>
          <w:pgMar w:left="1080" w:top="714" w:right="1080" w:bottom="156" w:gutter="0" w:footer="0" w:header="0"/>
          <w:type w:val="continuous"/>
        </w:sectPr>
      </w:pPr>
    </w:p>
    <w:bookmarkStart w:id="24" w:name="page25"/>
    <w:bookmarkEnd w:id="24"/>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0" w:right="1300" w:hanging="360"/>
        <w:spacing w:after="0" w:line="358" w:lineRule="auto"/>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Specific Exclusions – Applicable To All Insuring Clauses Except Insuring Clauses 1, 4, and 5 This Bond does not cover loss resulting directly or indirectly from:</w:t>
      </w:r>
    </w:p>
    <w:p>
      <w:pPr>
        <w:spacing w:after="0" w:line="9"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complete or partial non-payment of or default on any loan whether such loan was procured in good faith or through trick, artifice, fraud, or false pretenses, except for loss covered under Insuring Clause 7;</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any </w:t>
      </w:r>
      <w:r>
        <w:rPr>
          <w:rFonts w:ascii="Arial" w:cs="Arial" w:eastAsia="Arial" w:hAnsi="Arial"/>
          <w:sz w:val="20"/>
          <w:szCs w:val="20"/>
          <w:b w:val="1"/>
          <w:bCs w:val="1"/>
          <w:color w:val="auto"/>
        </w:rPr>
        <w:t>Forgery</w:t>
      </w:r>
      <w:r>
        <w:rPr>
          <w:rFonts w:ascii="Arial" w:cs="Arial" w:eastAsia="Arial" w:hAnsi="Arial"/>
          <w:sz w:val="20"/>
          <w:szCs w:val="20"/>
          <w:color w:val="auto"/>
        </w:rPr>
        <w:t xml:space="preserve"> or any alteration, except for loss covered under Insuring Clause 7;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any counterfeit, except for loss covered under Insuring Clause 6.</w:t>
      </w:r>
    </w:p>
    <w:p>
      <w:pPr>
        <w:spacing w:after="0" w:line="116" w:lineRule="exact"/>
        <w:rPr>
          <w:rFonts w:ascii="Arial" w:cs="Arial" w:eastAsia="Arial" w:hAnsi="Arial"/>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Specific Exclusions – Applicable To Insuring Clause 7</w:t>
      </w:r>
    </w:p>
    <w:p>
      <w:pPr>
        <w:spacing w:after="0" w:line="116"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This Bond does not cover loss resulting directly or indirectly from:</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any transfer, payment, or delivery of </w:t>
      </w:r>
      <w:r>
        <w:rPr>
          <w:rFonts w:ascii="Arial" w:cs="Arial" w:eastAsia="Arial" w:hAnsi="Arial"/>
          <w:sz w:val="20"/>
          <w:szCs w:val="20"/>
          <w:b w:val="1"/>
          <w:bCs w:val="1"/>
          <w:color w:val="auto"/>
        </w:rPr>
        <w:t>Money or Securities</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440" w:hanging="360"/>
        <w:spacing w:after="0"/>
        <w:tabs>
          <w:tab w:leader="none" w:pos="1440" w:val="left"/>
        </w:tabs>
        <w:numPr>
          <w:ilvl w:val="2"/>
          <w:numId w:val="48"/>
        </w:numPr>
        <w:rPr>
          <w:rFonts w:ascii="Arial" w:cs="Arial" w:eastAsia="Arial" w:hAnsi="Arial"/>
          <w:sz w:val="20"/>
          <w:szCs w:val="20"/>
          <w:color w:val="auto"/>
        </w:rPr>
      </w:pPr>
      <w:r>
        <w:rPr>
          <w:rFonts w:ascii="Arial" w:cs="Arial" w:eastAsia="Arial" w:hAnsi="Arial"/>
          <w:sz w:val="20"/>
          <w:szCs w:val="20"/>
          <w:color w:val="auto"/>
        </w:rPr>
        <w:t xml:space="preserve">authorized by an </w:t>
      </w:r>
      <w:r>
        <w:rPr>
          <w:rFonts w:ascii="Arial" w:cs="Arial" w:eastAsia="Arial" w:hAnsi="Arial"/>
          <w:sz w:val="20"/>
          <w:szCs w:val="20"/>
          <w:b w:val="1"/>
          <w:bCs w:val="1"/>
          <w:color w:val="auto"/>
        </w:rPr>
        <w:t>Employee</w:t>
      </w:r>
      <w:r>
        <w:rPr>
          <w:rFonts w:ascii="Arial" w:cs="Arial" w:eastAsia="Arial" w:hAnsi="Arial"/>
          <w:sz w:val="20"/>
          <w:szCs w:val="20"/>
          <w:color w:val="auto"/>
        </w:rPr>
        <w:t>; or</w:t>
      </w:r>
    </w:p>
    <w:p>
      <w:pPr>
        <w:spacing w:after="0" w:line="121" w:lineRule="exact"/>
        <w:rPr>
          <w:rFonts w:ascii="Arial" w:cs="Arial" w:eastAsia="Arial" w:hAnsi="Arial"/>
          <w:sz w:val="20"/>
          <w:szCs w:val="20"/>
          <w:color w:val="auto"/>
        </w:rPr>
      </w:pPr>
    </w:p>
    <w:p>
      <w:pPr>
        <w:jc w:val="both"/>
        <w:ind w:left="1440" w:hanging="360"/>
        <w:spacing w:after="0" w:line="236" w:lineRule="auto"/>
        <w:tabs>
          <w:tab w:leader="none" w:pos="1440" w:val="left"/>
        </w:tabs>
        <w:numPr>
          <w:ilvl w:val="2"/>
          <w:numId w:val="48"/>
        </w:numPr>
        <w:rPr>
          <w:rFonts w:ascii="Arial" w:cs="Arial" w:eastAsia="Arial" w:hAnsi="Arial"/>
          <w:sz w:val="20"/>
          <w:szCs w:val="20"/>
          <w:color w:val="auto"/>
        </w:rPr>
      </w:pPr>
      <w:r>
        <w:rPr>
          <w:rFonts w:ascii="Arial" w:cs="Arial" w:eastAsia="Arial" w:hAnsi="Arial"/>
          <w:sz w:val="20"/>
          <w:szCs w:val="20"/>
          <w:color w:val="auto"/>
        </w:rPr>
        <w:t xml:space="preserve">arising out of any misrepresentation received by any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agent, broker, factor, commission merchant, independent contractor, intermediary, finder, or other representative of the same general character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4" w:lineRule="exact"/>
        <w:rPr>
          <w:sz w:val="20"/>
          <w:szCs w:val="20"/>
          <w:color w:val="auto"/>
        </w:rPr>
      </w:pPr>
    </w:p>
    <w:p>
      <w:pPr>
        <w:ind w:left="1080"/>
        <w:spacing w:after="0" w:line="236" w:lineRule="auto"/>
        <w:rPr>
          <w:sz w:val="20"/>
          <w:szCs w:val="20"/>
          <w:color w:val="auto"/>
        </w:rPr>
      </w:pPr>
      <w:r>
        <w:rPr>
          <w:rFonts w:ascii="Arial" w:cs="Arial" w:eastAsia="Arial" w:hAnsi="Arial"/>
          <w:sz w:val="20"/>
          <w:szCs w:val="20"/>
          <w:color w:val="auto"/>
        </w:rPr>
        <w:t>whether such transfer, payment, or delivery was made in good faith or as a result of trick, artifice, fraud, or false pretenses;</w:t>
      </w:r>
    </w:p>
    <w:p>
      <w:pPr>
        <w:spacing w:after="0" w:line="121" w:lineRule="exact"/>
        <w:rPr>
          <w:sz w:val="20"/>
          <w:szCs w:val="20"/>
          <w:color w:val="auto"/>
        </w:rPr>
      </w:pPr>
    </w:p>
    <w:p>
      <w:pPr>
        <w:ind w:left="1080" w:hanging="360"/>
        <w:spacing w:after="0" w:line="236" w:lineRule="auto"/>
        <w:tabs>
          <w:tab w:leader="none" w:pos="10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forged, altered or fraudulent </w:t>
      </w:r>
      <w:r>
        <w:rPr>
          <w:rFonts w:ascii="Arial" w:cs="Arial" w:eastAsia="Arial" w:hAnsi="Arial"/>
          <w:sz w:val="20"/>
          <w:szCs w:val="20"/>
          <w:b w:val="1"/>
          <w:bCs w:val="1"/>
          <w:color w:val="auto"/>
        </w:rPr>
        <w:t>Negotiable Instruments</w:t>
      </w:r>
      <w:r>
        <w:rPr>
          <w:rFonts w:ascii="Arial" w:cs="Arial" w:eastAsia="Arial" w:hAnsi="Arial"/>
          <w:sz w:val="20"/>
          <w:szCs w:val="20"/>
          <w:color w:val="auto"/>
        </w:rPr>
        <w:t xml:space="preserve">,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documents or written instruments used as source documentation for input into a </w:t>
      </w:r>
      <w:r>
        <w:rPr>
          <w:rFonts w:ascii="Arial" w:cs="Arial" w:eastAsia="Arial" w:hAnsi="Arial"/>
          <w:sz w:val="20"/>
          <w:szCs w:val="20"/>
          <w:b w:val="1"/>
          <w:bCs w:val="1"/>
          <w:color w:val="auto"/>
        </w:rPr>
        <w:t>Computer System</w:t>
      </w:r>
      <w:r>
        <w:rPr>
          <w:rFonts w:ascii="Arial" w:cs="Arial" w:eastAsia="Arial" w:hAnsi="Arial"/>
          <w:sz w:val="20"/>
          <w:szCs w:val="20"/>
          <w:color w:val="auto"/>
        </w:rPr>
        <w:t>;</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any investment in </w:t>
      </w:r>
      <w:r>
        <w:rPr>
          <w:rFonts w:ascii="Arial" w:cs="Arial" w:eastAsia="Arial" w:hAnsi="Arial"/>
          <w:sz w:val="20"/>
          <w:szCs w:val="20"/>
          <w:b w:val="1"/>
          <w:bCs w:val="1"/>
          <w:color w:val="auto"/>
        </w:rPr>
        <w:t>Securities</w:t>
      </w:r>
      <w:r>
        <w:rPr>
          <w:rFonts w:ascii="Arial" w:cs="Arial" w:eastAsia="Arial" w:hAnsi="Arial"/>
          <w:sz w:val="20"/>
          <w:szCs w:val="20"/>
          <w:color w:val="auto"/>
        </w:rPr>
        <w:t>, or ownership in any corporation, partnership, real property, commodity or similar instrument, whether or not such investment is genuine or fraudulent;</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mechanical failure, faulty construction, error in design, latent defect, wear and tear, gradual deterioration, electrical disturbance, the </w:t>
      </w:r>
      <w:r>
        <w:rPr>
          <w:rFonts w:ascii="Arial" w:cs="Arial" w:eastAsia="Arial" w:hAnsi="Arial"/>
          <w:sz w:val="20"/>
          <w:szCs w:val="20"/>
          <w:b w:val="1"/>
          <w:bCs w:val="1"/>
          <w:color w:val="auto"/>
        </w:rPr>
        <w:t>Assured’s Network</w:t>
      </w:r>
      <w:r>
        <w:rPr>
          <w:rFonts w:ascii="Arial" w:cs="Arial" w:eastAsia="Arial" w:hAnsi="Arial"/>
          <w:sz w:val="20"/>
          <w:szCs w:val="20"/>
          <w:color w:val="auto"/>
        </w:rPr>
        <w:t xml:space="preserve"> failure or breakdown, any malfunction or error in programming, or error or omission in processing;</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entries or changes made by a natural person with authorized access to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w:t>
      </w:r>
      <w:r>
        <w:rPr>
          <w:rFonts w:ascii="Arial" w:cs="Arial" w:eastAsia="Arial" w:hAnsi="Arial"/>
          <w:sz w:val="20"/>
          <w:szCs w:val="20"/>
          <w:b w:val="1"/>
          <w:bCs w:val="1"/>
          <w:color w:val="auto"/>
        </w:rPr>
        <w:t>Network</w:t>
      </w:r>
      <w:r>
        <w:rPr>
          <w:rFonts w:ascii="Arial" w:cs="Arial" w:eastAsia="Arial" w:hAnsi="Arial"/>
          <w:sz w:val="20"/>
          <w:szCs w:val="20"/>
          <w:color w:val="auto"/>
        </w:rPr>
        <w:t xml:space="preserve"> who acts in good faith on instructions, unless such instructions are given to that person by a software contractor or its partner, officer, or employee authorized to design, develop, prepare, supply, service, write or implement programs for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w:t>
      </w:r>
      <w:r>
        <w:rPr>
          <w:rFonts w:ascii="Arial" w:cs="Arial" w:eastAsia="Arial" w:hAnsi="Arial"/>
          <w:sz w:val="20"/>
          <w:szCs w:val="20"/>
          <w:b w:val="1"/>
          <w:bCs w:val="1"/>
          <w:color w:val="auto"/>
        </w:rPr>
        <w:t>Network</w:t>
      </w:r>
      <w:r>
        <w:rPr>
          <w:rFonts w:ascii="Arial" w:cs="Arial" w:eastAsia="Arial" w:hAnsi="Arial"/>
          <w:sz w:val="20"/>
          <w:szCs w:val="20"/>
          <w:color w:val="auto"/>
        </w:rPr>
        <w:t>; or</w:t>
      </w:r>
    </w:p>
    <w:p>
      <w:pPr>
        <w:spacing w:after="0" w:line="123"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49"/>
        </w:numPr>
        <w:rPr>
          <w:rFonts w:ascii="Arial" w:cs="Arial" w:eastAsia="Arial" w:hAnsi="Arial"/>
          <w:sz w:val="20"/>
          <w:szCs w:val="20"/>
          <w:color w:val="auto"/>
        </w:rPr>
      </w:pPr>
      <w:r>
        <w:rPr>
          <w:rFonts w:ascii="Arial" w:cs="Arial" w:eastAsia="Arial" w:hAnsi="Arial"/>
          <w:sz w:val="20"/>
          <w:szCs w:val="20"/>
          <w:color w:val="auto"/>
        </w:rPr>
        <w:t xml:space="preserve">entries or changes made at an </w:t>
      </w:r>
      <w:r>
        <w:rPr>
          <w:rFonts w:ascii="Arial" w:cs="Arial" w:eastAsia="Arial" w:hAnsi="Arial"/>
          <w:sz w:val="20"/>
          <w:szCs w:val="20"/>
          <w:b w:val="1"/>
          <w:bCs w:val="1"/>
          <w:color w:val="auto"/>
        </w:rPr>
        <w:t>Electronic Funds Transfer System</w:t>
      </w:r>
      <w:r>
        <w:rPr>
          <w:rFonts w:ascii="Arial" w:cs="Arial" w:eastAsia="Arial" w:hAnsi="Arial"/>
          <w:sz w:val="20"/>
          <w:szCs w:val="20"/>
          <w:color w:val="auto"/>
        </w:rPr>
        <w:t xml:space="preserve"> or a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Communication System </w:t>
      </w:r>
      <w:r>
        <w:rPr>
          <w:rFonts w:ascii="Arial" w:cs="Arial" w:eastAsia="Arial" w:hAnsi="Arial"/>
          <w:sz w:val="20"/>
          <w:szCs w:val="20"/>
          <w:color w:val="auto"/>
        </w:rPr>
        <w:t>by a:</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49"/>
        </w:numPr>
        <w:rPr>
          <w:rFonts w:ascii="Arial" w:cs="Arial" w:eastAsia="Arial" w:hAnsi="Arial"/>
          <w:sz w:val="20"/>
          <w:szCs w:val="20"/>
          <w:color w:val="auto"/>
        </w:rPr>
      </w:pPr>
      <w:r>
        <w:rPr>
          <w:rFonts w:ascii="Arial" w:cs="Arial" w:eastAsia="Arial" w:hAnsi="Arial"/>
          <w:sz w:val="20"/>
          <w:szCs w:val="20"/>
          <w:b w:val="1"/>
          <w:bCs w:val="1"/>
          <w:color w:val="auto"/>
        </w:rPr>
        <w:t>Customer</w:t>
      </w:r>
      <w:r>
        <w:rPr>
          <w:rFonts w:ascii="Arial" w:cs="Arial" w:eastAsia="Arial" w:hAnsi="Arial"/>
          <w:sz w:val="20"/>
          <w:szCs w:val="20"/>
          <w:color w:val="auto"/>
        </w:rPr>
        <w:t>; or</w:t>
      </w:r>
    </w:p>
    <w:p>
      <w:pPr>
        <w:spacing w:after="0" w:line="122"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49"/>
        </w:numPr>
        <w:rPr>
          <w:rFonts w:ascii="Arial" w:cs="Arial" w:eastAsia="Arial" w:hAnsi="Arial"/>
          <w:sz w:val="20"/>
          <w:szCs w:val="20"/>
          <w:color w:val="auto"/>
        </w:rPr>
      </w:pPr>
      <w:r>
        <w:rPr>
          <w:rFonts w:ascii="Arial" w:cs="Arial" w:eastAsia="Arial" w:hAnsi="Arial"/>
          <w:sz w:val="20"/>
          <w:szCs w:val="20"/>
          <w:color w:val="auto"/>
        </w:rPr>
        <w:t xml:space="preserve">natural person with authorized access to the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authentication credentials or mechanism.</w:t>
      </w:r>
    </w:p>
    <w:p>
      <w:pPr>
        <w:spacing w:after="0" w:line="117" w:lineRule="exact"/>
        <w:rPr>
          <w:rFonts w:ascii="Arial" w:cs="Arial" w:eastAsia="Arial" w:hAnsi="Arial"/>
          <w:sz w:val="20"/>
          <w:szCs w:val="20"/>
          <w:color w:val="auto"/>
        </w:rPr>
      </w:pPr>
    </w:p>
    <w:p>
      <w:pPr>
        <w:ind w:left="720" w:hanging="360"/>
        <w:spacing w:after="0"/>
        <w:tabs>
          <w:tab w:leader="none" w:pos="7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Specific Exclusions – Applicable To Insuring Clause 11</w:t>
      </w:r>
    </w:p>
    <w:p>
      <w:pPr>
        <w:spacing w:after="0" w:line="122"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This Bond does not cover loss resulting directly or indirectly from any </w:t>
      </w:r>
      <w:r>
        <w:rPr>
          <w:rFonts w:ascii="Arial" w:cs="Arial" w:eastAsia="Arial" w:hAnsi="Arial"/>
          <w:sz w:val="20"/>
          <w:szCs w:val="20"/>
          <w:b w:val="1"/>
          <w:bCs w:val="1"/>
          <w:color w:val="auto"/>
        </w:rPr>
        <w:t>Voice Initiated Transfer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Instruction </w:t>
      </w:r>
      <w:r>
        <w:rPr>
          <w:rFonts w:ascii="Arial" w:cs="Arial" w:eastAsia="Arial" w:hAnsi="Arial"/>
          <w:sz w:val="20"/>
          <w:szCs w:val="20"/>
          <w:color w:val="auto"/>
        </w:rPr>
        <w:t>from a:</w:t>
      </w:r>
    </w:p>
    <w:p>
      <w:pPr>
        <w:spacing w:after="0" w:line="117" w:lineRule="exact"/>
        <w:rPr>
          <w:rFonts w:ascii="Arial" w:cs="Arial" w:eastAsia="Arial" w:hAnsi="Arial"/>
          <w:sz w:val="20"/>
          <w:szCs w:val="20"/>
          <w:color w:val="auto"/>
        </w:rPr>
      </w:pPr>
    </w:p>
    <w:p>
      <w:pPr>
        <w:ind w:left="1440" w:hanging="360"/>
        <w:spacing w:after="0"/>
        <w:tabs>
          <w:tab w:leader="none" w:pos="1440" w:val="left"/>
        </w:tabs>
        <w:numPr>
          <w:ilvl w:val="2"/>
          <w:numId w:val="50"/>
        </w:numPr>
        <w:rPr>
          <w:rFonts w:ascii="Arial" w:cs="Arial" w:eastAsia="Arial" w:hAnsi="Arial"/>
          <w:sz w:val="20"/>
          <w:szCs w:val="20"/>
          <w:color w:val="auto"/>
        </w:rPr>
      </w:pPr>
      <w:r>
        <w:rPr>
          <w:rFonts w:ascii="Arial" w:cs="Arial" w:eastAsia="Arial" w:hAnsi="Arial"/>
          <w:sz w:val="20"/>
          <w:szCs w:val="20"/>
          <w:b w:val="1"/>
          <w:bCs w:val="1"/>
          <w:color w:val="auto"/>
        </w:rPr>
        <w:t>Customer</w:t>
      </w:r>
      <w:r>
        <w:rPr>
          <w:rFonts w:ascii="Arial" w:cs="Arial" w:eastAsia="Arial" w:hAnsi="Arial"/>
          <w:sz w:val="20"/>
          <w:szCs w:val="20"/>
          <w:color w:val="auto"/>
        </w:rPr>
        <w:t>; or</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50"/>
        </w:numPr>
        <w:rPr>
          <w:rFonts w:ascii="Arial" w:cs="Arial" w:eastAsia="Arial" w:hAnsi="Arial"/>
          <w:sz w:val="20"/>
          <w:szCs w:val="20"/>
          <w:color w:val="auto"/>
        </w:rPr>
      </w:pPr>
      <w:r>
        <w:rPr>
          <w:rFonts w:ascii="Arial" w:cs="Arial" w:eastAsia="Arial" w:hAnsi="Arial"/>
          <w:sz w:val="20"/>
          <w:szCs w:val="20"/>
          <w:color w:val="auto"/>
        </w:rPr>
        <w:t xml:space="preserve">natural person with authorized access to the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verification credentials or mechanism.</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12 of 17</w:t>
      </w:r>
    </w:p>
    <w:p>
      <w:pPr>
        <w:sectPr>
          <w:pgSz w:w="12240" w:h="15840" w:orient="portrait"/>
          <w:cols w:equalWidth="0" w:num="1">
            <w:col w:w="10080"/>
          </w:cols>
          <w:pgMar w:left="1080" w:top="714" w:right="1080" w:bottom="156" w:gutter="0" w:footer="0" w:header="0"/>
          <w:type w:val="continuous"/>
        </w:sectPr>
      </w:pPr>
    </w:p>
    <w:bookmarkStart w:id="25" w:name="page26"/>
    <w:bookmarkEnd w:id="25"/>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hanging="720"/>
        <w:spacing w:after="0"/>
        <w:tabs>
          <w:tab w:leader="none" w:pos="72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AND LIMITATIONS</w:t>
      </w:r>
    </w:p>
    <w:p>
      <w:pPr>
        <w:spacing w:after="0" w:line="118" w:lineRule="exact"/>
        <w:rPr>
          <w:rFonts w:ascii="Arial" w:cs="Arial" w:eastAsia="Arial" w:hAnsi="Arial"/>
          <w:sz w:val="20"/>
          <w:szCs w:val="20"/>
          <w:b w:val="1"/>
          <w:bCs w:val="1"/>
          <w:color w:val="auto"/>
        </w:rPr>
      </w:pPr>
    </w:p>
    <w:p>
      <w:pPr>
        <w:ind w:left="720" w:hanging="360"/>
        <w:spacing w:after="0"/>
        <w:tabs>
          <w:tab w:leader="none" w:pos="7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Anti-Bundling</w:t>
      </w:r>
    </w:p>
    <w:p>
      <w:pPr>
        <w:spacing w:after="0" w:line="117"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If any Insuring Clause requires that an enumerated type of document be fraudulently materially altered or</w:t>
      </w:r>
    </w:p>
    <w:p>
      <w:pPr>
        <w:spacing w:after="0" w:line="1" w:lineRule="exact"/>
        <w:rPr>
          <w:rFonts w:ascii="Arial" w:cs="Arial" w:eastAsia="Arial" w:hAnsi="Arial"/>
          <w:sz w:val="20"/>
          <w:szCs w:val="20"/>
          <w:color w:val="auto"/>
        </w:rPr>
      </w:pPr>
    </w:p>
    <w:p>
      <w:pPr>
        <w:jc w:val="both"/>
        <w:ind w:left="720"/>
        <w:spacing w:after="0" w:line="237" w:lineRule="auto"/>
        <w:tabs>
          <w:tab w:leader="none" w:pos="886" w:val="left"/>
        </w:tabs>
        <w:numPr>
          <w:ilvl w:val="2"/>
          <w:numId w:val="51"/>
        </w:numPr>
        <w:rPr>
          <w:rFonts w:ascii="Arial" w:cs="Arial" w:eastAsia="Arial" w:hAnsi="Arial"/>
          <w:sz w:val="20"/>
          <w:szCs w:val="20"/>
          <w:color w:val="auto"/>
        </w:rPr>
      </w:pPr>
      <w:r>
        <w:rPr>
          <w:rFonts w:ascii="Arial" w:cs="Arial" w:eastAsia="Arial" w:hAnsi="Arial"/>
          <w:sz w:val="20"/>
          <w:szCs w:val="20"/>
          <w:b w:val="1"/>
          <w:bCs w:val="1"/>
          <w:color w:val="auto"/>
        </w:rPr>
        <w:t>Counterfeit Original</w:t>
      </w:r>
      <w:r>
        <w:rPr>
          <w:rFonts w:ascii="Arial" w:cs="Arial" w:eastAsia="Arial" w:hAnsi="Arial"/>
          <w:sz w:val="20"/>
          <w:szCs w:val="20"/>
          <w:color w:val="auto"/>
        </w:rPr>
        <w:t>, or contain a signature which is a</w:t>
      </w:r>
      <w:r>
        <w:rPr>
          <w:rFonts w:ascii="Arial" w:cs="Arial" w:eastAsia="Arial" w:hAnsi="Arial"/>
          <w:sz w:val="20"/>
          <w:szCs w:val="20"/>
          <w:b w:val="1"/>
          <w:bCs w:val="1"/>
          <w:color w:val="auto"/>
        </w:rPr>
        <w:t xml:space="preserve"> Forgery </w:t>
      </w:r>
      <w:r>
        <w:rPr>
          <w:rFonts w:ascii="Arial" w:cs="Arial" w:eastAsia="Arial" w:hAnsi="Arial"/>
          <w:sz w:val="20"/>
          <w:szCs w:val="20"/>
          <w:color w:val="auto"/>
        </w:rPr>
        <w:t>or obtained through trick, artifice,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fraud, or false pretenses, the material alteration or </w:t>
      </w:r>
      <w:r>
        <w:rPr>
          <w:rFonts w:ascii="Arial" w:cs="Arial" w:eastAsia="Arial" w:hAnsi="Arial"/>
          <w:sz w:val="20"/>
          <w:szCs w:val="20"/>
          <w:b w:val="1"/>
          <w:bCs w:val="1"/>
          <w:color w:val="auto"/>
        </w:rPr>
        <w:t>Counterfeit Original</w:t>
      </w:r>
      <w:r>
        <w:rPr>
          <w:rFonts w:ascii="Arial" w:cs="Arial" w:eastAsia="Arial" w:hAnsi="Arial"/>
          <w:sz w:val="20"/>
          <w:szCs w:val="20"/>
          <w:color w:val="auto"/>
        </w:rPr>
        <w:t xml:space="preserve"> or fraudulent signature must be on or of the enumerated document itself not on or of some other document submitted with, accompanying or incorporated by reference into the enumerated document.</w:t>
      </w:r>
    </w:p>
    <w:p>
      <w:pPr>
        <w:spacing w:after="0" w:line="116" w:lineRule="exact"/>
        <w:rPr>
          <w:rFonts w:ascii="Arial" w:cs="Arial" w:eastAsia="Arial" w:hAnsi="Arial"/>
          <w:sz w:val="20"/>
          <w:szCs w:val="20"/>
          <w:color w:val="auto"/>
        </w:rPr>
      </w:pPr>
    </w:p>
    <w:p>
      <w:pPr>
        <w:ind w:left="720" w:hanging="360"/>
        <w:spacing w:after="0"/>
        <w:tabs>
          <w:tab w:leader="none" w:pos="7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Change Or Modification</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No change in or modification of this Bond shall be effective except when made by written endorsement to this Bond signed by an authorized representative of the Company.</w:t>
      </w:r>
    </w:p>
    <w:p>
      <w:pPr>
        <w:spacing w:after="0" w:line="122"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If this Bond is for a sole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no change or modification which would adversely affect the rights of the </w:t>
      </w:r>
      <w:r>
        <w:rPr>
          <w:rFonts w:ascii="Arial" w:cs="Arial" w:eastAsia="Arial" w:hAnsi="Arial"/>
          <w:sz w:val="20"/>
          <w:szCs w:val="20"/>
          <w:b w:val="1"/>
          <w:bCs w:val="1"/>
          <w:color w:val="auto"/>
        </w:rPr>
        <w:t xml:space="preserve">Assured </w:t>
      </w:r>
      <w:r>
        <w:rPr>
          <w:rFonts w:ascii="Arial" w:cs="Arial" w:eastAsia="Arial" w:hAnsi="Arial"/>
          <w:sz w:val="20"/>
          <w:szCs w:val="20"/>
          <w:color w:val="auto"/>
        </w:rPr>
        <w:t>shall be effective prior to sixty (60) days after written notice has been furnished by the acting</w:t>
      </w:r>
      <w:r>
        <w:rPr>
          <w:rFonts w:ascii="Arial" w:cs="Arial" w:eastAsia="Arial" w:hAnsi="Arial"/>
          <w:sz w:val="20"/>
          <w:szCs w:val="20"/>
          <w:b w:val="1"/>
          <w:bCs w:val="1"/>
          <w:color w:val="auto"/>
        </w:rPr>
        <w:t xml:space="preserve"> </w:t>
      </w:r>
      <w:r>
        <w:rPr>
          <w:rFonts w:ascii="Arial" w:cs="Arial" w:eastAsia="Arial" w:hAnsi="Arial"/>
          <w:sz w:val="20"/>
          <w:szCs w:val="20"/>
          <w:color w:val="auto"/>
        </w:rPr>
        <w:t>party to the U.S. Securities and Exchange Commission.</w:t>
      </w:r>
    </w:p>
    <w:p>
      <w:pPr>
        <w:spacing w:after="0" w:line="123"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If this Bond is for joint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no change or modification which would adversely affect the rights of any </w:t>
      </w:r>
      <w:r>
        <w:rPr>
          <w:rFonts w:ascii="Arial" w:cs="Arial" w:eastAsia="Arial" w:hAnsi="Arial"/>
          <w:sz w:val="20"/>
          <w:szCs w:val="20"/>
          <w:b w:val="1"/>
          <w:bCs w:val="1"/>
          <w:color w:val="auto"/>
        </w:rPr>
        <w:t xml:space="preserve">Assured </w:t>
      </w:r>
      <w:r>
        <w:rPr>
          <w:rFonts w:ascii="Arial" w:cs="Arial" w:eastAsia="Arial" w:hAnsi="Arial"/>
          <w:sz w:val="20"/>
          <w:szCs w:val="20"/>
          <w:color w:val="auto"/>
        </w:rPr>
        <w:t>shall be effective prior to sixty (60) days after written notice has been furnished by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all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and to the U.S. Securities and Exchange Commission.</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Conformity</w:t>
      </w:r>
    </w:p>
    <w:p>
      <w:pPr>
        <w:spacing w:after="0" w:line="122"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1"/>
          <w:numId w:val="51"/>
        </w:numPr>
        <w:rPr>
          <w:rFonts w:ascii="Arial" w:cs="Arial" w:eastAsia="Arial" w:hAnsi="Arial"/>
          <w:sz w:val="20"/>
          <w:szCs w:val="20"/>
          <w:color w:val="auto"/>
        </w:rPr>
      </w:pPr>
      <w:r>
        <w:rPr>
          <w:rFonts w:ascii="Arial" w:cs="Arial" w:eastAsia="Arial" w:hAnsi="Arial"/>
          <w:sz w:val="20"/>
          <w:szCs w:val="20"/>
          <w:color w:val="auto"/>
        </w:rPr>
        <w:t>Cooperation Of Assured</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At the Company’s request and at reasonable times and places designated by the Company,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2"/>
          <w:numId w:val="52"/>
        </w:numPr>
        <w:rPr>
          <w:rFonts w:ascii="Arial" w:cs="Arial" w:eastAsia="Arial" w:hAnsi="Arial"/>
          <w:sz w:val="20"/>
          <w:szCs w:val="20"/>
          <w:color w:val="auto"/>
        </w:rPr>
      </w:pPr>
      <w:r>
        <w:rPr>
          <w:rFonts w:ascii="Arial" w:cs="Arial" w:eastAsia="Arial" w:hAnsi="Arial"/>
          <w:sz w:val="20"/>
          <w:szCs w:val="20"/>
          <w:color w:val="auto"/>
        </w:rPr>
        <w:t>submit to examination by the Company and subscribe to the same under oath;</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2"/>
          <w:numId w:val="52"/>
        </w:numPr>
        <w:rPr>
          <w:rFonts w:ascii="Arial" w:cs="Arial" w:eastAsia="Arial" w:hAnsi="Arial"/>
          <w:sz w:val="20"/>
          <w:szCs w:val="20"/>
          <w:color w:val="auto"/>
        </w:rPr>
      </w:pPr>
      <w:r>
        <w:rPr>
          <w:rFonts w:ascii="Arial" w:cs="Arial" w:eastAsia="Arial" w:hAnsi="Arial"/>
          <w:sz w:val="20"/>
          <w:szCs w:val="20"/>
          <w:color w:val="auto"/>
        </w:rPr>
        <w:t>produce for the Company’s examination all pertinent records; and</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2"/>
          <w:numId w:val="52"/>
        </w:numPr>
        <w:rPr>
          <w:rFonts w:ascii="Arial" w:cs="Arial" w:eastAsia="Arial" w:hAnsi="Arial"/>
          <w:sz w:val="20"/>
          <w:szCs w:val="20"/>
          <w:color w:val="auto"/>
        </w:rPr>
      </w:pPr>
      <w:r>
        <w:rPr>
          <w:rFonts w:ascii="Arial" w:cs="Arial" w:eastAsia="Arial" w:hAnsi="Arial"/>
          <w:sz w:val="20"/>
          <w:szCs w:val="20"/>
          <w:color w:val="auto"/>
        </w:rPr>
        <w:t>cooperate with the Company in all matters pertaining to the loss.</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execute all papers and render all assistance to secure to the Company the rights and causes of action provided for under this Bond.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do nothing after discovery of any loss to prejudice such rights or causes of action.</w:t>
      </w:r>
    </w:p>
    <w:p>
      <w:pPr>
        <w:spacing w:after="0" w:line="119" w:lineRule="exact"/>
        <w:rPr>
          <w:sz w:val="20"/>
          <w:szCs w:val="20"/>
          <w:color w:val="auto"/>
        </w:rPr>
      </w:pPr>
    </w:p>
    <w:p>
      <w:pPr>
        <w:ind w:left="720" w:hanging="360"/>
        <w:spacing w:after="0"/>
        <w:tabs>
          <w:tab w:leader="none" w:pos="720" w:val="left"/>
        </w:tabs>
        <w:numPr>
          <w:ilvl w:val="0"/>
          <w:numId w:val="53"/>
        </w:numPr>
        <w:rPr>
          <w:rFonts w:ascii="Arial" w:cs="Arial" w:eastAsia="Arial" w:hAnsi="Arial"/>
          <w:sz w:val="20"/>
          <w:szCs w:val="20"/>
          <w:color w:val="auto"/>
        </w:rPr>
      </w:pPr>
      <w:r>
        <w:rPr>
          <w:rFonts w:ascii="Arial" w:cs="Arial" w:eastAsia="Arial" w:hAnsi="Arial"/>
          <w:sz w:val="20"/>
          <w:szCs w:val="20"/>
          <w:color w:val="auto"/>
        </w:rPr>
        <w:t>Covered Property</w:t>
      </w:r>
    </w:p>
    <w:p>
      <w:pPr>
        <w:spacing w:after="0" w:line="118" w:lineRule="exact"/>
        <w:rPr>
          <w:rFonts w:ascii="Arial" w:cs="Arial" w:eastAsia="Arial" w:hAnsi="Arial"/>
          <w:sz w:val="20"/>
          <w:szCs w:val="20"/>
          <w:color w:val="auto"/>
        </w:rPr>
      </w:pPr>
    </w:p>
    <w:p>
      <w:pPr>
        <w:ind w:left="720"/>
        <w:spacing w:after="0"/>
        <w:rPr>
          <w:rFonts w:ascii="Arial" w:cs="Arial" w:eastAsia="Arial" w:hAnsi="Arial"/>
          <w:sz w:val="20"/>
          <w:szCs w:val="20"/>
          <w:color w:val="auto"/>
        </w:rPr>
      </w:pPr>
      <w:r>
        <w:rPr>
          <w:rFonts w:ascii="Arial" w:cs="Arial" w:eastAsia="Arial" w:hAnsi="Arial"/>
          <w:sz w:val="20"/>
          <w:szCs w:val="20"/>
          <w:color w:val="auto"/>
        </w:rPr>
        <w:t xml:space="preserve">This Bond shall apply to loss of </w:t>
      </w:r>
      <w:r>
        <w:rPr>
          <w:rFonts w:ascii="Arial" w:cs="Arial" w:eastAsia="Arial" w:hAnsi="Arial"/>
          <w:sz w:val="20"/>
          <w:szCs w:val="20"/>
          <w:b w:val="1"/>
          <w:bCs w:val="1"/>
          <w:color w:val="auto"/>
        </w:rPr>
        <w:t>Property</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owned by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held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any capacity;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 xml:space="preserve">for which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is legally liable.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This Bond shall be for the sole use and benefit of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7" w:lineRule="exact"/>
        <w:rPr>
          <w:sz w:val="20"/>
          <w:szCs w:val="20"/>
          <w:color w:val="auto"/>
        </w:rPr>
      </w:pPr>
    </w:p>
    <w:p>
      <w:pPr>
        <w:ind w:left="720" w:hanging="360"/>
        <w:spacing w:after="0"/>
        <w:tabs>
          <w:tab w:leader="none" w:pos="720" w:val="left"/>
        </w:tabs>
        <w:numPr>
          <w:ilvl w:val="0"/>
          <w:numId w:val="54"/>
        </w:numPr>
        <w:rPr>
          <w:rFonts w:ascii="Arial" w:cs="Arial" w:eastAsia="Arial" w:hAnsi="Arial"/>
          <w:sz w:val="20"/>
          <w:szCs w:val="20"/>
          <w:color w:val="auto"/>
        </w:rPr>
      </w:pPr>
      <w:r>
        <w:rPr>
          <w:rFonts w:ascii="Arial" w:cs="Arial" w:eastAsia="Arial" w:hAnsi="Arial"/>
          <w:sz w:val="20"/>
          <w:szCs w:val="20"/>
          <w:color w:val="auto"/>
        </w:rPr>
        <w:t>Deductible Amount</w:t>
      </w:r>
    </w:p>
    <w:p>
      <w:pPr>
        <w:spacing w:after="0" w:line="122"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Company shall be liable under this Bond only for the amount by which any </w:t>
      </w:r>
      <w:r>
        <w:rPr>
          <w:rFonts w:ascii="Arial" w:cs="Arial" w:eastAsia="Arial" w:hAnsi="Arial"/>
          <w:sz w:val="20"/>
          <w:szCs w:val="20"/>
          <w:b w:val="1"/>
          <w:bCs w:val="1"/>
          <w:color w:val="auto"/>
        </w:rPr>
        <w:t>Single Loss</w:t>
      </w:r>
      <w:r>
        <w:rPr>
          <w:rFonts w:ascii="Arial" w:cs="Arial" w:eastAsia="Arial" w:hAnsi="Arial"/>
          <w:sz w:val="20"/>
          <w:szCs w:val="20"/>
          <w:color w:val="auto"/>
        </w:rPr>
        <w:t xml:space="preserve"> is greater than the applicable Deductible Amount as stated in Item 2 of the Declarations.</w:t>
      </w:r>
    </w:p>
    <w:p>
      <w:pPr>
        <w:spacing w:after="0" w:line="121"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There shall be no deductible applicable to any loss sustained by any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and covered under Insuring Clause 1.</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13 of 17</w:t>
      </w:r>
    </w:p>
    <w:p>
      <w:pPr>
        <w:sectPr>
          <w:pgSz w:w="12240" w:h="15840" w:orient="portrait"/>
          <w:cols w:equalWidth="0" w:num="1">
            <w:col w:w="10080"/>
          </w:cols>
          <w:pgMar w:left="1080" w:top="714" w:right="1080" w:bottom="156" w:gutter="0" w:footer="0" w:header="0"/>
          <w:type w:val="continuous"/>
        </w:sectPr>
      </w:pPr>
    </w:p>
    <w:bookmarkStart w:id="26" w:name="page27"/>
    <w:bookmarkEnd w:id="26"/>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4">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hanging="360"/>
        <w:spacing w:after="0"/>
        <w:tabs>
          <w:tab w:leader="none" w:pos="72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Discovery</w:t>
      </w:r>
    </w:p>
    <w:p>
      <w:pPr>
        <w:spacing w:after="0" w:line="122"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This Bond applies only to loss first discovered by a </w:t>
      </w:r>
      <w:r>
        <w:rPr>
          <w:rFonts w:ascii="Arial" w:cs="Arial" w:eastAsia="Arial" w:hAnsi="Arial"/>
          <w:sz w:val="20"/>
          <w:szCs w:val="20"/>
          <w:b w:val="1"/>
          <w:bCs w:val="1"/>
          <w:color w:val="auto"/>
        </w:rPr>
        <w:t>Director</w:t>
      </w:r>
      <w:r>
        <w:rPr>
          <w:rFonts w:ascii="Arial" w:cs="Arial" w:eastAsia="Arial" w:hAnsi="Arial"/>
          <w:sz w:val="20"/>
          <w:szCs w:val="20"/>
          <w:color w:val="auto"/>
        </w:rPr>
        <w:t xml:space="preserve"> during the Bond Period. Discovery occurs at the earlier of a </w:t>
      </w:r>
      <w:r>
        <w:rPr>
          <w:rFonts w:ascii="Arial" w:cs="Arial" w:eastAsia="Arial" w:hAnsi="Arial"/>
          <w:sz w:val="20"/>
          <w:szCs w:val="20"/>
          <w:b w:val="1"/>
          <w:bCs w:val="1"/>
          <w:color w:val="auto"/>
        </w:rPr>
        <w:t>Director</w:t>
      </w:r>
      <w:r>
        <w:rPr>
          <w:rFonts w:ascii="Arial" w:cs="Arial" w:eastAsia="Arial" w:hAnsi="Arial"/>
          <w:sz w:val="20"/>
          <w:szCs w:val="20"/>
          <w:color w:val="auto"/>
        </w:rPr>
        <w:t xml:space="preserve"> learning of:</w:t>
      </w:r>
    </w:p>
    <w:p>
      <w:pPr>
        <w:spacing w:after="0" w:line="117" w:lineRule="exact"/>
        <w:rPr>
          <w:rFonts w:ascii="Arial" w:cs="Arial" w:eastAsia="Arial" w:hAnsi="Arial"/>
          <w:sz w:val="20"/>
          <w:szCs w:val="20"/>
          <w:color w:val="auto"/>
        </w:rPr>
      </w:pPr>
    </w:p>
    <w:p>
      <w:pPr>
        <w:ind w:left="1080" w:hanging="360"/>
        <w:spacing w:after="0"/>
        <w:tabs>
          <w:tab w:leader="none" w:pos="10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facts which may subsequently result in a loss of a type covered by this Bond; or</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55"/>
        </w:numPr>
        <w:rPr>
          <w:rFonts w:ascii="Arial" w:cs="Arial" w:eastAsia="Arial" w:hAnsi="Arial"/>
          <w:sz w:val="20"/>
          <w:szCs w:val="20"/>
          <w:color w:val="auto"/>
        </w:rPr>
      </w:pPr>
      <w:r>
        <w:rPr>
          <w:rFonts w:ascii="Arial" w:cs="Arial" w:eastAsia="Arial" w:hAnsi="Arial"/>
          <w:sz w:val="20"/>
          <w:szCs w:val="20"/>
          <w:color w:val="auto"/>
        </w:rPr>
        <w:t xml:space="preserve">an actual or potential claim in which it is alleged that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is liable to a third party,</w:t>
      </w:r>
    </w:p>
    <w:p>
      <w:pPr>
        <w:spacing w:after="0" w:line="121"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regardless of when the act or acts causing or contributing to such loss occurred, even though the amount of loss does not exceed the applicable Deductible Amount, or the exact amount or details of loss may not then be known.</w:t>
      </w:r>
    </w:p>
    <w:p>
      <w:pPr>
        <w:spacing w:after="0" w:line="119" w:lineRule="exact"/>
        <w:rPr>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Limit Of Liability</w:t>
      </w:r>
    </w:p>
    <w:p>
      <w:pPr>
        <w:spacing w:after="0" w:line="122"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The payment of any loss under this Bond shall not reduce the liability of the Company for other losses whenever sustained, provided that:</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the Company’s liability for each </w:t>
      </w:r>
      <w:r>
        <w:rPr>
          <w:rFonts w:ascii="Arial" w:cs="Arial" w:eastAsia="Arial" w:hAnsi="Arial"/>
          <w:sz w:val="20"/>
          <w:szCs w:val="20"/>
          <w:b w:val="1"/>
          <w:bCs w:val="1"/>
          <w:color w:val="auto"/>
        </w:rPr>
        <w:t>Single Loss</w:t>
      </w:r>
      <w:r>
        <w:rPr>
          <w:rFonts w:ascii="Arial" w:cs="Arial" w:eastAsia="Arial" w:hAnsi="Arial"/>
          <w:sz w:val="20"/>
          <w:szCs w:val="20"/>
          <w:color w:val="auto"/>
        </w:rPr>
        <w:t xml:space="preserve"> shall not exceed the applicable Single Loss Limit Of Liability as stated in Item 2 of the Declarations or as set forth under General Agreement 1, and shall not be cumulative in amounts from year to year or from Bond Period to Bond Period;</w:t>
      </w:r>
    </w:p>
    <w:p>
      <w:pPr>
        <w:spacing w:after="0" w:line="124"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if a </w:t>
      </w:r>
      <w:r>
        <w:rPr>
          <w:rFonts w:ascii="Arial" w:cs="Arial" w:eastAsia="Arial" w:hAnsi="Arial"/>
          <w:sz w:val="20"/>
          <w:szCs w:val="20"/>
          <w:b w:val="1"/>
          <w:bCs w:val="1"/>
          <w:color w:val="auto"/>
        </w:rPr>
        <w:t>Single Loss</w:t>
      </w:r>
      <w:r>
        <w:rPr>
          <w:rFonts w:ascii="Arial" w:cs="Arial" w:eastAsia="Arial" w:hAnsi="Arial"/>
          <w:sz w:val="20"/>
          <w:szCs w:val="20"/>
          <w:color w:val="auto"/>
        </w:rPr>
        <w:t xml:space="preserve"> is covered under more than one Insuring Clause, the maximum payable shall not exceed the largest applicable Single Loss Limit Of Liability; and</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the Company’s liability for loss or losses sustained by more than one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or all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shall not exceed the total amount for which the Company would be liable under this Bond if such loss or losses were sustained by any one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0"/>
          <w:numId w:val="56"/>
        </w:numPr>
        <w:rPr>
          <w:rFonts w:ascii="Arial" w:cs="Arial" w:eastAsia="Arial" w:hAnsi="Arial"/>
          <w:sz w:val="20"/>
          <w:szCs w:val="20"/>
          <w:color w:val="auto"/>
        </w:rPr>
      </w:pPr>
      <w:r>
        <w:rPr>
          <w:rFonts w:ascii="Arial" w:cs="Arial" w:eastAsia="Arial" w:hAnsi="Arial"/>
          <w:sz w:val="20"/>
          <w:szCs w:val="20"/>
          <w:color w:val="auto"/>
        </w:rPr>
        <w:t>Notice To Company – Proof – Legal Proceedings Against Company</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give the Company notice at the earliest practicable moment, not to exceed sixty (60) days after discovery of a loss, in an amount that is in excess of 50% of the applicable Deductible Amount, as stated in Item 2 of the Declarations.</w:t>
      </w:r>
    </w:p>
    <w:p>
      <w:pPr>
        <w:spacing w:after="0" w:line="119" w:lineRule="exact"/>
        <w:rPr>
          <w:rFonts w:ascii="Arial" w:cs="Arial" w:eastAsia="Arial" w:hAnsi="Arial"/>
          <w:sz w:val="20"/>
          <w:szCs w:val="20"/>
          <w:color w:val="auto"/>
        </w:rPr>
      </w:pPr>
    </w:p>
    <w:p>
      <w:pPr>
        <w:ind w:left="1080" w:hanging="360"/>
        <w:spacing w:after="0"/>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furnish to the Company proof of loss, duly sworn to, with full particulars, within six</w:t>
      </w:r>
    </w:p>
    <w:p>
      <w:pPr>
        <w:ind w:left="1400" w:hanging="320"/>
        <w:spacing w:after="0" w:line="236" w:lineRule="auto"/>
        <w:tabs>
          <w:tab w:leader="none" w:pos="1400" w:val="left"/>
        </w:tabs>
        <w:numPr>
          <w:ilvl w:val="2"/>
          <w:numId w:val="56"/>
        </w:numPr>
        <w:rPr>
          <w:rFonts w:ascii="Arial" w:cs="Arial" w:eastAsia="Arial" w:hAnsi="Arial"/>
          <w:sz w:val="20"/>
          <w:szCs w:val="20"/>
          <w:color w:val="auto"/>
        </w:rPr>
      </w:pPr>
      <w:r>
        <w:rPr>
          <w:rFonts w:ascii="Arial" w:cs="Arial" w:eastAsia="Arial" w:hAnsi="Arial"/>
          <w:sz w:val="20"/>
          <w:szCs w:val="20"/>
          <w:color w:val="auto"/>
        </w:rPr>
        <w:t>months after such discovery.</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b w:val="1"/>
          <w:bCs w:val="1"/>
          <w:color w:val="auto"/>
        </w:rPr>
        <w:t xml:space="preserve">Certificated Securities </w:t>
      </w:r>
      <w:r>
        <w:rPr>
          <w:rFonts w:ascii="Arial" w:cs="Arial" w:eastAsia="Arial" w:hAnsi="Arial"/>
          <w:sz w:val="20"/>
          <w:szCs w:val="20"/>
          <w:color w:val="auto"/>
        </w:rPr>
        <w:t>listed in a proof of loss shall be identified by certificate or bond numbers, if</w:t>
      </w:r>
      <w:r>
        <w:rPr>
          <w:rFonts w:ascii="Arial" w:cs="Arial" w:eastAsia="Arial" w:hAnsi="Arial"/>
          <w:sz w:val="20"/>
          <w:szCs w:val="20"/>
          <w:b w:val="1"/>
          <w:bCs w:val="1"/>
          <w:color w:val="auto"/>
        </w:rPr>
        <w:t xml:space="preserve"> </w:t>
      </w:r>
      <w:r>
        <w:rPr>
          <w:rFonts w:ascii="Arial" w:cs="Arial" w:eastAsia="Arial" w:hAnsi="Arial"/>
          <w:sz w:val="20"/>
          <w:szCs w:val="20"/>
          <w:color w:val="auto"/>
        </w:rPr>
        <w:t>issued with them.</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Legal proceedings for the recovery of any loss under this Bond shall not be brought prior to the expiration of sixty (60) days after the proof of loss is filed with the Company or after the expiration of twenty-four (24) months from the discovery of such loss.</w:t>
      </w:r>
    </w:p>
    <w:p>
      <w:pPr>
        <w:spacing w:after="0" w:line="124"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 xml:space="preserve">This Bond affords coverage only in favor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No claim, suit, action or legal proceeding shall be brought under the Bond by anyone other than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7" w:lineRule="exact"/>
        <w:rPr>
          <w:rFonts w:ascii="Arial" w:cs="Arial" w:eastAsia="Arial" w:hAnsi="Arial"/>
          <w:sz w:val="20"/>
          <w:szCs w:val="20"/>
          <w:color w:val="auto"/>
        </w:rPr>
      </w:pPr>
    </w:p>
    <w:p>
      <w:pPr>
        <w:ind w:left="1080" w:hanging="360"/>
        <w:spacing w:after="0"/>
        <w:tabs>
          <w:tab w:leader="none" w:pos="1080" w:val="left"/>
        </w:tabs>
        <w:numPr>
          <w:ilvl w:val="1"/>
          <w:numId w:val="56"/>
        </w:numPr>
        <w:rPr>
          <w:rFonts w:ascii="Arial" w:cs="Arial" w:eastAsia="Arial" w:hAnsi="Arial"/>
          <w:sz w:val="20"/>
          <w:szCs w:val="20"/>
          <w:color w:val="auto"/>
        </w:rPr>
      </w:pPr>
      <w:r>
        <w:rPr>
          <w:rFonts w:ascii="Arial" w:cs="Arial" w:eastAsia="Arial" w:hAnsi="Arial"/>
          <w:sz w:val="20"/>
          <w:szCs w:val="20"/>
          <w:color w:val="auto"/>
        </w:rPr>
        <w:t>All such notices shall be given in writing to one of the following addresses:</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57"/>
        </w:numPr>
        <w:rPr>
          <w:rFonts w:ascii="Arial" w:cs="Arial" w:eastAsia="Arial" w:hAnsi="Arial"/>
          <w:sz w:val="20"/>
          <w:szCs w:val="20"/>
          <w:color w:val="auto"/>
        </w:rPr>
      </w:pPr>
      <w:r>
        <w:rPr>
          <w:rFonts w:ascii="Arial" w:cs="Arial" w:eastAsia="Arial" w:hAnsi="Arial"/>
          <w:sz w:val="20"/>
          <w:szCs w:val="20"/>
          <w:u w:val="single" w:color="auto"/>
          <w:color w:val="0000FF"/>
        </w:rPr>
        <w:t>ChubbClaimsFirstNotice@chubb.com</w:t>
      </w:r>
      <w:r>
        <w:rPr>
          <w:rFonts w:ascii="Arial" w:cs="Arial" w:eastAsia="Arial" w:hAnsi="Arial"/>
          <w:sz w:val="20"/>
          <w:szCs w:val="20"/>
          <w:color w:val="000000"/>
        </w:rPr>
        <w:t>; or</w:t>
      </w:r>
    </w:p>
    <w:p>
      <w:pPr>
        <w:spacing w:after="0" w:line="121" w:lineRule="exact"/>
        <w:rPr>
          <w:rFonts w:ascii="Arial" w:cs="Arial" w:eastAsia="Arial" w:hAnsi="Arial"/>
          <w:sz w:val="20"/>
          <w:szCs w:val="20"/>
          <w:color w:val="auto"/>
        </w:rPr>
      </w:pPr>
    </w:p>
    <w:p>
      <w:pPr>
        <w:ind w:left="1440" w:right="5780" w:hanging="360"/>
        <w:spacing w:after="0" w:line="236" w:lineRule="auto"/>
        <w:tabs>
          <w:tab w:leader="none" w:pos="1440" w:val="left"/>
        </w:tabs>
        <w:numPr>
          <w:ilvl w:val="2"/>
          <w:numId w:val="57"/>
        </w:numPr>
        <w:rPr>
          <w:rFonts w:ascii="Arial" w:cs="Arial" w:eastAsia="Arial" w:hAnsi="Arial"/>
          <w:sz w:val="20"/>
          <w:szCs w:val="20"/>
          <w:color w:val="auto"/>
        </w:rPr>
      </w:pPr>
      <w:r>
        <w:rPr>
          <w:rFonts w:ascii="Arial" w:cs="Arial" w:eastAsia="Arial" w:hAnsi="Arial"/>
          <w:sz w:val="20"/>
          <w:szCs w:val="20"/>
          <w:color w:val="auto"/>
        </w:rPr>
        <w:t>Attn: Chubb Claims Department Chubb</w:t>
      </w:r>
    </w:p>
    <w:p>
      <w:pPr>
        <w:spacing w:after="0" w:line="2" w:lineRule="exact"/>
        <w:rPr>
          <w:rFonts w:ascii="Arial" w:cs="Arial" w:eastAsia="Arial" w:hAnsi="Arial"/>
          <w:sz w:val="20"/>
          <w:szCs w:val="20"/>
          <w:color w:val="auto"/>
        </w:rPr>
      </w:pPr>
    </w:p>
    <w:p>
      <w:pPr>
        <w:ind w:left="1440" w:right="6900"/>
        <w:spacing w:after="0" w:line="257" w:lineRule="auto"/>
        <w:rPr>
          <w:rFonts w:ascii="Arial" w:cs="Arial" w:eastAsia="Arial" w:hAnsi="Arial"/>
          <w:sz w:val="20"/>
          <w:szCs w:val="20"/>
          <w:color w:val="auto"/>
        </w:rPr>
      </w:pPr>
      <w:r>
        <w:rPr>
          <w:rFonts w:ascii="Arial" w:cs="Arial" w:eastAsia="Arial" w:hAnsi="Arial"/>
          <w:sz w:val="19"/>
          <w:szCs w:val="19"/>
          <w:color w:val="auto"/>
        </w:rPr>
        <w:t>P.O. Box 5122 Scranton, PA 18505</w:t>
      </w:r>
    </w:p>
    <w:p>
      <w:pPr>
        <w:spacing w:after="0" w:line="101" w:lineRule="exact"/>
        <w:rPr>
          <w:rFonts w:ascii="Arial" w:cs="Arial" w:eastAsia="Arial" w:hAnsi="Arial"/>
          <w:sz w:val="20"/>
          <w:szCs w:val="20"/>
          <w:color w:val="auto"/>
        </w:rPr>
      </w:pPr>
    </w:p>
    <w:p>
      <w:pPr>
        <w:ind w:left="1080" w:hanging="360"/>
        <w:spacing w:after="0"/>
        <w:tabs>
          <w:tab w:leader="none" w:pos="1080" w:val="left"/>
        </w:tabs>
        <w:numPr>
          <w:ilvl w:val="1"/>
          <w:numId w:val="58"/>
        </w:numPr>
        <w:rPr>
          <w:rFonts w:ascii="Arial" w:cs="Arial" w:eastAsia="Arial" w:hAnsi="Arial"/>
          <w:sz w:val="20"/>
          <w:szCs w:val="20"/>
          <w:color w:val="auto"/>
        </w:rPr>
      </w:pPr>
      <w:r>
        <w:rPr>
          <w:rFonts w:ascii="Arial" w:cs="Arial" w:eastAsia="Arial" w:hAnsi="Arial"/>
          <w:sz w:val="20"/>
          <w:szCs w:val="20"/>
          <w:color w:val="auto"/>
        </w:rPr>
        <w:t>All other notices to the Company under this Bond shall be given in writing to the following address:</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58"/>
        </w:numPr>
        <w:rPr>
          <w:rFonts w:ascii="Arial" w:cs="Arial" w:eastAsia="Arial" w:hAnsi="Arial"/>
          <w:sz w:val="20"/>
          <w:szCs w:val="20"/>
          <w:color w:val="auto"/>
        </w:rPr>
      </w:pPr>
      <w:r>
        <w:rPr>
          <w:rFonts w:ascii="Arial" w:cs="Arial" w:eastAsia="Arial" w:hAnsi="Arial"/>
          <w:sz w:val="20"/>
          <w:szCs w:val="20"/>
          <w:u w:val="single" w:color="auto"/>
          <w:color w:val="0000FF"/>
        </w:rPr>
        <w:t>NA.FinancialLines@chubb.com</w:t>
      </w:r>
      <w:r>
        <w:rPr>
          <w:rFonts w:ascii="Arial" w:cs="Arial" w:eastAsia="Arial" w:hAnsi="Arial"/>
          <w:sz w:val="20"/>
          <w:szCs w:val="20"/>
          <w:color w:val="000000"/>
        </w:rPr>
        <w:t>; or</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14 of 17</w:t>
      </w:r>
    </w:p>
    <w:p>
      <w:pPr>
        <w:sectPr>
          <w:pgSz w:w="12240" w:h="15840" w:orient="portrait"/>
          <w:cols w:equalWidth="0" w:num="1">
            <w:col w:w="10080"/>
          </w:cols>
          <w:pgMar w:left="1080" w:top="714" w:right="1080" w:bottom="156" w:gutter="0" w:footer="0" w:header="0"/>
          <w:type w:val="continuous"/>
        </w:sectPr>
      </w:pPr>
    </w:p>
    <w:bookmarkStart w:id="27" w:name="page28"/>
    <w:bookmarkEnd w:id="27"/>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5">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40" w:right="5180" w:hanging="360"/>
        <w:spacing w:after="0" w:line="236" w:lineRule="auto"/>
        <w:tabs>
          <w:tab w:leader="none" w:pos="1440" w:val="left"/>
        </w:tabs>
        <w:numPr>
          <w:ilvl w:val="0"/>
          <w:numId w:val="59"/>
        </w:numPr>
        <w:rPr>
          <w:rFonts w:ascii="Arial" w:cs="Arial" w:eastAsia="Arial" w:hAnsi="Arial"/>
          <w:sz w:val="20"/>
          <w:szCs w:val="20"/>
          <w:color w:val="auto"/>
        </w:rPr>
      </w:pPr>
      <w:r>
        <w:rPr>
          <w:rFonts w:ascii="Arial" w:cs="Arial" w:eastAsia="Arial" w:hAnsi="Arial"/>
          <w:sz w:val="20"/>
          <w:szCs w:val="20"/>
          <w:color w:val="auto"/>
        </w:rPr>
        <w:t>Attn: Chubb Underwriting Department Chubb</w:t>
      </w:r>
    </w:p>
    <w:p>
      <w:pPr>
        <w:spacing w:after="0" w:line="2" w:lineRule="exact"/>
        <w:rPr>
          <w:rFonts w:ascii="Arial" w:cs="Arial" w:eastAsia="Arial" w:hAnsi="Arial"/>
          <w:sz w:val="20"/>
          <w:szCs w:val="20"/>
          <w:color w:val="auto"/>
        </w:rPr>
      </w:pPr>
    </w:p>
    <w:p>
      <w:pPr>
        <w:ind w:left="1440" w:right="5900"/>
        <w:spacing w:after="0" w:line="236" w:lineRule="auto"/>
        <w:rPr>
          <w:rFonts w:ascii="Arial" w:cs="Arial" w:eastAsia="Arial" w:hAnsi="Arial"/>
          <w:sz w:val="20"/>
          <w:szCs w:val="20"/>
          <w:color w:val="auto"/>
        </w:rPr>
      </w:pPr>
      <w:r>
        <w:rPr>
          <w:rFonts w:ascii="Arial" w:cs="Arial" w:eastAsia="Arial" w:hAnsi="Arial"/>
          <w:sz w:val="20"/>
          <w:szCs w:val="20"/>
          <w:color w:val="auto"/>
        </w:rPr>
        <w:t>202B Hall’s Mill Road Whitehouse Station, NJ 08889</w:t>
      </w:r>
    </w:p>
    <w:p>
      <w:pPr>
        <w:spacing w:after="0" w:line="119" w:lineRule="exact"/>
        <w:rPr>
          <w:sz w:val="20"/>
          <w:szCs w:val="20"/>
          <w:color w:val="auto"/>
        </w:rPr>
      </w:pPr>
    </w:p>
    <w:p>
      <w:pPr>
        <w:ind w:left="720"/>
        <w:spacing w:after="0"/>
        <w:rPr>
          <w:sz w:val="20"/>
          <w:szCs w:val="20"/>
          <w:color w:val="auto"/>
        </w:rPr>
      </w:pPr>
      <w:r>
        <w:rPr>
          <w:rFonts w:ascii="Arial" w:cs="Arial" w:eastAsia="Arial" w:hAnsi="Arial"/>
          <w:sz w:val="20"/>
          <w:szCs w:val="20"/>
          <w:color w:val="auto"/>
        </w:rPr>
        <w:t>All notices described above shall be effective on the date of receipt by the Company.</w:t>
      </w:r>
    </w:p>
    <w:p>
      <w:pPr>
        <w:spacing w:after="0" w:line="117" w:lineRule="exact"/>
        <w:rPr>
          <w:sz w:val="20"/>
          <w:szCs w:val="20"/>
          <w:color w:val="auto"/>
        </w:rPr>
      </w:pPr>
    </w:p>
    <w:p>
      <w:pPr>
        <w:ind w:left="720" w:hanging="360"/>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Other Insurance</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Coverage under this Bond shall apply only as excess over any other valid and collectible insurance, indemnity or suretyship obtained by or on behalf of:</w:t>
      </w:r>
    </w:p>
    <w:p>
      <w:pPr>
        <w:spacing w:after="0" w:line="117" w:lineRule="exact"/>
        <w:rPr>
          <w:rFonts w:ascii="Arial" w:cs="Arial" w:eastAsia="Arial" w:hAnsi="Arial"/>
          <w:sz w:val="20"/>
          <w:szCs w:val="20"/>
          <w:color w:val="auto"/>
        </w:rPr>
      </w:pPr>
    </w:p>
    <w:p>
      <w:pPr>
        <w:ind w:left="1440" w:hanging="360"/>
        <w:spacing w:after="0"/>
        <w:tabs>
          <w:tab w:leader="none" w:pos="1440" w:val="left"/>
        </w:tabs>
        <w:numPr>
          <w:ilvl w:val="2"/>
          <w:numId w:val="60"/>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1440" w:hanging="360"/>
        <w:spacing w:after="0"/>
        <w:tabs>
          <w:tab w:leader="none" w:pos="1440" w:val="left"/>
        </w:tabs>
        <w:numPr>
          <w:ilvl w:val="2"/>
          <w:numId w:val="60"/>
        </w:numPr>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Transportation Company</w:t>
      </w:r>
      <w:r>
        <w:rPr>
          <w:rFonts w:ascii="Arial" w:cs="Arial" w:eastAsia="Arial" w:hAnsi="Arial"/>
          <w:sz w:val="20"/>
          <w:szCs w:val="20"/>
          <w:color w:val="auto"/>
        </w:rPr>
        <w:t>; or</w:t>
      </w:r>
    </w:p>
    <w:p>
      <w:pPr>
        <w:spacing w:after="0" w:line="121"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60"/>
        </w:numPr>
        <w:rPr>
          <w:rFonts w:ascii="Arial" w:cs="Arial" w:eastAsia="Arial" w:hAnsi="Arial"/>
          <w:sz w:val="20"/>
          <w:szCs w:val="20"/>
          <w:color w:val="auto"/>
        </w:rPr>
      </w:pPr>
      <w:r>
        <w:rPr>
          <w:rFonts w:ascii="Arial" w:cs="Arial" w:eastAsia="Arial" w:hAnsi="Arial"/>
          <w:sz w:val="20"/>
          <w:szCs w:val="20"/>
          <w:color w:val="auto"/>
        </w:rPr>
        <w:t xml:space="preserve">another entity on whose premises the loss occurred or which employed the person causing the loss or engaged the messenger conveying the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involved.</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Arial" w:cs="Arial" w:eastAsia="Arial" w:hAnsi="Arial"/>
          <w:sz w:val="20"/>
          <w:szCs w:val="20"/>
          <w:b w:val="1"/>
          <w:bCs w:val="1"/>
          <w:color w:val="auto"/>
        </w:rPr>
        <w:t>Assured</w:t>
      </w:r>
      <w:r>
        <w:rPr>
          <w:rFonts w:ascii="Arial" w:cs="Arial" w:eastAsia="Arial" w:hAnsi="Arial"/>
          <w:sz w:val="20"/>
          <w:szCs w:val="20"/>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121" w:lineRule="exact"/>
        <w:rPr>
          <w:rFonts w:ascii="Arial" w:cs="Arial" w:eastAsia="Arial" w:hAnsi="Arial"/>
          <w:sz w:val="20"/>
          <w:szCs w:val="20"/>
          <w:color w:val="auto"/>
        </w:rPr>
      </w:pPr>
    </w:p>
    <w:p>
      <w:pPr>
        <w:ind w:left="720" w:hanging="360"/>
        <w:spacing w:after="0"/>
        <w:tabs>
          <w:tab w:leader="none" w:pos="7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Securities Settlement</w:t>
      </w:r>
    </w:p>
    <w:p>
      <w:pPr>
        <w:spacing w:after="0" w:line="121"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In the event of a loss of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covered under this Bond, the Company may, at its sole discretion, purchase replacement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tender the value of the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in </w:t>
      </w:r>
      <w:r>
        <w:rPr>
          <w:rFonts w:ascii="Arial" w:cs="Arial" w:eastAsia="Arial" w:hAnsi="Arial"/>
          <w:sz w:val="20"/>
          <w:szCs w:val="20"/>
          <w:b w:val="1"/>
          <w:bCs w:val="1"/>
          <w:color w:val="auto"/>
        </w:rPr>
        <w:t>Money</w:t>
      </w:r>
      <w:r>
        <w:rPr>
          <w:rFonts w:ascii="Arial" w:cs="Arial" w:eastAsia="Arial" w:hAnsi="Arial"/>
          <w:sz w:val="20"/>
          <w:szCs w:val="20"/>
          <w:color w:val="auto"/>
        </w:rPr>
        <w:t xml:space="preserve">, or issue its indemnity to effect replacement </w:t>
      </w:r>
      <w:r>
        <w:rPr>
          <w:rFonts w:ascii="Arial" w:cs="Arial" w:eastAsia="Arial" w:hAnsi="Arial"/>
          <w:sz w:val="20"/>
          <w:szCs w:val="20"/>
          <w:b w:val="1"/>
          <w:bCs w:val="1"/>
          <w:color w:val="auto"/>
        </w:rPr>
        <w:t>Securities</w:t>
      </w:r>
      <w:r>
        <w:rPr>
          <w:rFonts w:ascii="Arial" w:cs="Arial" w:eastAsia="Arial" w:hAnsi="Arial"/>
          <w:sz w:val="20"/>
          <w:szCs w:val="20"/>
          <w:color w:val="auto"/>
        </w:rPr>
        <w:t>.</w:t>
      </w:r>
    </w:p>
    <w:p>
      <w:pPr>
        <w:spacing w:after="0" w:line="123" w:lineRule="exact"/>
        <w:rPr>
          <w:rFonts w:ascii="Arial" w:cs="Arial" w:eastAsia="Arial" w:hAnsi="Arial"/>
          <w:sz w:val="20"/>
          <w:szCs w:val="20"/>
          <w:color w:val="auto"/>
        </w:rPr>
      </w:pPr>
    </w:p>
    <w:p>
      <w:pPr>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indemnity required from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under the terms of this Section against all loss, cost or expense arising from the replacement of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by the Company’s indemnity shall be:</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for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having a value less than or equal to the applicable Deductible Amount – one hundred (100%) percent;</w:t>
      </w:r>
    </w:p>
    <w:p>
      <w:pPr>
        <w:spacing w:after="0" w:line="122"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for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having a value in excess of the applicable Deductible Amount but within the Single Loss Limit Of Liability – the percentage that the Deductible Amount bears to the value of the </w:t>
      </w:r>
      <w:r>
        <w:rPr>
          <w:rFonts w:ascii="Arial" w:cs="Arial" w:eastAsia="Arial" w:hAnsi="Arial"/>
          <w:sz w:val="20"/>
          <w:szCs w:val="20"/>
          <w:b w:val="1"/>
          <w:bCs w:val="1"/>
          <w:color w:val="auto"/>
        </w:rPr>
        <w:t>Securities</w:t>
      </w:r>
      <w:r>
        <w:rPr>
          <w:rFonts w:ascii="Arial" w:cs="Arial" w:eastAsia="Arial" w:hAnsi="Arial"/>
          <w:sz w:val="20"/>
          <w:szCs w:val="20"/>
          <w:color w:val="auto"/>
        </w:rPr>
        <w:t>; or</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for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having a value greater than the applicable Single Loss Limit Of Liability – the percentage that the Deductible Amount and portion in excess of the Single Loss Limit Of Liability bears to the value of the </w:t>
      </w:r>
      <w:r>
        <w:rPr>
          <w:rFonts w:ascii="Arial" w:cs="Arial" w:eastAsia="Arial" w:hAnsi="Arial"/>
          <w:sz w:val="20"/>
          <w:szCs w:val="20"/>
          <w:b w:val="1"/>
          <w:bCs w:val="1"/>
          <w:color w:val="auto"/>
        </w:rPr>
        <w:t>Securities</w:t>
      </w:r>
      <w:r>
        <w:rPr>
          <w:rFonts w:ascii="Arial" w:cs="Arial" w:eastAsia="Arial" w:hAnsi="Arial"/>
          <w:sz w:val="20"/>
          <w:szCs w:val="20"/>
          <w:color w:val="auto"/>
        </w:rPr>
        <w:t>.</w:t>
      </w:r>
    </w:p>
    <w:p>
      <w:pPr>
        <w:spacing w:after="0" w:line="123" w:lineRule="exact"/>
        <w:rPr>
          <w:sz w:val="20"/>
          <w:szCs w:val="20"/>
          <w:color w:val="auto"/>
        </w:rPr>
      </w:pPr>
    </w:p>
    <w:p>
      <w:pPr>
        <w:jc w:val="both"/>
        <w:ind w:left="720"/>
        <w:spacing w:after="0" w:line="257" w:lineRule="auto"/>
        <w:rPr>
          <w:sz w:val="20"/>
          <w:szCs w:val="20"/>
          <w:color w:val="auto"/>
        </w:rPr>
      </w:pPr>
      <w:r>
        <w:rPr>
          <w:rFonts w:ascii="Arial" w:cs="Arial" w:eastAsia="Arial" w:hAnsi="Arial"/>
          <w:sz w:val="19"/>
          <w:szCs w:val="19"/>
          <w:color w:val="auto"/>
        </w:rPr>
        <w:t xml:space="preserve">The value referred to in Sections 11.a., b., and c. is the value in accordance with Section 14., Valuation, regardless of the value of such </w:t>
      </w:r>
      <w:r>
        <w:rPr>
          <w:rFonts w:ascii="Arial" w:cs="Arial" w:eastAsia="Arial" w:hAnsi="Arial"/>
          <w:sz w:val="19"/>
          <w:szCs w:val="19"/>
          <w:b w:val="1"/>
          <w:bCs w:val="1"/>
          <w:color w:val="auto"/>
        </w:rPr>
        <w:t>Securities</w:t>
      </w:r>
      <w:r>
        <w:rPr>
          <w:rFonts w:ascii="Arial" w:cs="Arial" w:eastAsia="Arial" w:hAnsi="Arial"/>
          <w:sz w:val="19"/>
          <w:szCs w:val="19"/>
          <w:color w:val="auto"/>
        </w:rPr>
        <w:t xml:space="preserve"> at the time the loss under the Company’s indemnity is sustained.</w:t>
      </w:r>
    </w:p>
    <w:p>
      <w:pPr>
        <w:spacing w:after="0" w:line="107" w:lineRule="exact"/>
        <w:rPr>
          <w:sz w:val="20"/>
          <w:szCs w:val="20"/>
          <w:color w:val="auto"/>
        </w:rPr>
      </w:pPr>
    </w:p>
    <w:p>
      <w:pPr>
        <w:jc w:val="both"/>
        <w:ind w:left="720"/>
        <w:spacing w:after="0" w:line="257" w:lineRule="auto"/>
        <w:rPr>
          <w:sz w:val="20"/>
          <w:szCs w:val="20"/>
          <w:color w:val="auto"/>
        </w:rPr>
      </w:pPr>
      <w:r>
        <w:rPr>
          <w:rFonts w:ascii="Arial" w:cs="Arial" w:eastAsia="Arial" w:hAnsi="Arial"/>
          <w:sz w:val="19"/>
          <w:szCs w:val="19"/>
          <w:color w:val="auto"/>
        </w:rPr>
        <w:t xml:space="preserve">The Company is not required to issue its indemnity for any portion of a loss of </w:t>
      </w:r>
      <w:r>
        <w:rPr>
          <w:rFonts w:ascii="Arial" w:cs="Arial" w:eastAsia="Arial" w:hAnsi="Arial"/>
          <w:sz w:val="19"/>
          <w:szCs w:val="19"/>
          <w:b w:val="1"/>
          <w:bCs w:val="1"/>
          <w:color w:val="auto"/>
        </w:rPr>
        <w:t>Securities</w:t>
      </w:r>
      <w:r>
        <w:rPr>
          <w:rFonts w:ascii="Arial" w:cs="Arial" w:eastAsia="Arial" w:hAnsi="Arial"/>
          <w:sz w:val="19"/>
          <w:szCs w:val="19"/>
          <w:color w:val="auto"/>
        </w:rPr>
        <w:t xml:space="preserve"> which is not covered by this Bond, however, the Company may do so as a courtesy to the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in its sole discretion.</w:t>
      </w:r>
    </w:p>
    <w:p>
      <w:pPr>
        <w:spacing w:after="0" w:line="106" w:lineRule="exact"/>
        <w:rPr>
          <w:sz w:val="20"/>
          <w:szCs w:val="20"/>
          <w:color w:val="auto"/>
        </w:rPr>
      </w:pPr>
    </w:p>
    <w:p>
      <w:pPr>
        <w:jc w:val="both"/>
        <w:ind w:left="720"/>
        <w:spacing w:after="0" w:line="23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to obtain replacement </w:t>
      </w:r>
      <w:r>
        <w:rPr>
          <w:rFonts w:ascii="Arial" w:cs="Arial" w:eastAsia="Arial" w:hAnsi="Arial"/>
          <w:sz w:val="20"/>
          <w:szCs w:val="20"/>
          <w:b w:val="1"/>
          <w:bCs w:val="1"/>
          <w:color w:val="auto"/>
        </w:rPr>
        <w:t>Securities</w:t>
      </w:r>
      <w:r>
        <w:rPr>
          <w:rFonts w:ascii="Arial" w:cs="Arial" w:eastAsia="Arial" w:hAnsi="Arial"/>
          <w:sz w:val="20"/>
          <w:szCs w:val="20"/>
          <w:color w:val="auto"/>
        </w:rPr>
        <w:t>.</w:t>
      </w:r>
    </w:p>
    <w:p>
      <w:pPr>
        <w:spacing w:after="0" w:line="119" w:lineRule="exact"/>
        <w:rPr>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Subrogation – Assignment – Recovery</w:t>
      </w:r>
    </w:p>
    <w:p>
      <w:pPr>
        <w:spacing w:after="0" w:line="122" w:lineRule="exact"/>
        <w:rPr>
          <w:rFonts w:ascii="Arial" w:cs="Arial" w:eastAsia="Arial" w:hAnsi="Arial"/>
          <w:sz w:val="20"/>
          <w:szCs w:val="20"/>
          <w:color w:val="auto"/>
        </w:rPr>
      </w:pPr>
    </w:p>
    <w:p>
      <w:pPr>
        <w:jc w:val="both"/>
        <w:ind w:left="7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In the event of a payment under this Bond, the Company shall be subrogated to all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rights of recovery against any person or entity to the extent of such payment. On request,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shall deliver to the Company an assignment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rights, title and interest and causes of action against any person or entity to the extent of such payment.</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15 of 17</w:t>
      </w:r>
    </w:p>
    <w:p>
      <w:pPr>
        <w:sectPr>
          <w:pgSz w:w="12240" w:h="15840" w:orient="portrait"/>
          <w:cols w:equalWidth="0" w:num="1">
            <w:col w:w="10080"/>
          </w:cols>
          <w:pgMar w:left="1080" w:top="714" w:right="1080" w:bottom="156" w:gutter="0" w:footer="0" w:header="0"/>
          <w:type w:val="continuous"/>
        </w:sectPr>
      </w:pPr>
    </w:p>
    <w:bookmarkStart w:id="28" w:name="page29"/>
    <w:bookmarkEnd w:id="28"/>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6">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color w:val="auto"/>
        </w:rPr>
        <w:t xml:space="preserve">Recoveries, whether effected by the Company or by the </w:t>
      </w:r>
      <w:r>
        <w:rPr>
          <w:rFonts w:ascii="Arial" w:cs="Arial" w:eastAsia="Arial" w:hAnsi="Arial"/>
          <w:sz w:val="20"/>
          <w:szCs w:val="20"/>
          <w:b w:val="1"/>
          <w:bCs w:val="1"/>
          <w:color w:val="auto"/>
        </w:rPr>
        <w:t>Assured</w:t>
      </w:r>
      <w:r>
        <w:rPr>
          <w:rFonts w:ascii="Arial" w:cs="Arial" w:eastAsia="Arial" w:hAnsi="Arial"/>
          <w:sz w:val="20"/>
          <w:szCs w:val="20"/>
          <w:color w:val="auto"/>
        </w:rPr>
        <w:t>, shall be applied net of the expense of such recovery, in the following order:</w:t>
      </w:r>
    </w:p>
    <w:p>
      <w:pPr>
        <w:spacing w:after="0" w:line="123" w:lineRule="exact"/>
        <w:rPr>
          <w:sz w:val="20"/>
          <w:szCs w:val="20"/>
          <w:color w:val="auto"/>
        </w:rPr>
      </w:pPr>
    </w:p>
    <w:p>
      <w:pPr>
        <w:ind w:left="1080" w:hanging="360"/>
        <w:spacing w:after="0" w:line="236" w:lineRule="auto"/>
        <w:tabs>
          <w:tab w:leader="none" w:pos="10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first, to the satisfaction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covered loss which would otherwise have been paid but for the fact that it is in excess of the Single Loss Limit Of Liability;</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second, to the Company in satisfaction of amounts paid in settlement of the </w:t>
      </w:r>
      <w:r>
        <w:rPr>
          <w:rFonts w:ascii="Arial" w:cs="Arial" w:eastAsia="Arial" w:hAnsi="Arial"/>
          <w:sz w:val="20"/>
          <w:szCs w:val="20"/>
          <w:b w:val="1"/>
          <w:bCs w:val="1"/>
          <w:color w:val="auto"/>
        </w:rPr>
        <w:t>Assured’s</w:t>
      </w:r>
      <w:r>
        <w:rPr>
          <w:rFonts w:ascii="Arial" w:cs="Arial" w:eastAsia="Arial" w:hAnsi="Arial"/>
          <w:sz w:val="20"/>
          <w:szCs w:val="20"/>
          <w:color w:val="auto"/>
        </w:rPr>
        <w:t xml:space="preserve"> claim;</w:t>
      </w:r>
    </w:p>
    <w:p>
      <w:pPr>
        <w:spacing w:after="0" w:line="116" w:lineRule="exact"/>
        <w:rPr>
          <w:rFonts w:ascii="Arial" w:cs="Arial" w:eastAsia="Arial" w:hAnsi="Arial"/>
          <w:sz w:val="20"/>
          <w:szCs w:val="20"/>
          <w:color w:val="auto"/>
        </w:rPr>
      </w:pPr>
    </w:p>
    <w:p>
      <w:pPr>
        <w:ind w:left="1080" w:hanging="360"/>
        <w:spacing w:after="0"/>
        <w:tabs>
          <w:tab w:leader="none" w:pos="10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third, to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satisfaction of the applicable Deductible Amount; and</w:t>
      </w:r>
    </w:p>
    <w:p>
      <w:pPr>
        <w:spacing w:after="0" w:line="122" w:lineRule="exact"/>
        <w:rPr>
          <w:rFonts w:ascii="Arial" w:cs="Arial" w:eastAsia="Arial" w:hAnsi="Arial"/>
          <w:sz w:val="20"/>
          <w:szCs w:val="20"/>
          <w:color w:val="auto"/>
        </w:rPr>
      </w:pPr>
    </w:p>
    <w:p>
      <w:pPr>
        <w:ind w:left="1080" w:hanging="360"/>
        <w:spacing w:after="0" w:line="236" w:lineRule="auto"/>
        <w:tabs>
          <w:tab w:leader="none" w:pos="10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fourth, to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satisfaction of any loss suffered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which was not covered under this Bond.</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Recovery from reinsurance or indemnity of the Company shall not be deemed a recovery under this Section.</w:t>
      </w:r>
    </w:p>
    <w:p>
      <w:pPr>
        <w:spacing w:after="0" w:line="125" w:lineRule="exact"/>
        <w:rPr>
          <w:sz w:val="20"/>
          <w:szCs w:val="20"/>
          <w:color w:val="auto"/>
        </w:rPr>
      </w:pPr>
    </w:p>
    <w:p>
      <w:pPr>
        <w:ind w:left="720" w:hanging="360"/>
        <w:spacing w:after="0"/>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Termination</w:t>
      </w:r>
    </w:p>
    <w:p>
      <w:pPr>
        <w:spacing w:after="0" w:line="121"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If the Bond is for a sole </w:t>
      </w:r>
      <w:r>
        <w:rPr>
          <w:rFonts w:ascii="Arial" w:cs="Arial" w:eastAsia="Arial" w:hAnsi="Arial"/>
          <w:sz w:val="20"/>
          <w:szCs w:val="20"/>
          <w:b w:val="1"/>
          <w:bCs w:val="1"/>
          <w:color w:val="auto"/>
        </w:rPr>
        <w:t>Assured</w:t>
      </w:r>
      <w:r>
        <w:rPr>
          <w:rFonts w:ascii="Arial" w:cs="Arial" w:eastAsia="Arial" w:hAnsi="Arial"/>
          <w:sz w:val="20"/>
          <w:szCs w:val="20"/>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123" w:lineRule="exact"/>
        <w:rPr>
          <w:rFonts w:ascii="Arial" w:cs="Arial" w:eastAsia="Arial" w:hAnsi="Arial"/>
          <w:sz w:val="20"/>
          <w:szCs w:val="20"/>
          <w:color w:val="auto"/>
        </w:rPr>
      </w:pPr>
    </w:p>
    <w:p>
      <w:pPr>
        <w:jc w:val="both"/>
        <w:ind w:left="1080" w:hanging="360"/>
        <w:spacing w:after="0" w:line="253" w:lineRule="auto"/>
        <w:tabs>
          <w:tab w:leader="none" w:pos="1080"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If the Bond is for a joint </w:t>
      </w:r>
      <w:r>
        <w:rPr>
          <w:rFonts w:ascii="Arial" w:cs="Arial" w:eastAsia="Arial" w:hAnsi="Arial"/>
          <w:sz w:val="19"/>
          <w:szCs w:val="19"/>
          <w:b w:val="1"/>
          <w:bCs w:val="1"/>
          <w:color w:val="auto"/>
        </w:rPr>
        <w:t>Assured</w:t>
      </w:r>
      <w:r>
        <w:rPr>
          <w:rFonts w:ascii="Arial" w:cs="Arial" w:eastAsia="Arial" w:hAnsi="Arial"/>
          <w:sz w:val="19"/>
          <w:szCs w:val="19"/>
          <w:color w:val="auto"/>
        </w:rPr>
        <w:t xml:space="preserve">, it shall not be terminated unless written notice shall have been given by the acting party to the affected party, and by the Company to all </w:t>
      </w:r>
      <w:r>
        <w:rPr>
          <w:rFonts w:ascii="Arial" w:cs="Arial" w:eastAsia="Arial" w:hAnsi="Arial"/>
          <w:sz w:val="19"/>
          <w:szCs w:val="19"/>
          <w:b w:val="1"/>
          <w:bCs w:val="1"/>
          <w:color w:val="auto"/>
        </w:rPr>
        <w:t>Assureds</w:t>
      </w:r>
      <w:r>
        <w:rPr>
          <w:rFonts w:ascii="Arial" w:cs="Arial" w:eastAsia="Arial" w:hAnsi="Arial"/>
          <w:sz w:val="19"/>
          <w:szCs w:val="19"/>
          <w:color w:val="auto"/>
        </w:rPr>
        <w:t xml:space="preserve"> and to the U.S. Securities and Exchange Commission, not less than sixty (60) days prior to the effective date of such termination.</w:t>
      </w:r>
    </w:p>
    <w:p>
      <w:pPr>
        <w:spacing w:after="0" w:line="110" w:lineRule="exact"/>
        <w:rPr>
          <w:rFonts w:ascii="Arial" w:cs="Arial" w:eastAsia="Arial" w:hAnsi="Arial"/>
          <w:sz w:val="19"/>
          <w:szCs w:val="19"/>
          <w:color w:val="auto"/>
        </w:rPr>
      </w:pPr>
    </w:p>
    <w:p>
      <w:pPr>
        <w:jc w:val="both"/>
        <w:ind w:left="1080" w:hanging="360"/>
        <w:spacing w:after="0" w:line="236" w:lineRule="auto"/>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If any </w:t>
      </w:r>
      <w:r>
        <w:rPr>
          <w:rFonts w:ascii="Arial" w:cs="Arial" w:eastAsia="Arial" w:hAnsi="Arial"/>
          <w:sz w:val="20"/>
          <w:szCs w:val="20"/>
          <w:b w:val="1"/>
          <w:bCs w:val="1"/>
          <w:color w:val="auto"/>
        </w:rPr>
        <w:t>Director</w:t>
      </w:r>
      <w:r>
        <w:rPr>
          <w:rFonts w:ascii="Arial" w:cs="Arial" w:eastAsia="Arial" w:hAnsi="Arial"/>
          <w:sz w:val="20"/>
          <w:szCs w:val="20"/>
          <w:color w:val="auto"/>
        </w:rPr>
        <w:t xml:space="preserve">, not acting in collusion with an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discovers any dishonest or fraudulent act committed by such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whether in the employment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otherwise, and whether against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or any other person or entity, the </w:t>
      </w:r>
      <w:r>
        <w:rPr>
          <w:rFonts w:ascii="Arial" w:cs="Arial" w:eastAsia="Arial" w:hAnsi="Arial"/>
          <w:sz w:val="20"/>
          <w:szCs w:val="20"/>
          <w:b w:val="1"/>
          <w:bCs w:val="1"/>
          <w:color w:val="auto"/>
        </w:rPr>
        <w:t>Assured</w:t>
      </w:r>
      <w:r>
        <w:rPr>
          <w:rFonts w:ascii="Arial" w:cs="Arial" w:eastAsia="Arial" w:hAnsi="Arial"/>
          <w:sz w:val="20"/>
          <w:szCs w:val="20"/>
          <w:color w:val="auto"/>
        </w:rPr>
        <w:t>:</w:t>
      </w:r>
    </w:p>
    <w:p>
      <w:pPr>
        <w:spacing w:after="0" w:line="123" w:lineRule="exact"/>
        <w:rPr>
          <w:rFonts w:ascii="Arial" w:cs="Arial" w:eastAsia="Arial" w:hAnsi="Arial"/>
          <w:sz w:val="20"/>
          <w:szCs w:val="20"/>
          <w:color w:val="auto"/>
        </w:rPr>
      </w:pPr>
    </w:p>
    <w:p>
      <w:pPr>
        <w:ind w:left="1440" w:hanging="360"/>
        <w:spacing w:after="0" w:line="236" w:lineRule="auto"/>
        <w:tabs>
          <w:tab w:leader="none" w:pos="1440" w:val="left"/>
        </w:tabs>
        <w:numPr>
          <w:ilvl w:val="2"/>
          <w:numId w:val="63"/>
        </w:numPr>
        <w:rPr>
          <w:rFonts w:ascii="Arial" w:cs="Arial" w:eastAsia="Arial" w:hAnsi="Arial"/>
          <w:sz w:val="20"/>
          <w:szCs w:val="20"/>
          <w:color w:val="auto"/>
        </w:rPr>
      </w:pPr>
      <w:r>
        <w:rPr>
          <w:rFonts w:ascii="Arial" w:cs="Arial" w:eastAsia="Arial" w:hAnsi="Arial"/>
          <w:sz w:val="20"/>
          <w:szCs w:val="20"/>
          <w:color w:val="auto"/>
        </w:rPr>
        <w:t xml:space="preserve">shall immediately remove such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from a position that would enable such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to cause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to suffer a loss covered by this Bond; and</w:t>
      </w:r>
    </w:p>
    <w:p>
      <w:pPr>
        <w:spacing w:after="0" w:line="122" w:lineRule="exact"/>
        <w:rPr>
          <w:rFonts w:ascii="Arial" w:cs="Arial" w:eastAsia="Arial" w:hAnsi="Arial"/>
          <w:sz w:val="20"/>
          <w:szCs w:val="20"/>
          <w:color w:val="auto"/>
        </w:rPr>
      </w:pPr>
    </w:p>
    <w:p>
      <w:pPr>
        <w:jc w:val="both"/>
        <w:ind w:left="1440" w:hanging="360"/>
        <w:spacing w:after="0" w:line="236" w:lineRule="auto"/>
        <w:tabs>
          <w:tab w:leader="none" w:pos="1440" w:val="left"/>
        </w:tabs>
        <w:numPr>
          <w:ilvl w:val="2"/>
          <w:numId w:val="63"/>
        </w:numPr>
        <w:rPr>
          <w:rFonts w:ascii="Arial" w:cs="Arial" w:eastAsia="Arial" w:hAnsi="Arial"/>
          <w:sz w:val="20"/>
          <w:szCs w:val="20"/>
          <w:color w:val="auto"/>
        </w:rPr>
      </w:pPr>
      <w:r>
        <w:rPr>
          <w:rFonts w:ascii="Arial" w:cs="Arial" w:eastAsia="Arial" w:hAnsi="Arial"/>
          <w:sz w:val="20"/>
          <w:szCs w:val="20"/>
          <w:color w:val="auto"/>
        </w:rPr>
        <w:t xml:space="preserve">within forty-eight (48) hours of discovering an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has committed any dishonest or fraudulent act, shall notify the Company of such action and provide full particulars of such dishonest or fraudulent act.</w:t>
      </w:r>
    </w:p>
    <w:p>
      <w:pPr>
        <w:spacing w:after="0" w:line="123" w:lineRule="exact"/>
        <w:rPr>
          <w:rFonts w:ascii="Arial" w:cs="Arial" w:eastAsia="Arial" w:hAnsi="Arial"/>
          <w:sz w:val="20"/>
          <w:szCs w:val="20"/>
          <w:color w:val="auto"/>
        </w:rPr>
      </w:pPr>
    </w:p>
    <w:p>
      <w:pPr>
        <w:jc w:val="both"/>
        <w:ind w:left="1080" w:hanging="360"/>
        <w:spacing w:after="0" w:line="236" w:lineRule="auto"/>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 xml:space="preserve">This Bond terminates as to any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sixty (60) days after receipt by each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and the U.S. Securities and Exchange Commission of written notice from the Company of its decision to terminate this Bond as to any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18" w:lineRule="exact"/>
        <w:rPr>
          <w:rFonts w:ascii="Arial" w:cs="Arial" w:eastAsia="Arial" w:hAnsi="Arial"/>
          <w:sz w:val="20"/>
          <w:szCs w:val="20"/>
          <w:color w:val="auto"/>
        </w:rPr>
      </w:pPr>
    </w:p>
    <w:p>
      <w:pPr>
        <w:ind w:left="720" w:hanging="360"/>
        <w:spacing w:after="0"/>
        <w:tabs>
          <w:tab w:leader="none" w:pos="7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Valuation</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Books Of Account Or Other Records</w:t>
      </w:r>
    </w:p>
    <w:p>
      <w:pPr>
        <w:spacing w:after="0" w:line="121" w:lineRule="exact"/>
        <w:rPr>
          <w:rFonts w:ascii="Arial" w:cs="Arial" w:eastAsia="Arial" w:hAnsi="Arial"/>
          <w:sz w:val="20"/>
          <w:szCs w:val="20"/>
          <w:color w:val="auto"/>
        </w:rPr>
      </w:pPr>
    </w:p>
    <w:p>
      <w:pPr>
        <w:jc w:val="both"/>
        <w:ind w:left="108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value of any loss of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consisting of books of account or other records used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in the conduct of its business shall be the amount paid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for blank books, blank pages, or other materials which replace the lost books of account or other records, plus the cost of labor paid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for the actual transcription or copying of data to reproduce such books of account or other records.</w:t>
      </w:r>
    </w:p>
    <w:p>
      <w:pPr>
        <w:spacing w:after="0" w:line="121" w:lineRule="exact"/>
        <w:rPr>
          <w:rFonts w:ascii="Arial" w:cs="Arial" w:eastAsia="Arial" w:hAnsi="Arial"/>
          <w:sz w:val="20"/>
          <w:szCs w:val="20"/>
          <w:color w:val="auto"/>
        </w:rPr>
      </w:pPr>
    </w:p>
    <w:p>
      <w:pPr>
        <w:ind w:left="1080" w:hanging="360"/>
        <w:spacing w:after="0"/>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Money</w:t>
      </w:r>
    </w:p>
    <w:p>
      <w:pPr>
        <w:spacing w:after="0" w:line="121" w:lineRule="exact"/>
        <w:rPr>
          <w:rFonts w:ascii="Arial" w:cs="Arial" w:eastAsia="Arial" w:hAnsi="Arial"/>
          <w:sz w:val="20"/>
          <w:szCs w:val="20"/>
          <w:color w:val="auto"/>
        </w:rPr>
      </w:pPr>
    </w:p>
    <w:p>
      <w:pPr>
        <w:jc w:val="both"/>
        <w:ind w:left="108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Any loss of </w:t>
      </w:r>
      <w:r>
        <w:rPr>
          <w:rFonts w:ascii="Arial" w:cs="Arial" w:eastAsia="Arial" w:hAnsi="Arial"/>
          <w:sz w:val="20"/>
          <w:szCs w:val="20"/>
          <w:b w:val="1"/>
          <w:bCs w:val="1"/>
          <w:color w:val="auto"/>
        </w:rPr>
        <w:t>Money</w:t>
      </w:r>
      <w:r>
        <w:rPr>
          <w:rFonts w:ascii="Arial" w:cs="Arial" w:eastAsia="Arial" w:hAnsi="Arial"/>
          <w:sz w:val="20"/>
          <w:szCs w:val="20"/>
          <w:color w:val="auto"/>
        </w:rPr>
        <w:t xml:space="preserve">, or loss payable in </w:t>
      </w:r>
      <w:r>
        <w:rPr>
          <w:rFonts w:ascii="Arial" w:cs="Arial" w:eastAsia="Arial" w:hAnsi="Arial"/>
          <w:sz w:val="20"/>
          <w:szCs w:val="20"/>
          <w:b w:val="1"/>
          <w:bCs w:val="1"/>
          <w:color w:val="auto"/>
        </w:rPr>
        <w:t>Money</w:t>
      </w:r>
      <w:r>
        <w:rPr>
          <w:rFonts w:ascii="Arial" w:cs="Arial" w:eastAsia="Arial" w:hAnsi="Arial"/>
          <w:sz w:val="20"/>
          <w:szCs w:val="20"/>
          <w:color w:val="auto"/>
        </w:rPr>
        <w:t xml:space="preserve">, shall be paid in the </w:t>
      </w:r>
      <w:r>
        <w:rPr>
          <w:rFonts w:ascii="Arial" w:cs="Arial" w:eastAsia="Arial" w:hAnsi="Arial"/>
          <w:sz w:val="20"/>
          <w:szCs w:val="20"/>
          <w:b w:val="1"/>
          <w:bCs w:val="1"/>
          <w:color w:val="auto"/>
        </w:rPr>
        <w:t>Money</w:t>
      </w:r>
      <w:r>
        <w:rPr>
          <w:rFonts w:ascii="Arial" w:cs="Arial" w:eastAsia="Arial" w:hAnsi="Arial"/>
          <w:sz w:val="20"/>
          <w:szCs w:val="20"/>
          <w:color w:val="auto"/>
        </w:rPr>
        <w:t xml:space="preserve"> of the United States of America or the dollar equivalent of it, determined by the free market rate of exchange in effect at the time of discovery of such loss.</w:t>
      </w:r>
    </w:p>
    <w:p>
      <w:pPr>
        <w:spacing w:after="0" w:line="118" w:lineRule="exact"/>
        <w:rPr>
          <w:rFonts w:ascii="Arial" w:cs="Arial" w:eastAsia="Arial" w:hAnsi="Arial"/>
          <w:sz w:val="20"/>
          <w:szCs w:val="20"/>
          <w:color w:val="auto"/>
        </w:rPr>
      </w:pPr>
    </w:p>
    <w:p>
      <w:pPr>
        <w:ind w:left="1080" w:hanging="360"/>
        <w:spacing w:after="0"/>
        <w:tabs>
          <w:tab w:leader="none" w:pos="10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Other Property</w:t>
      </w:r>
    </w:p>
    <w:p>
      <w:pPr>
        <w:spacing w:after="0" w:line="122" w:lineRule="exact"/>
        <w:rPr>
          <w:rFonts w:ascii="Arial" w:cs="Arial" w:eastAsia="Arial" w:hAnsi="Arial"/>
          <w:sz w:val="20"/>
          <w:szCs w:val="20"/>
          <w:color w:val="auto"/>
        </w:rPr>
      </w:pPr>
    </w:p>
    <w:p>
      <w:pPr>
        <w:jc w:val="both"/>
        <w:ind w:left="108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The value of any loss of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except as otherwise provided for in this Section 14., shall be the actual cash value or the cost of repairing or replacing such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with </w:t>
      </w:r>
      <w:r>
        <w:rPr>
          <w:rFonts w:ascii="Arial" w:cs="Arial" w:eastAsia="Arial" w:hAnsi="Arial"/>
          <w:sz w:val="20"/>
          <w:szCs w:val="20"/>
          <w:b w:val="1"/>
          <w:bCs w:val="1"/>
          <w:color w:val="auto"/>
        </w:rPr>
        <w:t>Property</w:t>
      </w:r>
      <w:r>
        <w:rPr>
          <w:rFonts w:ascii="Arial" w:cs="Arial" w:eastAsia="Arial" w:hAnsi="Arial"/>
          <w:sz w:val="20"/>
          <w:szCs w:val="20"/>
          <w:color w:val="auto"/>
        </w:rPr>
        <w:t xml:space="preserve"> of like quality and value, whichever is less.</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904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16 of 17</w:t>
      </w:r>
    </w:p>
    <w:p>
      <w:pPr>
        <w:sectPr>
          <w:pgSz w:w="12240" w:h="15840" w:orient="portrait"/>
          <w:cols w:equalWidth="0" w:num="1">
            <w:col w:w="10080"/>
          </w:cols>
          <w:pgMar w:left="1080" w:top="714" w:right="1080" w:bottom="156" w:gutter="0" w:footer="0" w:header="0"/>
          <w:type w:val="continuous"/>
        </w:sectPr>
      </w:pPr>
    </w:p>
    <w:bookmarkStart w:id="29" w:name="page30"/>
    <w:bookmarkEnd w:id="29"/>
    <w:p>
      <w:pPr>
        <w:jc w:val="right"/>
        <w:ind w:right="100"/>
        <w:spacing w:after="0"/>
        <w:rPr>
          <w:sz w:val="20"/>
          <w:szCs w:val="20"/>
          <w:color w:val="auto"/>
        </w:rPr>
      </w:pPr>
      <w:r>
        <w:rPr>
          <w:rFonts w:ascii="Arial" w:cs="Arial" w:eastAsia="Arial" w:hAnsi="Arial"/>
          <w:sz w:val="28"/>
          <w:szCs w:val="28"/>
          <w:b w:val="1"/>
          <w:bCs w:val="1"/>
          <w:color w:val="auto"/>
        </w:rPr>
        <w:t>Financial Institution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-113030</wp:posOffset>
            </wp:positionV>
            <wp:extent cx="1276350" cy="1238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7">
                      <a:extLst>
                        <a:ext uri="{28A0092B-C50C-407E-A947-70E740481C1C}"/>
                      </a:extLst>
                    </a:blip>
                    <a:srcRect/>
                    <a:stretch>
                      <a:fillRect/>
                    </a:stretch>
                  </pic:blipFill>
                  <pic:spPr bwMode="auto">
                    <a:xfrm>
                      <a:off x="0" y="0"/>
                      <a:ext cx="1276350" cy="123825"/>
                    </a:xfrm>
                    <a:prstGeom prst="rect">
                      <a:avLst/>
                    </a:prstGeom>
                    <a:noFill/>
                  </pic:spPr>
                </pic:pic>
              </a:graphicData>
            </a:graphic>
          </wp:anchor>
        </w:drawing>
      </w:r>
    </w:p>
    <w:p>
      <w:pPr>
        <w:jc w:val="right"/>
        <w:ind w:right="100"/>
        <w:spacing w:after="0" w:line="237" w:lineRule="auto"/>
        <w:rPr>
          <w:sz w:val="20"/>
          <w:szCs w:val="20"/>
          <w:color w:val="auto"/>
        </w:rPr>
      </w:pPr>
      <w:r>
        <w:rPr>
          <w:rFonts w:ascii="Arial" w:cs="Arial" w:eastAsia="Arial" w:hAnsi="Arial"/>
          <w:sz w:val="28"/>
          <w:szCs w:val="28"/>
          <w:b w:val="1"/>
          <w:bCs w:val="1"/>
          <w:color w:val="auto"/>
        </w:rPr>
        <w:t>For Investment Companies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292100</wp:posOffset>
                </wp:positionV>
                <wp:extent cx="641667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667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23pt" to="504.05pt,23pt" o:allowincell="f" strokecolor="#000000" strokeweight="1.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hanging="360"/>
        <w:spacing w:after="0"/>
        <w:tabs>
          <w:tab w:leader="none" w:pos="10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Securities</w:t>
      </w:r>
    </w:p>
    <w:p>
      <w:pPr>
        <w:spacing w:after="0" w:line="122" w:lineRule="exact"/>
        <w:rPr>
          <w:rFonts w:ascii="Arial" w:cs="Arial" w:eastAsia="Arial" w:hAnsi="Arial"/>
          <w:sz w:val="20"/>
          <w:szCs w:val="20"/>
          <w:color w:val="auto"/>
        </w:rPr>
      </w:pPr>
    </w:p>
    <w:p>
      <w:pPr>
        <w:jc w:val="both"/>
        <w:ind w:left="1080"/>
        <w:spacing w:after="0" w:line="237" w:lineRule="auto"/>
        <w:rPr>
          <w:rFonts w:ascii="Arial" w:cs="Arial" w:eastAsia="Arial" w:hAnsi="Arial"/>
          <w:sz w:val="20"/>
          <w:szCs w:val="20"/>
          <w:color w:val="auto"/>
        </w:rPr>
      </w:pPr>
      <w:r>
        <w:rPr>
          <w:rFonts w:ascii="Arial" w:cs="Arial" w:eastAsia="Arial" w:hAnsi="Arial"/>
          <w:sz w:val="20"/>
          <w:szCs w:val="20"/>
          <w:color w:val="auto"/>
        </w:rPr>
        <w:t xml:space="preserve">The value of any loss of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shall be the average market value of such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on the business day immediately preceding discovery of such loss, provided that the value of any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replaced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or for such privileges, the value shall be fixed by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158115</wp:posOffset>
            </wp:positionV>
            <wp:extent cx="64395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8">
                      <a:extLst>
                        <a:ext uri="{28A0092B-C50C-407E-A947-70E740481C1C}"/>
                      </a:extLst>
                    </a:blip>
                    <a:srcRect/>
                    <a:stretch>
                      <a:fillRect/>
                    </a:stretch>
                  </pic:blipFill>
                  <pic:spPr bwMode="auto">
                    <a:xfrm>
                      <a:off x="0" y="0"/>
                      <a:ext cx="6439535" cy="19050"/>
                    </a:xfrm>
                    <a:prstGeom prst="rect">
                      <a:avLst/>
                    </a:prstGeom>
                    <a:noFill/>
                  </pic:spPr>
                </pic:pic>
              </a:graphicData>
            </a:graphic>
          </wp:anchor>
        </w:drawing>
      </w:r>
    </w:p>
    <w:p>
      <w:pPr>
        <w:spacing w:after="0" w:line="37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b w:val="1"/>
          <w:bCs w:val="1"/>
          <w:color w:val="auto"/>
        </w:rPr>
        <w:t>VI.</w:t>
      </w:r>
      <w:r>
        <w:rPr>
          <w:sz w:val="20"/>
          <w:szCs w:val="20"/>
          <w:color w:val="auto"/>
        </w:rPr>
        <w:tab/>
      </w:r>
      <w:r>
        <w:rPr>
          <w:rFonts w:ascii="Arial" w:cs="Arial" w:eastAsia="Arial" w:hAnsi="Arial"/>
          <w:sz w:val="20"/>
          <w:szCs w:val="20"/>
          <w:b w:val="1"/>
          <w:bCs w:val="1"/>
          <w:color w:val="auto"/>
        </w:rPr>
        <w:t>COMPLIANCE WITH APPLICABLE TRADE SANCTION LAWS</w:t>
      </w:r>
    </w:p>
    <w:p>
      <w:pPr>
        <w:spacing w:after="0" w:line="121" w:lineRule="exact"/>
        <w:rPr>
          <w:sz w:val="20"/>
          <w:szCs w:val="20"/>
          <w:color w:val="auto"/>
        </w:rPr>
      </w:pPr>
    </w:p>
    <w:p>
      <w:pPr>
        <w:ind w:left="720"/>
        <w:spacing w:after="0" w:line="236" w:lineRule="auto"/>
        <w:rPr>
          <w:sz w:val="20"/>
          <w:szCs w:val="20"/>
          <w:color w:val="auto"/>
        </w:rPr>
      </w:pPr>
      <w:r>
        <w:rPr>
          <w:rFonts w:ascii="Arial" w:cs="Arial" w:eastAsia="Arial" w:hAnsi="Arial"/>
          <w:sz w:val="20"/>
          <w:szCs w:val="20"/>
          <w:color w:val="auto"/>
        </w:rPr>
        <w:t>This Bond does not apply to the extent that trade or economic sanctions law or other similar laws or regulations prohibit the Company from providing insurance.</w:t>
      </w:r>
    </w:p>
    <w:p>
      <w:pPr>
        <w:sectPr>
          <w:pgSz w:w="12240" w:h="15840" w:orient="portrait"/>
          <w:cols w:equalWidth="0" w:num="1">
            <w:col w:w="10080"/>
          </w:cols>
          <w:pgMar w:left="1080" w:top="714" w:right="1080" w:bottom="1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9060" w:val="left"/>
        </w:tabs>
        <w:rPr>
          <w:sz w:val="20"/>
          <w:szCs w:val="20"/>
          <w:color w:val="auto"/>
        </w:rPr>
      </w:pPr>
      <w:r>
        <w:rPr>
          <w:rFonts w:ascii="Arial" w:cs="Arial" w:eastAsia="Arial" w:hAnsi="Arial"/>
          <w:sz w:val="18"/>
          <w:szCs w:val="18"/>
          <w:color w:val="auto"/>
        </w:rPr>
        <w:t>PF-52903 (08/21)</w:t>
      </w:r>
      <w:r>
        <w:rPr>
          <w:sz w:val="20"/>
          <w:szCs w:val="20"/>
          <w:color w:val="auto"/>
        </w:rPr>
        <w:tab/>
      </w:r>
      <w:r>
        <w:rPr>
          <w:rFonts w:ascii="Arial" w:cs="Arial" w:eastAsia="Arial" w:hAnsi="Arial"/>
          <w:sz w:val="16"/>
          <w:szCs w:val="16"/>
          <w:color w:val="auto"/>
        </w:rPr>
        <w:t>Page 17 of 17</w:t>
      </w:r>
    </w:p>
    <w:p>
      <w:pPr>
        <w:sectPr>
          <w:pgSz w:w="12240" w:h="15840" w:orient="portrait"/>
          <w:cols w:equalWidth="0" w:num="1">
            <w:col w:w="10080"/>
          </w:cols>
          <w:pgMar w:left="1080" w:top="714" w:right="1080" w:bottom="156" w:gutter="0" w:footer="0" w:header="0"/>
          <w:type w:val="continuous"/>
        </w:sectPr>
      </w:pPr>
    </w:p>
    <w:bookmarkStart w:id="30" w:name="page31"/>
    <w:bookmarkEnd w:id="30"/>
    <w:p>
      <w:pPr>
        <w:jc w:val="center"/>
        <w:ind w:right="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t>RENEWAL BOND ENDORSEMENT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160020</wp:posOffset>
                </wp:positionV>
                <wp:extent cx="0" cy="837565"/>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2.6pt" to="-0.2499pt,78.5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6657975</wp:posOffset>
                </wp:positionH>
                <wp:positionV relativeFrom="paragraph">
                  <wp:posOffset>160020</wp:posOffset>
                </wp:positionV>
                <wp:extent cx="0" cy="83756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25pt,12.6pt" to="524.25pt,78.55pt" o:allowincell="f" strokecolor="#000000" strokeweight="0.5pt"/>
            </w:pict>
          </mc:Fallback>
        </mc:AlternateConten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Named Assured</w:t>
            </w:r>
          </w:p>
        </w:tc>
        <w:tc>
          <w:tcPr>
            <w:tcW w:w="16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40" w:type="dxa"/>
            <w:vAlign w:val="bottom"/>
            <w:tcBorders>
              <w:top w:val="single" w:sz="8" w:color="auto"/>
              <w:right w:val="single" w:sz="8" w:color="auto"/>
            </w:tcBorders>
          </w:tcPr>
          <w:p>
            <w:pPr>
              <w:spacing w:after="0"/>
              <w:rPr>
                <w:sz w:val="17"/>
                <w:szCs w:val="17"/>
                <w:color w:val="auto"/>
              </w:rPr>
            </w:pPr>
          </w:p>
        </w:tc>
        <w:tc>
          <w:tcPr>
            <w:tcW w:w="29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Endorsement Number</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ARROWMARK FINANCIAL CORP.</w:t>
            </w:r>
          </w:p>
        </w:tc>
        <w:tc>
          <w:tcPr>
            <w:tcW w:w="16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183"/>
        </w:trPr>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Bond Number</w:t>
            </w:r>
          </w:p>
        </w:tc>
        <w:tc>
          <w:tcPr>
            <w:tcW w:w="1600" w:type="dxa"/>
            <w:vAlign w:val="bottom"/>
          </w:tcPr>
          <w:p>
            <w:pPr>
              <w:jc w:val="right"/>
              <w:ind w:right="655"/>
              <w:spacing w:after="0"/>
              <w:rPr>
                <w:sz w:val="20"/>
                <w:szCs w:val="20"/>
                <w:color w:val="auto"/>
              </w:rPr>
            </w:pPr>
            <w:r>
              <w:rPr>
                <w:rFonts w:ascii="Arial" w:cs="Arial" w:eastAsia="Arial" w:hAnsi="Arial"/>
                <w:sz w:val="14"/>
                <w:szCs w:val="14"/>
                <w:color w:val="auto"/>
              </w:rPr>
              <w:t>Bond Period</w:t>
            </w:r>
          </w:p>
        </w:tc>
        <w:tc>
          <w:tcPr>
            <w:tcW w:w="660" w:type="dxa"/>
            <w:vAlign w:val="bottom"/>
            <w:vMerge w:val="restart"/>
          </w:tcPr>
          <w:p>
            <w:pPr>
              <w:ind w:left="240"/>
              <w:spacing w:after="0"/>
              <w:rPr>
                <w:sz w:val="20"/>
                <w:szCs w:val="20"/>
                <w:color w:val="auto"/>
              </w:rPr>
            </w:pPr>
            <w:r>
              <w:rPr>
                <w:rFonts w:ascii="Arial" w:cs="Arial" w:eastAsia="Arial" w:hAnsi="Arial"/>
                <w:sz w:val="20"/>
                <w:szCs w:val="20"/>
                <w:color w:val="auto"/>
              </w:rPr>
              <w:t>to</w:t>
            </w:r>
          </w:p>
        </w:tc>
        <w:tc>
          <w:tcPr>
            <w:tcW w:w="1640" w:type="dxa"/>
            <w:vAlign w:val="bottom"/>
            <w:tcBorders>
              <w:right w:val="single" w:sz="8" w:color="auto"/>
            </w:tcBorders>
            <w:vMerge w:val="restart"/>
          </w:tcPr>
          <w:p>
            <w:pPr>
              <w:jc w:val="right"/>
              <w:ind w:right="220"/>
              <w:spacing w:after="0"/>
              <w:rPr>
                <w:sz w:val="20"/>
                <w:szCs w:val="20"/>
                <w:color w:val="auto"/>
              </w:rPr>
            </w:pPr>
            <w:r>
              <w:rPr>
                <w:rFonts w:ascii="Arial" w:cs="Arial" w:eastAsia="Arial" w:hAnsi="Arial"/>
                <w:sz w:val="20"/>
                <w:szCs w:val="20"/>
                <w:color w:val="auto"/>
              </w:rPr>
              <w:t>09-28-2026</w:t>
            </w:r>
          </w:p>
        </w:tc>
        <w:tc>
          <w:tcPr>
            <w:tcW w:w="2900" w:type="dxa"/>
            <w:vAlign w:val="bottom"/>
          </w:tcPr>
          <w:p>
            <w:pPr>
              <w:ind w:left="100"/>
              <w:spacing w:after="0"/>
              <w:rPr>
                <w:sz w:val="20"/>
                <w:szCs w:val="20"/>
                <w:color w:val="auto"/>
              </w:rPr>
            </w:pPr>
            <w:r>
              <w:rPr>
                <w:rFonts w:ascii="Arial" w:cs="Arial" w:eastAsia="Arial" w:hAnsi="Arial"/>
                <w:sz w:val="14"/>
                <w:szCs w:val="14"/>
                <w:color w:val="auto"/>
              </w:rPr>
              <w:t>Effective Date of Endorsement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J0604136A</w:t>
            </w:r>
          </w:p>
        </w:tc>
        <w:tc>
          <w:tcPr>
            <w:tcW w:w="1600" w:type="dxa"/>
            <w:vAlign w:val="bottom"/>
            <w:tcBorders>
              <w:bottom w:val="single" w:sz="8" w:color="auto"/>
            </w:tcBorders>
          </w:tcPr>
          <w:p>
            <w:pPr>
              <w:jc w:val="right"/>
              <w:ind w:right="175"/>
              <w:spacing w:after="0"/>
              <w:rPr>
                <w:sz w:val="20"/>
                <w:szCs w:val="20"/>
                <w:color w:val="auto"/>
              </w:rPr>
            </w:pPr>
            <w:r>
              <w:rPr>
                <w:rFonts w:ascii="Arial" w:cs="Arial" w:eastAsia="Arial" w:hAnsi="Arial"/>
                <w:sz w:val="20"/>
                <w:szCs w:val="20"/>
                <w:color w:val="auto"/>
              </w:rPr>
              <w:t>09-28-2025</w:t>
            </w:r>
          </w:p>
        </w:tc>
        <w:tc>
          <w:tcPr>
            <w:tcW w:w="660" w:type="dxa"/>
            <w:vAlign w:val="bottom"/>
            <w:tcBorders>
              <w:bottom w:val="single" w:sz="8" w:color="auto"/>
            </w:tcBorders>
            <w:vMerge w:val="continue"/>
          </w:tcPr>
          <w:p>
            <w:pPr>
              <w:spacing w:after="0"/>
              <w:rPr>
                <w:sz w:val="20"/>
                <w:szCs w:val="20"/>
                <w:color w:val="auto"/>
              </w:rPr>
            </w:pPr>
          </w:p>
        </w:tc>
        <w:tc>
          <w:tcPr>
            <w:tcW w:w="1640" w:type="dxa"/>
            <w:vAlign w:val="bottom"/>
            <w:tcBorders>
              <w:bottom w:val="single" w:sz="8" w:color="auto"/>
              <w:right w:val="single" w:sz="8" w:color="auto"/>
            </w:tcBorders>
            <w:vMerge w:val="continue"/>
          </w:tcPr>
          <w:p>
            <w:pPr>
              <w:spacing w:after="0"/>
              <w:rPr>
                <w:sz w:val="20"/>
                <w:szCs w:val="20"/>
                <w:color w:val="auto"/>
              </w:rPr>
            </w:pPr>
          </w:p>
        </w:tc>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September 28, 2025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Issued By</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Federal Insurance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1270</wp:posOffset>
                </wp:positionV>
                <wp:extent cx="666750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75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0.1pt" to="524.5pt,0.1pt" o:allowincell="f" strokecolor="#000000" strokeweight="0.5pt"/>
            </w:pict>
          </mc:Fallback>
        </mc:AlternateContent>
      </w:r>
    </w:p>
    <w:p>
      <w:pPr>
        <w:spacing w:after="0" w:line="213" w:lineRule="exact"/>
        <w:rPr>
          <w:sz w:val="20"/>
          <w:szCs w:val="20"/>
          <w:color w:val="auto"/>
        </w:rPr>
      </w:pPr>
    </w:p>
    <w:p>
      <w:pPr>
        <w:ind w:left="1240"/>
        <w:spacing w:after="0"/>
        <w:rPr>
          <w:sz w:val="20"/>
          <w:szCs w:val="20"/>
          <w:color w:val="auto"/>
        </w:rPr>
      </w:pPr>
      <w:r>
        <w:rPr>
          <w:rFonts w:ascii="Arial" w:cs="Arial" w:eastAsia="Arial" w:hAnsi="Arial"/>
          <w:sz w:val="20"/>
          <w:szCs w:val="20"/>
          <w:b w:val="1"/>
          <w:bCs w:val="1"/>
          <w:color w:val="auto"/>
        </w:rPr>
        <w:t>THIS ENDORSEMENT CHANGES THE BOND. PLEASE READ IT CAREFULLY.</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consideration of the premium charged, it is agreed that:</w:t>
      </w:r>
    </w:p>
    <w:p>
      <w:pPr>
        <w:spacing w:after="0" w:line="345" w:lineRule="exact"/>
        <w:rPr>
          <w:sz w:val="20"/>
          <w:szCs w:val="20"/>
          <w:color w:val="auto"/>
        </w:rPr>
      </w:pPr>
    </w:p>
    <w:p>
      <w:pPr>
        <w:jc w:val="both"/>
        <w:ind w:left="560" w:right="220" w:hanging="360"/>
        <w:spacing w:after="0" w:line="242" w:lineRule="auto"/>
        <w:tabs>
          <w:tab w:leader="none" w:pos="5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This Bond together with all endorsements attached herein (the “Renewal Bond”), has been issued as a renewal of 82341521. issued to Arrowmark Financial Corp. by, Federal Insurance Company (the “Expiring Bond”). The terms and conditions of either the Renewal Bond or the Expiring Bond, whichever in its entirety is more favorable to the </w:t>
      </w:r>
      <w:r>
        <w:rPr>
          <w:rFonts w:ascii="Arial" w:cs="Arial" w:eastAsia="Arial" w:hAnsi="Arial"/>
          <w:sz w:val="20"/>
          <w:szCs w:val="20"/>
          <w:b w:val="1"/>
          <w:bCs w:val="1"/>
          <w:color w:val="auto"/>
        </w:rPr>
        <w:t>Assured</w:t>
      </w:r>
      <w:r>
        <w:rPr>
          <w:rFonts w:ascii="Arial" w:cs="Arial" w:eastAsia="Arial" w:hAnsi="Arial"/>
          <w:sz w:val="20"/>
          <w:szCs w:val="20"/>
          <w:color w:val="auto"/>
        </w:rPr>
        <w:t>, shall govern with respect to any loss, provided that in all events, any applicable Deductible and Single Loss Limit Of Liability of the Renewal Bond shall apply to any such loss.</w:t>
      </w:r>
    </w:p>
    <w:p>
      <w:pPr>
        <w:spacing w:after="0" w:line="203" w:lineRule="exact"/>
        <w:rPr>
          <w:rFonts w:ascii="Arial" w:cs="Arial" w:eastAsia="Arial" w:hAnsi="Arial"/>
          <w:sz w:val="20"/>
          <w:szCs w:val="20"/>
          <w:color w:val="auto"/>
        </w:rPr>
      </w:pPr>
    </w:p>
    <w:p>
      <w:pPr>
        <w:jc w:val="both"/>
        <w:ind w:left="560" w:right="220" w:hanging="360"/>
        <w:spacing w:after="0" w:line="247" w:lineRule="auto"/>
        <w:tabs>
          <w:tab w:leader="none" w:pos="5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the event of any subsequent renewal of this Bond, this endorsement shall not be included in such subsequent renewal and all obligations of the Company under this endorsement shall terminate as of 09-28-2026 and be of no further force and effect.</w:t>
      </w:r>
    </w:p>
    <w:p>
      <w:pPr>
        <w:spacing w:after="0" w:line="199" w:lineRule="exact"/>
        <w:rPr>
          <w:sz w:val="20"/>
          <w:szCs w:val="20"/>
          <w:color w:val="auto"/>
        </w:rPr>
      </w:pPr>
    </w:p>
    <w:p>
      <w:pPr>
        <w:ind w:left="200" w:right="220"/>
        <w:spacing w:after="0" w:line="257" w:lineRule="auto"/>
        <w:rPr>
          <w:sz w:val="20"/>
          <w:szCs w:val="20"/>
          <w:color w:val="auto"/>
        </w:rPr>
      </w:pPr>
      <w:r>
        <w:rPr>
          <w:rFonts w:ascii="Arial" w:cs="Arial" w:eastAsia="Arial" w:hAnsi="Arial"/>
          <w:sz w:val="20"/>
          <w:szCs w:val="20"/>
          <w:color w:val="auto"/>
        </w:rPr>
        <w:t>The title and any headings in this endorsement/rider are solely for convenience and form no part of the terms and conditions of coverage.</w:t>
      </w:r>
    </w:p>
    <w:p>
      <w:pPr>
        <w:spacing w:after="0" w:line="32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527050</wp:posOffset>
            </wp:positionV>
            <wp:extent cx="1463040" cy="365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0">
                      <a:extLst>
                        <a:ext uri="{28A0092B-C50C-407E-A947-70E740481C1C}"/>
                      </a:extLst>
                    </a:blip>
                    <a:srcRect/>
                    <a:stretch>
                      <a:fillRect/>
                    </a:stretch>
                  </pic:blipFill>
                  <pic:spPr bwMode="auto">
                    <a:xfrm>
                      <a:off x="0" y="0"/>
                      <a:ext cx="1463040" cy="3657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3327400</wp:posOffset>
                </wp:positionH>
                <wp:positionV relativeFrom="paragraph">
                  <wp:posOffset>1026795</wp:posOffset>
                </wp:positionV>
                <wp:extent cx="22860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pt,80.85pt" to="442pt,80.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Authorized Representative</w:t>
      </w:r>
    </w:p>
    <w:p>
      <w:pPr>
        <w:sectPr>
          <w:pgSz w:w="12240" w:h="15840" w:orient="portrait"/>
          <w:cols w:equalWidth="0" w:num="1">
            <w:col w:w="10500"/>
          </w:cols>
          <w:pgMar w:left="880" w:top="1424" w:right="86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0"/>
        <w:spacing w:after="0"/>
        <w:tabs>
          <w:tab w:leader="none" w:pos="9440" w:val="left"/>
        </w:tabs>
        <w:rPr>
          <w:sz w:val="20"/>
          <w:szCs w:val="20"/>
          <w:color w:val="auto"/>
        </w:rPr>
      </w:pPr>
      <w:r>
        <w:rPr>
          <w:rFonts w:ascii="Arial" w:cs="Arial" w:eastAsia="Arial" w:hAnsi="Arial"/>
          <w:sz w:val="18"/>
          <w:szCs w:val="18"/>
          <w:color w:val="auto"/>
        </w:rPr>
        <w:t>PF-51469 (02/19)</w:t>
      </w:r>
      <w:r>
        <w:rPr>
          <w:sz w:val="20"/>
          <w:szCs w:val="20"/>
          <w:color w:val="auto"/>
        </w:rPr>
        <w:tab/>
      </w:r>
      <w:r>
        <w:rPr>
          <w:rFonts w:ascii="Arial" w:cs="Arial" w:eastAsia="Arial" w:hAnsi="Arial"/>
          <w:sz w:val="16"/>
          <w:szCs w:val="16"/>
          <w:color w:val="auto"/>
        </w:rPr>
        <w:t>Page 1 of 1</w:t>
      </w:r>
    </w:p>
    <w:p>
      <w:pPr>
        <w:sectPr>
          <w:pgSz w:w="12240" w:h="15840" w:orient="portrait"/>
          <w:cols w:equalWidth="0" w:num="1">
            <w:col w:w="10500"/>
          </w:cols>
          <w:pgMar w:left="880" w:top="1424" w:right="860" w:bottom="157"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685800</wp:posOffset>
            </wp:positionH>
            <wp:positionV relativeFrom="page">
              <wp:posOffset>494665</wp:posOffset>
            </wp:positionV>
            <wp:extent cx="1280160" cy="124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80160" cy="124460"/>
                    </a:xfrm>
                    <a:prstGeom prst="rect">
                      <a:avLst/>
                    </a:prstGeom>
                    <a:noFill/>
                  </pic:spPr>
                </pic:pic>
              </a:graphicData>
            </a:graphic>
          </wp:anchor>
        </w:drawing>
        <w:t>FRAUDULENT TRANSFER INSTRUCTION ENDORSEMENT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160020</wp:posOffset>
                </wp:positionV>
                <wp:extent cx="0" cy="83756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2.6pt" to="-0.0999pt,78.55pt" o:allowincell="f" strokecolor="#000000" strokeweight="0.5pt"/>
            </w:pict>
          </mc:Fallback>
        </mc:AlternateContent>
        <mc:AlternateContent>
          <mc:Choice Requires="wps">
            <w:drawing>
              <wp:anchor simplePos="0" relativeHeight="251657728" behindDoc="1" locked="0" layoutInCell="0" allowOverlap="1">
                <wp:simplePos x="0" y="0"/>
                <wp:positionH relativeFrom="column">
                  <wp:posOffset>6656070</wp:posOffset>
                </wp:positionH>
                <wp:positionV relativeFrom="paragraph">
                  <wp:posOffset>160020</wp:posOffset>
                </wp:positionV>
                <wp:extent cx="0" cy="83756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37565"/>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4.1pt,12.6pt" to="524.1pt,78.55pt" o:allowincell="f" strokecolor="#000000" strokeweight="0.5pt"/>
            </w:pict>
          </mc:Fallback>
        </mc:AlternateConten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Named Assured</w:t>
            </w:r>
          </w:p>
        </w:tc>
        <w:tc>
          <w:tcPr>
            <w:tcW w:w="1500" w:type="dxa"/>
            <w:vAlign w:val="bottom"/>
            <w:tcBorders>
              <w:top w:val="single" w:sz="8" w:color="auto"/>
            </w:tcBorders>
          </w:tcPr>
          <w:p>
            <w:pPr>
              <w:spacing w:after="0"/>
              <w:rPr>
                <w:sz w:val="17"/>
                <w:szCs w:val="17"/>
                <w:color w:val="auto"/>
              </w:rPr>
            </w:pPr>
          </w:p>
        </w:tc>
        <w:tc>
          <w:tcPr>
            <w:tcW w:w="2400" w:type="dxa"/>
            <w:vAlign w:val="bottom"/>
            <w:tcBorders>
              <w:top w:val="single" w:sz="8" w:color="auto"/>
              <w:right w:val="single" w:sz="8" w:color="auto"/>
            </w:tcBorders>
          </w:tcPr>
          <w:p>
            <w:pPr>
              <w:spacing w:after="0"/>
              <w:rPr>
                <w:sz w:val="17"/>
                <w:szCs w:val="17"/>
                <w:color w:val="auto"/>
              </w:rPr>
            </w:pPr>
          </w:p>
        </w:tc>
        <w:tc>
          <w:tcPr>
            <w:tcW w:w="28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Endorsement Number</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ARROWMARK FINANCIAL CORP.</w:t>
            </w:r>
          </w:p>
        </w:tc>
        <w:tc>
          <w:tcPr>
            <w:tcW w:w="1500" w:type="dxa"/>
            <w:vAlign w:val="bottom"/>
            <w:tcBorders>
              <w:bottom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83"/>
        </w:trPr>
        <w:tc>
          <w:tcPr>
            <w:tcW w:w="370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Bond Number</w:t>
            </w:r>
          </w:p>
        </w:tc>
        <w:tc>
          <w:tcPr>
            <w:tcW w:w="1500" w:type="dxa"/>
            <w:vAlign w:val="bottom"/>
          </w:tcPr>
          <w:p>
            <w:pPr>
              <w:ind w:left="100"/>
              <w:spacing w:after="0"/>
              <w:rPr>
                <w:sz w:val="20"/>
                <w:szCs w:val="20"/>
                <w:color w:val="auto"/>
              </w:rPr>
            </w:pPr>
            <w:r>
              <w:rPr>
                <w:rFonts w:ascii="Arial" w:cs="Arial" w:eastAsia="Arial" w:hAnsi="Arial"/>
                <w:sz w:val="14"/>
                <w:szCs w:val="14"/>
                <w:color w:val="auto"/>
              </w:rPr>
              <w:t>Bond Period</w:t>
            </w:r>
          </w:p>
        </w:tc>
        <w:tc>
          <w:tcPr>
            <w:tcW w:w="2400" w:type="dxa"/>
            <w:vAlign w:val="bottom"/>
            <w:tcBorders>
              <w:right w:val="single" w:sz="8" w:color="auto"/>
            </w:tcBorders>
            <w:vMerge w:val="restart"/>
          </w:tcPr>
          <w:p>
            <w:pPr>
              <w:ind w:left="340"/>
              <w:spacing w:after="0"/>
              <w:rPr>
                <w:sz w:val="20"/>
                <w:szCs w:val="20"/>
                <w:color w:val="auto"/>
              </w:rPr>
            </w:pPr>
            <w:r>
              <w:rPr>
                <w:rFonts w:ascii="Arial" w:cs="Arial" w:eastAsia="Arial" w:hAnsi="Arial"/>
                <w:sz w:val="20"/>
                <w:szCs w:val="20"/>
                <w:color w:val="auto"/>
              </w:rPr>
              <w:t>to   09-28-2026</w:t>
            </w:r>
          </w:p>
        </w:tc>
        <w:tc>
          <w:tcPr>
            <w:tcW w:w="2880" w:type="dxa"/>
            <w:vAlign w:val="bottom"/>
          </w:tcPr>
          <w:p>
            <w:pPr>
              <w:ind w:left="100"/>
              <w:spacing w:after="0"/>
              <w:rPr>
                <w:sz w:val="20"/>
                <w:szCs w:val="20"/>
                <w:color w:val="auto"/>
              </w:rPr>
            </w:pPr>
            <w:r>
              <w:rPr>
                <w:rFonts w:ascii="Arial" w:cs="Arial" w:eastAsia="Arial" w:hAnsi="Arial"/>
                <w:sz w:val="14"/>
                <w:szCs w:val="14"/>
                <w:color w:val="auto"/>
              </w:rPr>
              <w:t>Effective Date of Endorsement</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J0604136A</w:t>
            </w:r>
          </w:p>
        </w:tc>
        <w:tc>
          <w:tcPr>
            <w:tcW w:w="150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09-28-2025</w:t>
            </w:r>
          </w:p>
        </w:tc>
        <w:tc>
          <w:tcPr>
            <w:tcW w:w="2400" w:type="dxa"/>
            <w:vAlign w:val="bottom"/>
            <w:tcBorders>
              <w:bottom w:val="single" w:sz="8" w:color="auto"/>
              <w:right w:val="single" w:sz="8" w:color="auto"/>
            </w:tcBorders>
            <w:vMerge w:val="continue"/>
          </w:tcPr>
          <w:p>
            <w:pPr>
              <w:spacing w:after="0"/>
              <w:rPr>
                <w:sz w:val="20"/>
                <w:szCs w:val="20"/>
                <w:color w:val="auto"/>
              </w:rPr>
            </w:pP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September 28, 2025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Issued By</w:t>
      </w:r>
    </w:p>
    <w:p>
      <w:pPr>
        <w:spacing w:after="0" w:line="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Federal Insurance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1270</wp:posOffset>
                </wp:positionV>
                <wp:extent cx="666369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369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499pt,0.1pt" to="524.35pt,0.1pt" o:allowincell="f" strokecolor="#000000" strokeweight="0.5pt"/>
            </w:pict>
          </mc:Fallback>
        </mc:AlternateConten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ENDORSEMENT CHANGES THE BOND. PLEASE READ IT CAREFULLY.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endorsement modifies insurance provided under the following: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INSTITUTION BOND FOR INVESTMENT COMPANIES</w:t>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consideration of the premium charged, it is agreed that solely with respect to coverage afforded under this</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Endorsement, this Bond is amended as follows:</w:t>
      </w:r>
    </w:p>
    <w:p>
      <w:pPr>
        <w:spacing w:after="0" w:line="111" w:lineRule="exact"/>
        <w:rPr>
          <w:sz w:val="20"/>
          <w:szCs w:val="20"/>
          <w:color w:val="auto"/>
        </w:rPr>
      </w:pPr>
    </w:p>
    <w:p>
      <w:pPr>
        <w:ind w:left="560" w:right="200" w:hanging="360"/>
        <w:spacing w:after="0" w:line="257" w:lineRule="auto"/>
        <w:tabs>
          <w:tab w:leader="none" w:pos="5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Item 2., Single Loss Limits Of Liability – Deductible Amounts, of the Declarations is amended to include the following:</w:t>
      </w:r>
    </w:p>
    <w:p>
      <w:pPr>
        <w:spacing w:after="0" w:line="6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1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9"/>
              </w:rPr>
              <w:t>Insuring Clause</w:t>
            </w:r>
          </w:p>
        </w:tc>
        <w:tc>
          <w:tcPr>
            <w:tcW w:w="168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Single Loss Limit of Liability</w:t>
            </w:r>
          </w:p>
        </w:tc>
        <w:tc>
          <w:tcPr>
            <w:tcW w:w="1300" w:type="dxa"/>
            <w:vAlign w:val="bottom"/>
          </w:tcPr>
          <w:p>
            <w:pPr>
              <w:spacing w:after="0"/>
              <w:rPr>
                <w:sz w:val="19"/>
                <w:szCs w:val="19"/>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Deductible Amount</w:t>
            </w:r>
          </w:p>
        </w:tc>
      </w:tr>
      <w:tr>
        <w:trPr>
          <w:trHeight w:val="365"/>
        </w:trPr>
        <w:tc>
          <w:tcPr>
            <w:tcW w:w="3080" w:type="dxa"/>
            <w:vAlign w:val="bottom"/>
            <w:gridSpan w:val="2"/>
          </w:tcPr>
          <w:p>
            <w:pPr>
              <w:spacing w:after="0"/>
              <w:rPr>
                <w:sz w:val="20"/>
                <w:szCs w:val="20"/>
                <w:color w:val="auto"/>
              </w:rPr>
            </w:pPr>
            <w:r>
              <w:rPr>
                <w:rFonts w:ascii="Arial" w:cs="Arial" w:eastAsia="Arial" w:hAnsi="Arial"/>
                <w:sz w:val="20"/>
                <w:szCs w:val="20"/>
                <w:color w:val="auto"/>
              </w:rPr>
              <w:t>Fraudulent Transfer Instruction</w:t>
            </w:r>
          </w:p>
        </w:tc>
        <w:tc>
          <w:tcPr>
            <w:tcW w:w="2520" w:type="dxa"/>
            <w:vAlign w:val="bottom"/>
          </w:tcPr>
          <w:p>
            <w:pPr>
              <w:spacing w:after="0"/>
              <w:rPr>
                <w:sz w:val="20"/>
                <w:szCs w:val="20"/>
                <w:color w:val="auto"/>
              </w:rPr>
            </w:pPr>
            <w:r>
              <w:rPr>
                <w:rFonts w:ascii="Arial" w:cs="Arial" w:eastAsia="Arial" w:hAnsi="Arial"/>
                <w:sz w:val="20"/>
                <w:szCs w:val="20"/>
                <w:color w:val="auto"/>
              </w:rPr>
              <w:t>$750,000</w:t>
            </w:r>
          </w:p>
        </w:tc>
        <w:tc>
          <w:tcPr>
            <w:tcW w:w="3020" w:type="dxa"/>
            <w:vAlign w:val="bottom"/>
            <w:gridSpan w:val="2"/>
          </w:tcPr>
          <w:p>
            <w:pPr>
              <w:ind w:left="1300"/>
              <w:spacing w:after="0"/>
              <w:rPr>
                <w:sz w:val="20"/>
                <w:szCs w:val="20"/>
                <w:color w:val="auto"/>
              </w:rPr>
            </w:pPr>
            <w:r>
              <w:rPr>
                <w:rFonts w:ascii="Arial" w:cs="Arial" w:eastAsia="Arial" w:hAnsi="Arial"/>
                <w:sz w:val="20"/>
                <w:szCs w:val="20"/>
                <w:color w:val="auto"/>
              </w:rPr>
              <w:t>$10,000</w:t>
            </w:r>
          </w:p>
        </w:tc>
      </w:tr>
    </w:tbl>
    <w:p>
      <w:pPr>
        <w:spacing w:after="0" w:line="98" w:lineRule="exact"/>
        <w:rPr>
          <w:sz w:val="20"/>
          <w:szCs w:val="20"/>
          <w:color w:val="auto"/>
        </w:rPr>
      </w:pPr>
    </w:p>
    <w:p>
      <w:pPr>
        <w:ind w:left="560" w:right="6420" w:hanging="360"/>
        <w:spacing w:after="0" w:line="358" w:lineRule="auto"/>
        <w:tabs>
          <w:tab w:leader="none" w:pos="5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following Insuring Clause is added: 14. Fraudulent Transfer Instruction</w:t>
      </w:r>
    </w:p>
    <w:p>
      <w:pPr>
        <w:jc w:val="both"/>
        <w:ind w:left="560" w:right="200"/>
        <w:spacing w:after="0" w:line="251" w:lineRule="auto"/>
        <w:rPr>
          <w:sz w:val="20"/>
          <w:szCs w:val="20"/>
          <w:color w:val="auto"/>
        </w:rPr>
      </w:pPr>
      <w:r>
        <w:rPr>
          <w:rFonts w:ascii="Arial" w:cs="Arial" w:eastAsia="Arial" w:hAnsi="Arial"/>
          <w:sz w:val="20"/>
          <w:szCs w:val="20"/>
          <w:color w:val="auto"/>
        </w:rPr>
        <w:t xml:space="preserve">Loss resulting directly from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having, in good faith, transferred, paid, or delivered </w:t>
      </w:r>
      <w:r>
        <w:rPr>
          <w:rFonts w:ascii="Arial" w:cs="Arial" w:eastAsia="Arial" w:hAnsi="Arial"/>
          <w:sz w:val="20"/>
          <w:szCs w:val="20"/>
          <w:b w:val="1"/>
          <w:bCs w:val="1"/>
          <w:color w:val="auto"/>
        </w:rPr>
        <w:t>Money</w:t>
      </w:r>
      <w:r>
        <w:rPr>
          <w:rFonts w:ascii="Arial" w:cs="Arial" w:eastAsia="Arial" w:hAnsi="Arial"/>
          <w:sz w:val="20"/>
          <w:szCs w:val="20"/>
          <w:color w:val="auto"/>
        </w:rPr>
        <w:t xml:space="preserve"> or </w:t>
      </w:r>
      <w:r>
        <w:rPr>
          <w:rFonts w:ascii="Arial" w:cs="Arial" w:eastAsia="Arial" w:hAnsi="Arial"/>
          <w:sz w:val="20"/>
          <w:szCs w:val="20"/>
          <w:b w:val="1"/>
          <w:bCs w:val="1"/>
          <w:color w:val="auto"/>
        </w:rPr>
        <w:t xml:space="preserve">Securities </w:t>
      </w:r>
      <w:r>
        <w:rPr>
          <w:rFonts w:ascii="Arial" w:cs="Arial" w:eastAsia="Arial" w:hAnsi="Arial"/>
          <w:sz w:val="20"/>
          <w:szCs w:val="20"/>
          <w:color w:val="auto"/>
        </w:rPr>
        <w:t>in reliance upon a</w:t>
      </w:r>
      <w:r>
        <w:rPr>
          <w:rFonts w:ascii="Arial" w:cs="Arial" w:eastAsia="Arial" w:hAnsi="Arial"/>
          <w:sz w:val="20"/>
          <w:szCs w:val="20"/>
          <w:b w:val="1"/>
          <w:bCs w:val="1"/>
          <w:color w:val="auto"/>
        </w:rPr>
        <w:t xml:space="preserve"> Transfer Instruction </w:t>
      </w:r>
      <w:r>
        <w:rPr>
          <w:rFonts w:ascii="Arial" w:cs="Arial" w:eastAsia="Arial" w:hAnsi="Arial"/>
          <w:sz w:val="20"/>
          <w:szCs w:val="20"/>
          <w:color w:val="auto"/>
        </w:rPr>
        <w:t>that purports, and reasonably appears, to have</w:t>
      </w:r>
      <w:r>
        <w:rPr>
          <w:rFonts w:ascii="Arial" w:cs="Arial" w:eastAsia="Arial" w:hAnsi="Arial"/>
          <w:sz w:val="20"/>
          <w:szCs w:val="20"/>
          <w:b w:val="1"/>
          <w:bCs w:val="1"/>
          <w:color w:val="auto"/>
        </w:rPr>
        <w:t xml:space="preserve"> </w:t>
      </w:r>
      <w:r>
        <w:rPr>
          <w:rFonts w:ascii="Arial" w:cs="Arial" w:eastAsia="Arial" w:hAnsi="Arial"/>
          <w:sz w:val="20"/>
          <w:szCs w:val="20"/>
          <w:color w:val="auto"/>
        </w:rPr>
        <w:t>originated from:</w:t>
      </w:r>
    </w:p>
    <w:p>
      <w:pPr>
        <w:spacing w:after="0" w:line="80" w:lineRule="exact"/>
        <w:rPr>
          <w:sz w:val="20"/>
          <w:szCs w:val="20"/>
          <w:color w:val="auto"/>
        </w:rPr>
      </w:pPr>
    </w:p>
    <w:p>
      <w:pPr>
        <w:ind w:left="920" w:hanging="360"/>
        <w:spacing w:after="0"/>
        <w:tabs>
          <w:tab w:leader="none" w:pos="9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Customer</w:t>
      </w:r>
      <w:r>
        <w:rPr>
          <w:rFonts w:ascii="Arial" w:cs="Arial" w:eastAsia="Arial" w:hAnsi="Arial"/>
          <w:sz w:val="20"/>
          <w:szCs w:val="20"/>
          <w:color w:val="auto"/>
        </w:rPr>
        <w:t>;</w:t>
      </w:r>
    </w:p>
    <w:p>
      <w:pPr>
        <w:spacing w:after="0" w:line="117" w:lineRule="exact"/>
        <w:rPr>
          <w:rFonts w:ascii="Arial" w:cs="Arial" w:eastAsia="Arial" w:hAnsi="Arial"/>
          <w:sz w:val="20"/>
          <w:szCs w:val="20"/>
          <w:color w:val="auto"/>
        </w:rPr>
      </w:pPr>
    </w:p>
    <w:p>
      <w:pPr>
        <w:ind w:left="920" w:hanging="360"/>
        <w:spacing w:after="0"/>
        <w:tabs>
          <w:tab w:leader="none" w:pos="9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an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acting on instructions of such </w:t>
      </w:r>
      <w:r>
        <w:rPr>
          <w:rFonts w:ascii="Arial" w:cs="Arial" w:eastAsia="Arial" w:hAnsi="Arial"/>
          <w:sz w:val="20"/>
          <w:szCs w:val="20"/>
          <w:b w:val="1"/>
          <w:bCs w:val="1"/>
          <w:color w:val="auto"/>
        </w:rPr>
        <w:t>Customer</w:t>
      </w:r>
      <w:r>
        <w:rPr>
          <w:rFonts w:ascii="Arial" w:cs="Arial" w:eastAsia="Arial" w:hAnsi="Arial"/>
          <w:sz w:val="20"/>
          <w:szCs w:val="20"/>
          <w:color w:val="auto"/>
        </w:rPr>
        <w:t>; or</w:t>
      </w:r>
    </w:p>
    <w:p>
      <w:pPr>
        <w:spacing w:after="0" w:line="117" w:lineRule="exact"/>
        <w:rPr>
          <w:rFonts w:ascii="Arial" w:cs="Arial" w:eastAsia="Arial" w:hAnsi="Arial"/>
          <w:sz w:val="20"/>
          <w:szCs w:val="20"/>
          <w:color w:val="auto"/>
        </w:rPr>
      </w:pPr>
    </w:p>
    <w:p>
      <w:pPr>
        <w:ind w:left="920" w:hanging="360"/>
        <w:spacing w:after="0"/>
        <w:tabs>
          <w:tab w:leader="none" w:pos="9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a financial institution acting on behalf of such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with authority to make such instructions,</w:t>
      </w:r>
    </w:p>
    <w:p>
      <w:pPr>
        <w:spacing w:after="0" w:line="117" w:lineRule="exact"/>
        <w:rPr>
          <w:sz w:val="20"/>
          <w:szCs w:val="20"/>
          <w:color w:val="auto"/>
        </w:rPr>
      </w:pPr>
    </w:p>
    <w:p>
      <w:pPr>
        <w:ind w:left="560" w:right="200"/>
        <w:spacing w:after="0" w:line="265" w:lineRule="auto"/>
        <w:rPr>
          <w:sz w:val="20"/>
          <w:szCs w:val="20"/>
          <w:color w:val="auto"/>
        </w:rPr>
      </w:pPr>
      <w:r>
        <w:rPr>
          <w:rFonts w:ascii="Arial" w:cs="Arial" w:eastAsia="Arial" w:hAnsi="Arial"/>
          <w:sz w:val="20"/>
          <w:szCs w:val="20"/>
          <w:color w:val="auto"/>
        </w:rPr>
        <w:t xml:space="preserve">but which </w:t>
      </w:r>
      <w:r>
        <w:rPr>
          <w:rFonts w:ascii="Arial" w:cs="Arial" w:eastAsia="Arial" w:hAnsi="Arial"/>
          <w:sz w:val="20"/>
          <w:szCs w:val="20"/>
          <w:b w:val="1"/>
          <w:bCs w:val="1"/>
          <w:color w:val="auto"/>
        </w:rPr>
        <w:t>Transfer Instruction</w:t>
      </w:r>
      <w:r>
        <w:rPr>
          <w:rFonts w:ascii="Arial" w:cs="Arial" w:eastAsia="Arial" w:hAnsi="Arial"/>
          <w:sz w:val="20"/>
          <w:szCs w:val="20"/>
          <w:color w:val="auto"/>
        </w:rPr>
        <w:t xml:space="preserve"> was, in fact, fraudulently issued without the knowledge of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or</w:t>
      </w:r>
      <w:r>
        <w:rPr>
          <w:rFonts w:ascii="Arial" w:cs="Arial" w:eastAsia="Arial" w:hAnsi="Arial"/>
          <w:sz w:val="20"/>
          <w:szCs w:val="20"/>
          <w:b w:val="1"/>
          <w:bCs w:val="1"/>
          <w:color w:val="auto"/>
        </w:rPr>
        <w:t xml:space="preserve"> Customer</w:t>
      </w:r>
      <w:r>
        <w:rPr>
          <w:rFonts w:ascii="Arial" w:cs="Arial" w:eastAsia="Arial" w:hAnsi="Arial"/>
          <w:sz w:val="20"/>
          <w:szCs w:val="20"/>
          <w:color w:val="auto"/>
        </w:rPr>
        <w:t>.</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20"/>
          <w:szCs w:val="20"/>
          <w:color w:val="auto"/>
        </w:rPr>
        <w:t>As a condition precedent to coverage under this Insuring Clause 14, the:</w:t>
      </w:r>
    </w:p>
    <w:p>
      <w:pPr>
        <w:spacing w:after="0" w:line="109" w:lineRule="exact"/>
        <w:rPr>
          <w:sz w:val="20"/>
          <w:szCs w:val="20"/>
          <w:color w:val="auto"/>
        </w:rPr>
      </w:pPr>
    </w:p>
    <w:p>
      <w:pPr>
        <w:ind w:left="1280" w:right="200" w:hanging="360"/>
        <w:spacing w:after="0" w:line="265" w:lineRule="auto"/>
        <w:tabs>
          <w:tab w:leader="none" w:pos="1280" w:val="left"/>
        </w:tabs>
        <w:numPr>
          <w:ilvl w:val="1"/>
          <w:numId w:val="69"/>
        </w:numPr>
        <w:rPr>
          <w:rFonts w:ascii="Arial" w:cs="Arial" w:eastAsia="Arial" w:hAnsi="Arial"/>
          <w:sz w:val="20"/>
          <w:szCs w:val="20"/>
          <w:color w:val="auto"/>
        </w:rPr>
      </w:pPr>
      <w:r>
        <w:rPr>
          <w:rFonts w:ascii="Arial" w:cs="Arial" w:eastAsia="Arial" w:hAnsi="Arial"/>
          <w:sz w:val="20"/>
          <w:szCs w:val="20"/>
          <w:color w:val="auto"/>
        </w:rPr>
        <w:t xml:space="preserve">sender of the </w:t>
      </w:r>
      <w:r>
        <w:rPr>
          <w:rFonts w:ascii="Arial" w:cs="Arial" w:eastAsia="Arial" w:hAnsi="Arial"/>
          <w:sz w:val="20"/>
          <w:szCs w:val="20"/>
          <w:b w:val="1"/>
          <w:bCs w:val="1"/>
          <w:color w:val="auto"/>
        </w:rPr>
        <w:t>Transfer Instruction</w:t>
      </w:r>
      <w:r>
        <w:rPr>
          <w:rFonts w:ascii="Arial" w:cs="Arial" w:eastAsia="Arial" w:hAnsi="Arial"/>
          <w:sz w:val="20"/>
          <w:szCs w:val="20"/>
          <w:color w:val="auto"/>
        </w:rPr>
        <w:t xml:space="preserve"> must have authenticated such </w:t>
      </w:r>
      <w:r>
        <w:rPr>
          <w:rFonts w:ascii="Arial" w:cs="Arial" w:eastAsia="Arial" w:hAnsi="Arial"/>
          <w:sz w:val="20"/>
          <w:szCs w:val="20"/>
          <w:b w:val="1"/>
          <w:bCs w:val="1"/>
          <w:color w:val="auto"/>
        </w:rPr>
        <w:t>Transfer Instruction</w:t>
      </w:r>
      <w:r>
        <w:rPr>
          <w:rFonts w:ascii="Arial" w:cs="Arial" w:eastAsia="Arial" w:hAnsi="Arial"/>
          <w:sz w:val="20"/>
          <w:szCs w:val="20"/>
          <w:color w:val="auto"/>
        </w:rPr>
        <w:t xml:space="preserve"> with the </w:t>
      </w:r>
      <w:r>
        <w:rPr>
          <w:rFonts w:ascii="Arial" w:cs="Arial" w:eastAsia="Arial" w:hAnsi="Arial"/>
          <w:sz w:val="20"/>
          <w:szCs w:val="20"/>
          <w:b w:val="1"/>
          <w:bCs w:val="1"/>
          <w:color w:val="auto"/>
        </w:rPr>
        <w:t xml:space="preserve">Customer’s </w:t>
      </w:r>
      <w:r>
        <w:rPr>
          <w:rFonts w:ascii="Arial" w:cs="Arial" w:eastAsia="Arial" w:hAnsi="Arial"/>
          <w:sz w:val="20"/>
          <w:szCs w:val="20"/>
          <w:color w:val="auto"/>
        </w:rPr>
        <w:t>authentication credentials or mechanism;</w:t>
      </w:r>
    </w:p>
    <w:p>
      <w:pPr>
        <w:spacing w:after="0" w:line="66" w:lineRule="exact"/>
        <w:rPr>
          <w:rFonts w:ascii="Arial" w:cs="Arial" w:eastAsia="Arial" w:hAnsi="Arial"/>
          <w:sz w:val="20"/>
          <w:szCs w:val="20"/>
          <w:color w:val="auto"/>
        </w:rPr>
      </w:pPr>
    </w:p>
    <w:p>
      <w:pPr>
        <w:jc w:val="both"/>
        <w:ind w:left="1280" w:right="200" w:hanging="360"/>
        <w:spacing w:after="0" w:line="251" w:lineRule="auto"/>
        <w:tabs>
          <w:tab w:leader="none" w:pos="1280" w:val="left"/>
        </w:tabs>
        <w:numPr>
          <w:ilvl w:val="1"/>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acting on the</w:t>
      </w:r>
      <w:r>
        <w:rPr>
          <w:rFonts w:ascii="Arial" w:cs="Arial" w:eastAsia="Arial" w:hAnsi="Arial"/>
          <w:sz w:val="20"/>
          <w:szCs w:val="20"/>
          <w:b w:val="1"/>
          <w:bCs w:val="1"/>
          <w:color w:val="auto"/>
        </w:rPr>
        <w:t xml:space="preserve"> Transfer Instruction </w:t>
      </w:r>
      <w:r>
        <w:rPr>
          <w:rFonts w:ascii="Arial" w:cs="Arial" w:eastAsia="Arial" w:hAnsi="Arial"/>
          <w:sz w:val="20"/>
          <w:szCs w:val="20"/>
          <w:color w:val="auto"/>
        </w:rPr>
        <w:t>must obtain</w:t>
      </w:r>
      <w:r>
        <w:rPr>
          <w:rFonts w:ascii="Arial" w:cs="Arial" w:eastAsia="Arial" w:hAnsi="Arial"/>
          <w:sz w:val="20"/>
          <w:szCs w:val="20"/>
          <w:b w:val="1"/>
          <w:bCs w:val="1"/>
          <w:color w:val="auto"/>
        </w:rPr>
        <w:t xml:space="preserve"> Verification </w:t>
      </w:r>
      <w:r>
        <w:rPr>
          <w:rFonts w:ascii="Arial" w:cs="Arial" w:eastAsia="Arial" w:hAnsi="Arial"/>
          <w:sz w:val="20"/>
          <w:szCs w:val="20"/>
          <w:color w:val="auto"/>
        </w:rPr>
        <w:t>prior to any single</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payment, or delivery of funds in excess of the Deductible Amount set forth in Paragraph (1) of this Endorsement; and</w:t>
      </w:r>
    </w:p>
    <w:p>
      <w:pPr>
        <w:spacing w:after="0" w:line="80" w:lineRule="exact"/>
        <w:rPr>
          <w:rFonts w:ascii="Arial" w:cs="Arial" w:eastAsia="Arial" w:hAnsi="Arial"/>
          <w:sz w:val="20"/>
          <w:szCs w:val="20"/>
          <w:color w:val="auto"/>
        </w:rPr>
      </w:pPr>
    </w:p>
    <w:p>
      <w:pPr>
        <w:ind w:left="1280" w:right="200" w:hanging="360"/>
        <w:spacing w:after="0" w:line="265" w:lineRule="auto"/>
        <w:tabs>
          <w:tab w:leader="none" w:pos="1280" w:val="left"/>
        </w:tabs>
        <w:numPr>
          <w:ilvl w:val="1"/>
          <w:numId w:val="69"/>
        </w:numPr>
        <w:rPr>
          <w:rFonts w:ascii="Arial" w:cs="Arial" w:eastAsia="Arial" w:hAnsi="Arial"/>
          <w:sz w:val="20"/>
          <w:szCs w:val="20"/>
          <w:color w:val="auto"/>
        </w:rPr>
      </w:pPr>
      <w:r>
        <w:rPr>
          <w:rFonts w:ascii="Arial" w:cs="Arial" w:eastAsia="Arial" w:hAnsi="Arial"/>
          <w:sz w:val="20"/>
          <w:szCs w:val="20"/>
          <w:b w:val="1"/>
          <w:bCs w:val="1"/>
          <w:color w:val="auto"/>
        </w:rPr>
        <w:t xml:space="preserve">Assured </w:t>
      </w:r>
      <w:r>
        <w:rPr>
          <w:rFonts w:ascii="Arial" w:cs="Arial" w:eastAsia="Arial" w:hAnsi="Arial"/>
          <w:sz w:val="20"/>
          <w:szCs w:val="20"/>
          <w:color w:val="auto"/>
        </w:rPr>
        <w:t>shall assert any available claims, offsets, or defenses against such</w:t>
      </w:r>
      <w:r>
        <w:rPr>
          <w:rFonts w:ascii="Arial" w:cs="Arial" w:eastAsia="Arial" w:hAnsi="Arial"/>
          <w:sz w:val="20"/>
          <w:szCs w:val="20"/>
          <w:b w:val="1"/>
          <w:bCs w:val="1"/>
          <w:color w:val="auto"/>
        </w:rPr>
        <w:t xml:space="preserve"> Customer</w:t>
      </w:r>
      <w:r>
        <w:rPr>
          <w:rFonts w:ascii="Arial" w:cs="Arial" w:eastAsia="Arial" w:hAnsi="Arial"/>
          <w:sz w:val="20"/>
          <w:szCs w:val="20"/>
          <w:color w:val="auto"/>
        </w:rPr>
        <w:t>, any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institution, or any other party to the transaction.</w:t>
      </w:r>
    </w:p>
    <w:p>
      <w:pPr>
        <w:spacing w:after="0" w:line="66" w:lineRule="exact"/>
        <w:rPr>
          <w:rFonts w:ascii="Arial" w:cs="Arial" w:eastAsia="Arial" w:hAnsi="Arial"/>
          <w:sz w:val="20"/>
          <w:szCs w:val="20"/>
          <w:color w:val="auto"/>
        </w:rPr>
      </w:pPr>
    </w:p>
    <w:p>
      <w:pPr>
        <w:ind w:left="560" w:hanging="360"/>
        <w:spacing w:after="0"/>
        <w:tabs>
          <w:tab w:leader="none" w:pos="5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The Definition of </w:t>
      </w:r>
      <w:r>
        <w:rPr>
          <w:rFonts w:ascii="Arial" w:cs="Arial" w:eastAsia="Arial" w:hAnsi="Arial"/>
          <w:sz w:val="20"/>
          <w:szCs w:val="20"/>
          <w:b w:val="1"/>
          <w:bCs w:val="1"/>
          <w:color w:val="auto"/>
        </w:rPr>
        <w:t>Customer</w:t>
      </w:r>
      <w:r>
        <w:rPr>
          <w:rFonts w:ascii="Arial" w:cs="Arial" w:eastAsia="Arial" w:hAnsi="Arial"/>
          <w:sz w:val="20"/>
          <w:szCs w:val="20"/>
          <w:color w:val="auto"/>
        </w:rPr>
        <w:t xml:space="preserve"> is deleted and replaced with the following:</w:t>
      </w:r>
    </w:p>
    <w:p>
      <w:pPr>
        <w:spacing w:after="0" w:line="117" w:lineRule="exact"/>
        <w:rPr>
          <w:rFonts w:ascii="Arial" w:cs="Arial" w:eastAsia="Arial" w:hAnsi="Arial"/>
          <w:sz w:val="20"/>
          <w:szCs w:val="20"/>
          <w:color w:val="auto"/>
        </w:rPr>
      </w:pPr>
    </w:p>
    <w:p>
      <w:pPr>
        <w:jc w:val="both"/>
        <w:ind w:left="560" w:right="200"/>
        <w:spacing w:after="0" w:line="251" w:lineRule="auto"/>
        <w:rPr>
          <w:rFonts w:ascii="Arial" w:cs="Arial" w:eastAsia="Arial" w:hAnsi="Arial"/>
          <w:sz w:val="20"/>
          <w:szCs w:val="20"/>
          <w:color w:val="auto"/>
        </w:rPr>
      </w:pPr>
      <w:r>
        <w:rPr>
          <w:rFonts w:ascii="Arial" w:cs="Arial" w:eastAsia="Arial" w:hAnsi="Arial"/>
          <w:sz w:val="20"/>
          <w:szCs w:val="20"/>
          <w:b w:val="1"/>
          <w:bCs w:val="1"/>
          <w:color w:val="auto"/>
        </w:rPr>
        <w:t xml:space="preserve">Customer </w:t>
      </w:r>
      <w:r>
        <w:rPr>
          <w:rFonts w:ascii="Arial" w:cs="Arial" w:eastAsia="Arial" w:hAnsi="Arial"/>
          <w:sz w:val="20"/>
          <w:szCs w:val="20"/>
          <w:color w:val="auto"/>
        </w:rPr>
        <w:t>means any shareholder of an</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which has a written agreement with the</w:t>
      </w:r>
      <w:r>
        <w:rPr>
          <w:rFonts w:ascii="Arial" w:cs="Arial" w:eastAsia="Arial" w:hAnsi="Arial"/>
          <w:sz w:val="20"/>
          <w:szCs w:val="20"/>
          <w:b w:val="1"/>
          <w:bCs w:val="1"/>
          <w:color w:val="auto"/>
        </w:rPr>
        <w:t xml:space="preserve"> Assured </w:t>
      </w:r>
      <w:r>
        <w:rPr>
          <w:rFonts w:ascii="Arial" w:cs="Arial" w:eastAsia="Arial" w:hAnsi="Arial"/>
          <w:sz w:val="20"/>
          <w:szCs w:val="20"/>
          <w:color w:val="auto"/>
        </w:rPr>
        <w:t>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transfer such shareholder’s </w:t>
      </w:r>
      <w:r>
        <w:rPr>
          <w:rFonts w:ascii="Arial" w:cs="Arial" w:eastAsia="Arial" w:hAnsi="Arial"/>
          <w:sz w:val="20"/>
          <w:szCs w:val="20"/>
          <w:b w:val="1"/>
          <w:bCs w:val="1"/>
          <w:color w:val="auto"/>
        </w:rPr>
        <w:t>Money</w:t>
      </w:r>
      <w:r>
        <w:rPr>
          <w:rFonts w:ascii="Arial" w:cs="Arial" w:eastAsia="Arial" w:hAnsi="Arial"/>
          <w:sz w:val="20"/>
          <w:szCs w:val="20"/>
          <w:color w:val="auto"/>
        </w:rPr>
        <w:t xml:space="preserve"> or </w:t>
      </w:r>
      <w:r>
        <w:rPr>
          <w:rFonts w:ascii="Arial" w:cs="Arial" w:eastAsia="Arial" w:hAnsi="Arial"/>
          <w:sz w:val="20"/>
          <w:szCs w:val="20"/>
          <w:b w:val="1"/>
          <w:bCs w:val="1"/>
          <w:color w:val="auto"/>
        </w:rPr>
        <w:t>Securities</w:t>
      </w:r>
      <w:r>
        <w:rPr>
          <w:rFonts w:ascii="Arial" w:cs="Arial" w:eastAsia="Arial" w:hAnsi="Arial"/>
          <w:sz w:val="20"/>
          <w:szCs w:val="20"/>
          <w:color w:val="auto"/>
        </w:rPr>
        <w:t xml:space="preserve"> through a </w:t>
      </w:r>
      <w:r>
        <w:rPr>
          <w:rFonts w:ascii="Arial" w:cs="Arial" w:eastAsia="Arial" w:hAnsi="Arial"/>
          <w:sz w:val="20"/>
          <w:szCs w:val="20"/>
          <w:b w:val="1"/>
          <w:bCs w:val="1"/>
          <w:color w:val="auto"/>
        </w:rPr>
        <w:t>Voice Initiated Funds Transfer</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Instruction </w:t>
      </w:r>
      <w:r>
        <w:rPr>
          <w:rFonts w:ascii="Arial" w:cs="Arial" w:eastAsia="Arial" w:hAnsi="Arial"/>
          <w:sz w:val="20"/>
          <w:szCs w:val="20"/>
          <w:color w:val="auto"/>
        </w:rPr>
        <w:t>or a</w:t>
      </w:r>
      <w:r>
        <w:rPr>
          <w:rFonts w:ascii="Arial" w:cs="Arial" w:eastAsia="Arial" w:hAnsi="Arial"/>
          <w:sz w:val="20"/>
          <w:szCs w:val="20"/>
          <w:b w:val="1"/>
          <w:bCs w:val="1"/>
          <w:color w:val="auto"/>
        </w:rPr>
        <w:t xml:space="preserve"> Transfer Instruction</w:t>
      </w:r>
      <w:r>
        <w:rPr>
          <w:rFonts w:ascii="Arial" w:cs="Arial" w:eastAsia="Arial" w:hAnsi="Arial"/>
          <w:sz w:val="20"/>
          <w:szCs w:val="20"/>
          <w:color w:val="auto"/>
        </w:rPr>
        <w:t>.</w:t>
      </w:r>
    </w:p>
    <w:p>
      <w:pPr>
        <w:sectPr>
          <w:pgSz w:w="12240" w:h="15840" w:orient="portrait"/>
          <w:cols w:equalWidth="0" w:num="1">
            <w:col w:w="10480"/>
          </w:cols>
          <w:pgMar w:left="880" w:top="1424" w:right="8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0"/>
        <w:spacing w:after="0"/>
        <w:tabs>
          <w:tab w:leader="none" w:pos="9420" w:val="left"/>
        </w:tabs>
        <w:rPr>
          <w:sz w:val="20"/>
          <w:szCs w:val="20"/>
          <w:color w:val="auto"/>
        </w:rPr>
      </w:pPr>
      <w:r>
        <w:rPr>
          <w:rFonts w:ascii="Arial" w:cs="Arial" w:eastAsia="Arial" w:hAnsi="Arial"/>
          <w:sz w:val="18"/>
          <w:szCs w:val="18"/>
          <w:color w:val="auto"/>
        </w:rPr>
        <w:t>PF-52913 (08/21)</w:t>
      </w:r>
      <w:r>
        <w:rPr>
          <w:sz w:val="20"/>
          <w:szCs w:val="20"/>
          <w:color w:val="auto"/>
        </w:rPr>
        <w:tab/>
      </w:r>
      <w:r>
        <w:rPr>
          <w:rFonts w:ascii="Arial" w:cs="Arial" w:eastAsia="Arial" w:hAnsi="Arial"/>
          <w:sz w:val="16"/>
          <w:szCs w:val="16"/>
          <w:color w:val="auto"/>
        </w:rPr>
        <w:t>Page 1 of 2</w:t>
      </w:r>
    </w:p>
    <w:p>
      <w:pPr>
        <w:sectPr>
          <w:pgSz w:w="12240" w:h="15840" w:orient="portrait"/>
          <w:cols w:equalWidth="0" w:num="1">
            <w:col w:w="10480"/>
          </w:cols>
          <w:pgMar w:left="880" w:top="1424" w:right="880" w:bottom="157" w:gutter="0" w:footer="0" w:header="0"/>
          <w:type w:val="continuous"/>
        </w:sectPr>
      </w:pPr>
    </w:p>
    <w:bookmarkStart w:id="32" w:name="page33"/>
    <w:bookmarkEnd w:id="32"/>
    <w:p>
      <w:pPr>
        <w:ind w:left="360" w:hanging="360"/>
        <w:spacing w:after="0"/>
        <w:tabs>
          <w:tab w:leader="none" w:pos="3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The following Definitions are added:</w:t>
      </w:r>
    </w:p>
    <w:p>
      <w:pPr>
        <w:spacing w:after="0" w:line="109" w:lineRule="exact"/>
        <w:rPr>
          <w:rFonts w:ascii="Arial" w:cs="Arial" w:eastAsia="Arial" w:hAnsi="Arial"/>
          <w:sz w:val="20"/>
          <w:szCs w:val="20"/>
          <w:color w:val="auto"/>
        </w:rPr>
      </w:pPr>
    </w:p>
    <w:p>
      <w:pPr>
        <w:jc w:val="both"/>
        <w:ind w:left="360"/>
        <w:spacing w:after="0" w:line="251" w:lineRule="auto"/>
        <w:rPr>
          <w:rFonts w:ascii="Arial" w:cs="Arial" w:eastAsia="Arial" w:hAnsi="Arial"/>
          <w:sz w:val="20"/>
          <w:szCs w:val="20"/>
          <w:color w:val="auto"/>
        </w:rPr>
      </w:pPr>
      <w:r>
        <w:rPr>
          <w:rFonts w:ascii="Arial" w:cs="Arial" w:eastAsia="Arial" w:hAnsi="Arial"/>
          <w:sz w:val="20"/>
          <w:szCs w:val="20"/>
          <w:b w:val="1"/>
          <w:bCs w:val="1"/>
          <w:color w:val="auto"/>
        </w:rPr>
        <w:t xml:space="preserve">Telefacsimile </w:t>
      </w:r>
      <w:r>
        <w:rPr>
          <w:rFonts w:ascii="Arial" w:cs="Arial" w:eastAsia="Arial" w:hAnsi="Arial"/>
          <w:sz w:val="20"/>
          <w:szCs w:val="20"/>
          <w:color w:val="auto"/>
        </w:rPr>
        <w:t>means a system of transmitting a facsimile of a tangible document by electronic signals over</w:t>
      </w:r>
      <w:r>
        <w:rPr>
          <w:rFonts w:ascii="Arial" w:cs="Arial" w:eastAsia="Arial" w:hAnsi="Arial"/>
          <w:sz w:val="20"/>
          <w:szCs w:val="20"/>
          <w:b w:val="1"/>
          <w:bCs w:val="1"/>
          <w:color w:val="auto"/>
        </w:rPr>
        <w:t xml:space="preserve"> </w:t>
      </w:r>
      <w:r>
        <w:rPr>
          <w:rFonts w:ascii="Arial" w:cs="Arial" w:eastAsia="Arial" w:hAnsi="Arial"/>
          <w:sz w:val="20"/>
          <w:szCs w:val="20"/>
          <w:color w:val="auto"/>
        </w:rPr>
        <w:t>telephone lines to a piece of equipment maintained for the specific purpose of receiving such signals and printing such facsimile on a tangible medium.</w:t>
      </w:r>
    </w:p>
    <w:p>
      <w:pPr>
        <w:spacing w:after="0" w:line="80" w:lineRule="exact"/>
        <w:rPr>
          <w:rFonts w:ascii="Arial" w:cs="Arial" w:eastAsia="Arial" w:hAnsi="Arial"/>
          <w:sz w:val="20"/>
          <w:szCs w:val="20"/>
          <w:color w:val="auto"/>
        </w:rPr>
      </w:pPr>
    </w:p>
    <w:p>
      <w:pPr>
        <w:jc w:val="both"/>
        <w:ind w:left="360"/>
        <w:spacing w:after="0" w:line="251" w:lineRule="auto"/>
        <w:rPr>
          <w:rFonts w:ascii="Arial" w:cs="Arial" w:eastAsia="Arial" w:hAnsi="Arial"/>
          <w:sz w:val="20"/>
          <w:szCs w:val="20"/>
          <w:color w:val="auto"/>
        </w:rPr>
      </w:pPr>
      <w:r>
        <w:rPr>
          <w:rFonts w:ascii="Arial" w:cs="Arial" w:eastAsia="Arial" w:hAnsi="Arial"/>
          <w:sz w:val="20"/>
          <w:szCs w:val="20"/>
          <w:b w:val="1"/>
          <w:bCs w:val="1"/>
          <w:color w:val="auto"/>
        </w:rPr>
        <w:t xml:space="preserve">Transfer Instruction </w:t>
      </w:r>
      <w:r>
        <w:rPr>
          <w:rFonts w:ascii="Arial" w:cs="Arial" w:eastAsia="Arial" w:hAnsi="Arial"/>
          <w:sz w:val="20"/>
          <w:szCs w:val="20"/>
          <w:color w:val="auto"/>
        </w:rPr>
        <w:t>means those instructions, other than any</w:t>
      </w:r>
      <w:r>
        <w:rPr>
          <w:rFonts w:ascii="Arial" w:cs="Arial" w:eastAsia="Arial" w:hAnsi="Arial"/>
          <w:sz w:val="20"/>
          <w:szCs w:val="20"/>
          <w:b w:val="1"/>
          <w:bCs w:val="1"/>
          <w:color w:val="auto"/>
        </w:rPr>
        <w:t xml:space="preserve"> Voice Initiated Funds Transfer Instruction</w:t>
      </w:r>
      <w:r>
        <w:rPr>
          <w:rFonts w:ascii="Arial" w:cs="Arial" w:eastAsia="Arial" w:hAnsi="Arial"/>
          <w:sz w:val="20"/>
          <w:szCs w:val="20"/>
          <w:color w:val="auto"/>
        </w:rPr>
        <w:t>, which authorize the transfer of</w:t>
      </w:r>
      <w:r>
        <w:rPr>
          <w:rFonts w:ascii="Arial" w:cs="Arial" w:eastAsia="Arial" w:hAnsi="Arial"/>
          <w:sz w:val="20"/>
          <w:szCs w:val="20"/>
          <w:b w:val="1"/>
          <w:bCs w:val="1"/>
          <w:color w:val="auto"/>
        </w:rPr>
        <w:t xml:space="preserve"> Money </w:t>
      </w:r>
      <w:r>
        <w:rPr>
          <w:rFonts w:ascii="Arial" w:cs="Arial" w:eastAsia="Arial" w:hAnsi="Arial"/>
          <w:sz w:val="20"/>
          <w:szCs w:val="20"/>
          <w:color w:val="auto"/>
        </w:rPr>
        <w:t>in a</w:t>
      </w:r>
      <w:r>
        <w:rPr>
          <w:rFonts w:ascii="Arial" w:cs="Arial" w:eastAsia="Arial" w:hAnsi="Arial"/>
          <w:sz w:val="20"/>
          <w:szCs w:val="20"/>
          <w:b w:val="1"/>
          <w:bCs w:val="1"/>
          <w:color w:val="auto"/>
        </w:rPr>
        <w:t xml:space="preserve"> Customer’s </w:t>
      </w:r>
      <w:r>
        <w:rPr>
          <w:rFonts w:ascii="Arial" w:cs="Arial" w:eastAsia="Arial" w:hAnsi="Arial"/>
          <w:sz w:val="20"/>
          <w:szCs w:val="20"/>
          <w:color w:val="auto"/>
        </w:rPr>
        <w:t>account, or of a</w:t>
      </w:r>
      <w:r>
        <w:rPr>
          <w:rFonts w:ascii="Arial" w:cs="Arial" w:eastAsia="Arial" w:hAnsi="Arial"/>
          <w:sz w:val="20"/>
          <w:szCs w:val="20"/>
          <w:b w:val="1"/>
          <w:bCs w:val="1"/>
          <w:color w:val="auto"/>
        </w:rPr>
        <w:t xml:space="preserve"> Customer’s Securities</w:t>
      </w:r>
      <w:r>
        <w:rPr>
          <w:rFonts w:ascii="Arial" w:cs="Arial" w:eastAsia="Arial" w:hAnsi="Arial"/>
          <w:sz w:val="20"/>
          <w:szCs w:val="20"/>
          <w:color w:val="auto"/>
        </w:rPr>
        <w:t>, and which are:</w:t>
      </w:r>
    </w:p>
    <w:p>
      <w:pPr>
        <w:spacing w:after="0" w:line="80" w:lineRule="exact"/>
        <w:rPr>
          <w:rFonts w:ascii="Arial" w:cs="Arial" w:eastAsia="Arial" w:hAnsi="Arial"/>
          <w:sz w:val="20"/>
          <w:szCs w:val="20"/>
          <w:color w:val="auto"/>
        </w:rPr>
      </w:pPr>
    </w:p>
    <w:p>
      <w:pPr>
        <w:ind w:left="720" w:hanging="360"/>
        <w:spacing w:after="0"/>
        <w:tabs>
          <w:tab w:leader="none" w:pos="7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transmitted to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via:</w:t>
      </w:r>
    </w:p>
    <w:p>
      <w:pPr>
        <w:spacing w:after="0" w:line="117" w:lineRule="exact"/>
        <w:rPr>
          <w:rFonts w:ascii="Arial" w:cs="Arial" w:eastAsia="Arial" w:hAnsi="Arial"/>
          <w:sz w:val="20"/>
          <w:szCs w:val="20"/>
          <w:color w:val="auto"/>
        </w:rPr>
      </w:pPr>
    </w:p>
    <w:p>
      <w:pPr>
        <w:ind w:left="1080" w:hanging="360"/>
        <w:spacing w:after="0" w:line="265" w:lineRule="auto"/>
        <w:tabs>
          <w:tab w:leader="none" w:pos="1080" w:val="left"/>
        </w:tabs>
        <w:numPr>
          <w:ilvl w:val="2"/>
          <w:numId w:val="71"/>
        </w:numPr>
        <w:rPr>
          <w:rFonts w:ascii="Arial" w:cs="Arial" w:eastAsia="Arial" w:hAnsi="Arial"/>
          <w:sz w:val="20"/>
          <w:szCs w:val="20"/>
          <w:color w:val="auto"/>
        </w:rPr>
      </w:pPr>
      <w:r>
        <w:rPr>
          <w:rFonts w:ascii="Arial" w:cs="Arial" w:eastAsia="Arial" w:hAnsi="Arial"/>
          <w:sz w:val="20"/>
          <w:szCs w:val="20"/>
          <w:color w:val="auto"/>
        </w:rPr>
        <w:t xml:space="preserve">any electronic instruction, including an e-mail, that is delivered through an </w:t>
      </w:r>
      <w:r>
        <w:rPr>
          <w:rFonts w:ascii="Arial" w:cs="Arial" w:eastAsia="Arial" w:hAnsi="Arial"/>
          <w:sz w:val="20"/>
          <w:szCs w:val="20"/>
          <w:b w:val="1"/>
          <w:bCs w:val="1"/>
          <w:color w:val="auto"/>
        </w:rPr>
        <w:t>Electronic</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Communication System </w:t>
      </w:r>
      <w:r>
        <w:rPr>
          <w:rFonts w:ascii="Arial" w:cs="Arial" w:eastAsia="Arial" w:hAnsi="Arial"/>
          <w:sz w:val="20"/>
          <w:szCs w:val="20"/>
          <w:color w:val="auto"/>
        </w:rPr>
        <w:t>and that is capable of retention by the recipient at the time of receipt;</w:t>
      </w:r>
    </w:p>
    <w:p>
      <w:pPr>
        <w:spacing w:after="0" w:line="66" w:lineRule="exact"/>
        <w:rPr>
          <w:rFonts w:ascii="Arial" w:cs="Arial" w:eastAsia="Arial" w:hAnsi="Arial"/>
          <w:sz w:val="20"/>
          <w:szCs w:val="20"/>
          <w:color w:val="auto"/>
        </w:rPr>
      </w:pPr>
    </w:p>
    <w:p>
      <w:pPr>
        <w:ind w:left="1080" w:hanging="360"/>
        <w:spacing w:after="0"/>
        <w:tabs>
          <w:tab w:leader="none" w:pos="1080" w:val="left"/>
        </w:tabs>
        <w:numPr>
          <w:ilvl w:val="2"/>
          <w:numId w:val="71"/>
        </w:numPr>
        <w:rPr>
          <w:rFonts w:ascii="Arial" w:cs="Arial" w:eastAsia="Arial" w:hAnsi="Arial"/>
          <w:sz w:val="20"/>
          <w:szCs w:val="20"/>
          <w:color w:val="auto"/>
        </w:rPr>
      </w:pPr>
      <w:r>
        <w:rPr>
          <w:rFonts w:ascii="Arial" w:cs="Arial" w:eastAsia="Arial" w:hAnsi="Arial"/>
          <w:sz w:val="20"/>
          <w:szCs w:val="20"/>
          <w:color w:val="auto"/>
        </w:rPr>
        <w:t xml:space="preserve">telex, or </w:t>
      </w:r>
      <w:r>
        <w:rPr>
          <w:rFonts w:ascii="Arial" w:cs="Arial" w:eastAsia="Arial" w:hAnsi="Arial"/>
          <w:sz w:val="20"/>
          <w:szCs w:val="20"/>
          <w:b w:val="1"/>
          <w:bCs w:val="1"/>
          <w:color w:val="auto"/>
        </w:rPr>
        <w:t>Telefacsimile</w:t>
      </w:r>
      <w:r>
        <w:rPr>
          <w:rFonts w:ascii="Arial" w:cs="Arial" w:eastAsia="Arial" w:hAnsi="Arial"/>
          <w:sz w:val="20"/>
          <w:szCs w:val="20"/>
          <w:color w:val="auto"/>
        </w:rPr>
        <w:t xml:space="preserve"> instruction; or</w:t>
      </w:r>
    </w:p>
    <w:p>
      <w:pPr>
        <w:spacing w:after="0" w:line="125" w:lineRule="exact"/>
        <w:rPr>
          <w:rFonts w:ascii="Arial" w:cs="Arial" w:eastAsia="Arial" w:hAnsi="Arial"/>
          <w:sz w:val="20"/>
          <w:szCs w:val="20"/>
          <w:color w:val="auto"/>
        </w:rPr>
      </w:pPr>
    </w:p>
    <w:p>
      <w:pPr>
        <w:ind w:left="1080" w:hanging="360"/>
        <w:spacing w:after="0"/>
        <w:tabs>
          <w:tab w:leader="none" w:pos="1080" w:val="left"/>
        </w:tabs>
        <w:numPr>
          <w:ilvl w:val="2"/>
          <w:numId w:val="71"/>
        </w:numPr>
        <w:rPr>
          <w:rFonts w:ascii="Arial" w:cs="Arial" w:eastAsia="Arial" w:hAnsi="Arial"/>
          <w:sz w:val="20"/>
          <w:szCs w:val="20"/>
          <w:color w:val="auto"/>
        </w:rPr>
      </w:pPr>
      <w:r>
        <w:rPr>
          <w:rFonts w:ascii="Arial" w:cs="Arial" w:eastAsia="Arial" w:hAnsi="Arial"/>
          <w:sz w:val="20"/>
          <w:szCs w:val="20"/>
          <w:color w:val="auto"/>
        </w:rPr>
        <w:t>automated telephone system; and</w:t>
      </w:r>
    </w:p>
    <w:p>
      <w:pPr>
        <w:spacing w:after="0" w:line="109" w:lineRule="exact"/>
        <w:rPr>
          <w:rFonts w:ascii="Arial" w:cs="Arial" w:eastAsia="Arial" w:hAnsi="Arial"/>
          <w:sz w:val="20"/>
          <w:szCs w:val="20"/>
          <w:color w:val="auto"/>
        </w:rPr>
      </w:pPr>
    </w:p>
    <w:p>
      <w:pPr>
        <w:ind w:left="720" w:hanging="360"/>
        <w:spacing w:after="0" w:line="265" w:lineRule="auto"/>
        <w:tabs>
          <w:tab w:leader="none" w:pos="720" w:val="left"/>
        </w:tabs>
        <w:numPr>
          <w:ilvl w:val="1"/>
          <w:numId w:val="71"/>
        </w:numPr>
        <w:rPr>
          <w:rFonts w:ascii="Arial" w:cs="Arial" w:eastAsia="Arial" w:hAnsi="Arial"/>
          <w:sz w:val="20"/>
          <w:szCs w:val="20"/>
          <w:color w:val="auto"/>
        </w:rPr>
      </w:pPr>
      <w:r>
        <w:rPr>
          <w:rFonts w:ascii="Arial" w:cs="Arial" w:eastAsia="Arial" w:hAnsi="Arial"/>
          <w:sz w:val="20"/>
          <w:szCs w:val="20"/>
          <w:color w:val="auto"/>
        </w:rPr>
        <w:t xml:space="preserve">received by an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specifically authorized by the </w:t>
      </w:r>
      <w:r>
        <w:rPr>
          <w:rFonts w:ascii="Arial" w:cs="Arial" w:eastAsia="Arial" w:hAnsi="Arial"/>
          <w:sz w:val="20"/>
          <w:szCs w:val="20"/>
          <w:b w:val="1"/>
          <w:bCs w:val="1"/>
          <w:color w:val="auto"/>
        </w:rPr>
        <w:t>Assured</w:t>
      </w:r>
      <w:r>
        <w:rPr>
          <w:rFonts w:ascii="Arial" w:cs="Arial" w:eastAsia="Arial" w:hAnsi="Arial"/>
          <w:sz w:val="20"/>
          <w:szCs w:val="20"/>
          <w:color w:val="auto"/>
        </w:rPr>
        <w:t xml:space="preserve"> to receive and act upon such instructions.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 xml:space="preserve">Verification </w:t>
      </w:r>
      <w:r>
        <w:rPr>
          <w:rFonts w:ascii="Arial" w:cs="Arial" w:eastAsia="Arial" w:hAnsi="Arial"/>
          <w:sz w:val="20"/>
          <w:szCs w:val="20"/>
          <w:color w:val="auto"/>
        </w:rPr>
        <w:t>means an</w:t>
      </w:r>
      <w:r>
        <w:rPr>
          <w:rFonts w:ascii="Arial" w:cs="Arial" w:eastAsia="Arial" w:hAnsi="Arial"/>
          <w:sz w:val="20"/>
          <w:szCs w:val="20"/>
          <w:b w:val="1"/>
          <w:bCs w:val="1"/>
          <w:color w:val="auto"/>
        </w:rPr>
        <w:t xml:space="preserve"> Employee</w:t>
      </w:r>
      <w:r>
        <w:rPr>
          <w:rFonts w:ascii="Arial" w:cs="Arial" w:eastAsia="Arial" w:hAnsi="Arial"/>
          <w:sz w:val="20"/>
          <w:szCs w:val="20"/>
          <w:color w:val="auto"/>
        </w:rPr>
        <w:t>:</w:t>
      </w:r>
    </w:p>
    <w:p>
      <w:pPr>
        <w:spacing w:after="0" w:line="117" w:lineRule="exact"/>
        <w:rPr>
          <w:sz w:val="20"/>
          <w:szCs w:val="20"/>
          <w:color w:val="auto"/>
        </w:rPr>
      </w:pPr>
    </w:p>
    <w:p>
      <w:pPr>
        <w:jc w:val="both"/>
        <w:ind w:left="720" w:hanging="360"/>
        <w:spacing w:after="0" w:line="246" w:lineRule="auto"/>
        <w:tabs>
          <w:tab w:leader="none" w:pos="720" w:val="left"/>
        </w:tabs>
        <w:numPr>
          <w:ilvl w:val="1"/>
          <w:numId w:val="72"/>
        </w:numPr>
        <w:rPr>
          <w:rFonts w:ascii="Arial" w:cs="Arial" w:eastAsia="Arial" w:hAnsi="Arial"/>
          <w:sz w:val="20"/>
          <w:szCs w:val="20"/>
          <w:color w:val="auto"/>
        </w:rPr>
      </w:pPr>
      <w:r>
        <w:rPr>
          <w:rFonts w:ascii="Arial" w:cs="Arial" w:eastAsia="Arial" w:hAnsi="Arial"/>
          <w:sz w:val="20"/>
          <w:szCs w:val="20"/>
          <w:color w:val="auto"/>
        </w:rPr>
        <w:t xml:space="preserve">attempted to verify the authenticity of such </w:t>
      </w:r>
      <w:r>
        <w:rPr>
          <w:rFonts w:ascii="Arial" w:cs="Arial" w:eastAsia="Arial" w:hAnsi="Arial"/>
          <w:sz w:val="20"/>
          <w:szCs w:val="20"/>
          <w:b w:val="1"/>
          <w:bCs w:val="1"/>
          <w:color w:val="auto"/>
        </w:rPr>
        <w:t>Transfer Instruction</w:t>
      </w:r>
      <w:r>
        <w:rPr>
          <w:rFonts w:ascii="Arial" w:cs="Arial" w:eastAsia="Arial" w:hAnsi="Arial"/>
          <w:sz w:val="20"/>
          <w:szCs w:val="20"/>
          <w:color w:val="auto"/>
        </w:rPr>
        <w:t xml:space="preserve"> by communicating with the </w:t>
      </w:r>
      <w:r>
        <w:rPr>
          <w:rFonts w:ascii="Arial" w:cs="Arial" w:eastAsia="Arial" w:hAnsi="Arial"/>
          <w:sz w:val="20"/>
          <w:szCs w:val="20"/>
          <w:b w:val="1"/>
          <w:bCs w:val="1"/>
          <w:color w:val="auto"/>
        </w:rPr>
        <w:t>Customer</w:t>
      </w:r>
      <w:r>
        <w:rPr>
          <w:rFonts w:ascii="Arial" w:cs="Arial" w:eastAsia="Arial" w:hAnsi="Arial"/>
          <w:sz w:val="20"/>
          <w:szCs w:val="20"/>
          <w:color w:val="auto"/>
        </w:rPr>
        <w:t>, or natural person purporting to be the</w:t>
      </w:r>
      <w:r>
        <w:rPr>
          <w:rFonts w:ascii="Arial" w:cs="Arial" w:eastAsia="Arial" w:hAnsi="Arial"/>
          <w:sz w:val="20"/>
          <w:szCs w:val="20"/>
          <w:b w:val="1"/>
          <w:bCs w:val="1"/>
          <w:color w:val="auto"/>
        </w:rPr>
        <w:t xml:space="preserve"> Customer </w:t>
      </w:r>
      <w:r>
        <w:rPr>
          <w:rFonts w:ascii="Arial" w:cs="Arial" w:eastAsia="Arial" w:hAnsi="Arial"/>
          <w:sz w:val="20"/>
          <w:szCs w:val="20"/>
          <w:color w:val="auto"/>
        </w:rPr>
        <w:t>via any communication method,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e-mail, prior to any single transfer, payment, or delivery of funds, and contemporaneously documented the communication method utilized and the result of such attempt in writing; and</w:t>
      </w:r>
    </w:p>
    <w:p>
      <w:pPr>
        <w:spacing w:after="0" w:line="86" w:lineRule="exact"/>
        <w:rPr>
          <w:rFonts w:ascii="Arial" w:cs="Arial" w:eastAsia="Arial" w:hAnsi="Arial"/>
          <w:sz w:val="20"/>
          <w:szCs w:val="20"/>
          <w:color w:val="auto"/>
        </w:rPr>
      </w:pPr>
    </w:p>
    <w:p>
      <w:pPr>
        <w:ind w:left="720" w:hanging="360"/>
        <w:spacing w:after="0"/>
        <w:tabs>
          <w:tab w:leader="none" w:pos="720" w:val="left"/>
        </w:tabs>
        <w:numPr>
          <w:ilvl w:val="1"/>
          <w:numId w:val="72"/>
        </w:numPr>
        <w:rPr>
          <w:rFonts w:ascii="Arial" w:cs="Arial" w:eastAsia="Arial" w:hAnsi="Arial"/>
          <w:sz w:val="20"/>
          <w:szCs w:val="20"/>
          <w:color w:val="auto"/>
        </w:rPr>
      </w:pPr>
      <w:r>
        <w:rPr>
          <w:rFonts w:ascii="Arial" w:cs="Arial" w:eastAsia="Arial" w:hAnsi="Arial"/>
          <w:sz w:val="20"/>
          <w:szCs w:val="20"/>
          <w:color w:val="auto"/>
        </w:rPr>
        <w:t xml:space="preserve">contemporaneously documented the use of the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authentication credentials or mechanism.</w:t>
      </w:r>
    </w:p>
    <w:p>
      <w:pPr>
        <w:spacing w:after="0" w:line="125" w:lineRule="exact"/>
        <w:rPr>
          <w:rFonts w:ascii="Arial" w:cs="Arial" w:eastAsia="Arial" w:hAnsi="Arial"/>
          <w:sz w:val="20"/>
          <w:szCs w:val="20"/>
          <w:color w:val="auto"/>
        </w:rPr>
      </w:pPr>
    </w:p>
    <w:p>
      <w:pPr>
        <w:ind w:left="360" w:hanging="360"/>
        <w:spacing w:after="0"/>
        <w:tabs>
          <w:tab w:leader="none" w:pos="3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Exclusion 2.a. is deleted and replaced with the following:</w:t>
      </w:r>
    </w:p>
    <w:p>
      <w:pPr>
        <w:spacing w:after="0" w:line="109" w:lineRule="exact"/>
        <w:rPr>
          <w:rFonts w:ascii="Arial" w:cs="Arial" w:eastAsia="Arial" w:hAnsi="Arial"/>
          <w:sz w:val="20"/>
          <w:szCs w:val="20"/>
          <w:color w:val="auto"/>
        </w:rPr>
      </w:pPr>
    </w:p>
    <w:p>
      <w:pPr>
        <w:ind w:left="720" w:hanging="360"/>
        <w:spacing w:after="0"/>
        <w:tabs>
          <w:tab w:leader="none" w:pos="720"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the acts of an </w:t>
      </w:r>
      <w:r>
        <w:rPr>
          <w:rFonts w:ascii="Arial" w:cs="Arial" w:eastAsia="Arial" w:hAnsi="Arial"/>
          <w:sz w:val="20"/>
          <w:szCs w:val="20"/>
          <w:b w:val="1"/>
          <w:bCs w:val="1"/>
          <w:color w:val="auto"/>
        </w:rPr>
        <w:t>Employee</w:t>
      </w:r>
      <w:r>
        <w:rPr>
          <w:rFonts w:ascii="Arial" w:cs="Arial" w:eastAsia="Arial" w:hAnsi="Arial"/>
          <w:sz w:val="20"/>
          <w:szCs w:val="20"/>
          <w:color w:val="auto"/>
        </w:rPr>
        <w:t>, except for loss covered under:</w:t>
      </w:r>
    </w:p>
    <w:p>
      <w:pPr>
        <w:spacing w:after="0" w:line="125" w:lineRule="exact"/>
        <w:rPr>
          <w:rFonts w:ascii="Arial" w:cs="Arial" w:eastAsia="Arial" w:hAnsi="Arial"/>
          <w:sz w:val="20"/>
          <w:szCs w:val="20"/>
          <w:color w:val="auto"/>
        </w:rPr>
      </w:pPr>
    </w:p>
    <w:p>
      <w:pPr>
        <w:ind w:left="1080" w:hanging="360"/>
        <w:spacing w:after="0" w:line="257" w:lineRule="auto"/>
        <w:tabs>
          <w:tab w:leader="none" w:pos="1080" w:val="left"/>
        </w:tabs>
        <w:numPr>
          <w:ilvl w:val="2"/>
          <w:numId w:val="73"/>
        </w:numPr>
        <w:rPr>
          <w:rFonts w:ascii="Arial" w:cs="Arial" w:eastAsia="Arial" w:hAnsi="Arial"/>
          <w:sz w:val="20"/>
          <w:szCs w:val="20"/>
          <w:color w:val="auto"/>
        </w:rPr>
      </w:pPr>
      <w:r>
        <w:rPr>
          <w:rFonts w:ascii="Arial" w:cs="Arial" w:eastAsia="Arial" w:hAnsi="Arial"/>
          <w:sz w:val="20"/>
          <w:szCs w:val="20"/>
          <w:color w:val="auto"/>
        </w:rPr>
        <w:t xml:space="preserve">Insuring Clause 2 or 3 which results directly from misplacement, mysterious unexplainable disappearance, or damage or destruction of </w:t>
      </w:r>
      <w:r>
        <w:rPr>
          <w:rFonts w:ascii="Arial" w:cs="Arial" w:eastAsia="Arial" w:hAnsi="Arial"/>
          <w:sz w:val="20"/>
          <w:szCs w:val="20"/>
          <w:b w:val="1"/>
          <w:bCs w:val="1"/>
          <w:color w:val="auto"/>
        </w:rPr>
        <w:t>Property</w:t>
      </w:r>
      <w:r>
        <w:rPr>
          <w:rFonts w:ascii="Arial" w:cs="Arial" w:eastAsia="Arial" w:hAnsi="Arial"/>
          <w:sz w:val="20"/>
          <w:szCs w:val="20"/>
          <w:color w:val="auto"/>
        </w:rPr>
        <w:t>; or</w:t>
      </w:r>
    </w:p>
    <w:p>
      <w:pPr>
        <w:spacing w:after="0" w:line="81" w:lineRule="exact"/>
        <w:rPr>
          <w:rFonts w:ascii="Arial" w:cs="Arial" w:eastAsia="Arial" w:hAnsi="Arial"/>
          <w:sz w:val="20"/>
          <w:szCs w:val="20"/>
          <w:color w:val="auto"/>
        </w:rPr>
      </w:pPr>
    </w:p>
    <w:p>
      <w:pPr>
        <w:ind w:left="1080" w:hanging="360"/>
        <w:spacing w:after="0"/>
        <w:tabs>
          <w:tab w:leader="none" w:pos="1080" w:val="left"/>
        </w:tabs>
        <w:numPr>
          <w:ilvl w:val="2"/>
          <w:numId w:val="73"/>
        </w:numPr>
        <w:rPr>
          <w:rFonts w:ascii="Arial" w:cs="Arial" w:eastAsia="Arial" w:hAnsi="Arial"/>
          <w:sz w:val="20"/>
          <w:szCs w:val="20"/>
          <w:color w:val="auto"/>
        </w:rPr>
      </w:pPr>
      <w:r>
        <w:rPr>
          <w:rFonts w:ascii="Arial" w:cs="Arial" w:eastAsia="Arial" w:hAnsi="Arial"/>
          <w:sz w:val="20"/>
          <w:szCs w:val="20"/>
          <w:color w:val="auto"/>
        </w:rPr>
        <w:t>Insuring Clause 11 or 14;</w:t>
      </w:r>
    </w:p>
    <w:p>
      <w:pPr>
        <w:spacing w:after="0" w:line="117" w:lineRule="exact"/>
        <w:rPr>
          <w:rFonts w:ascii="Arial" w:cs="Arial" w:eastAsia="Arial" w:hAnsi="Arial"/>
          <w:sz w:val="20"/>
          <w:szCs w:val="20"/>
          <w:color w:val="auto"/>
        </w:rPr>
      </w:pPr>
    </w:p>
    <w:p>
      <w:pPr>
        <w:ind w:left="360" w:hanging="360"/>
        <w:spacing w:after="0"/>
        <w:tabs>
          <w:tab w:leader="none" w:pos="3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following Exclusion is added:</w:t>
      </w:r>
    </w:p>
    <w:p>
      <w:pPr>
        <w:spacing w:after="0" w:line="109"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color w:val="auto"/>
        </w:rPr>
        <w:t xml:space="preserve">This Bond does not cover loss resulting directly or indirectly from any </w:t>
      </w:r>
      <w:r>
        <w:rPr>
          <w:rFonts w:ascii="Arial" w:cs="Arial" w:eastAsia="Arial" w:hAnsi="Arial"/>
          <w:sz w:val="20"/>
          <w:szCs w:val="20"/>
          <w:b w:val="1"/>
          <w:bCs w:val="1"/>
          <w:color w:val="auto"/>
        </w:rPr>
        <w:t>Transfer Instruction</w:t>
      </w:r>
      <w:r>
        <w:rPr>
          <w:rFonts w:ascii="Arial" w:cs="Arial" w:eastAsia="Arial" w:hAnsi="Arial"/>
          <w:sz w:val="20"/>
          <w:szCs w:val="20"/>
          <w:color w:val="auto"/>
        </w:rPr>
        <w:t xml:space="preserve"> from a:</w:t>
      </w:r>
    </w:p>
    <w:p>
      <w:pPr>
        <w:spacing w:after="0" w:line="117" w:lineRule="exact"/>
        <w:rPr>
          <w:rFonts w:ascii="Arial" w:cs="Arial" w:eastAsia="Arial" w:hAnsi="Arial"/>
          <w:sz w:val="20"/>
          <w:szCs w:val="20"/>
          <w:color w:val="auto"/>
        </w:rPr>
      </w:pPr>
    </w:p>
    <w:p>
      <w:pPr>
        <w:ind w:left="720" w:hanging="360"/>
        <w:spacing w:after="0"/>
        <w:tabs>
          <w:tab w:leader="none" w:pos="720" w:val="left"/>
        </w:tabs>
        <w:numPr>
          <w:ilvl w:val="1"/>
          <w:numId w:val="73"/>
        </w:numPr>
        <w:rPr>
          <w:rFonts w:ascii="Arial" w:cs="Arial" w:eastAsia="Arial" w:hAnsi="Arial"/>
          <w:sz w:val="20"/>
          <w:szCs w:val="20"/>
          <w:color w:val="auto"/>
        </w:rPr>
      </w:pPr>
      <w:r>
        <w:rPr>
          <w:rFonts w:ascii="Arial" w:cs="Arial" w:eastAsia="Arial" w:hAnsi="Arial"/>
          <w:sz w:val="20"/>
          <w:szCs w:val="20"/>
          <w:b w:val="1"/>
          <w:bCs w:val="1"/>
          <w:color w:val="auto"/>
        </w:rPr>
        <w:t>Customer</w:t>
      </w:r>
      <w:r>
        <w:rPr>
          <w:rFonts w:ascii="Arial" w:cs="Arial" w:eastAsia="Arial" w:hAnsi="Arial"/>
          <w:sz w:val="20"/>
          <w:szCs w:val="20"/>
          <w:color w:val="auto"/>
        </w:rPr>
        <w:t>; or</w:t>
      </w:r>
    </w:p>
    <w:p>
      <w:pPr>
        <w:spacing w:after="0" w:line="117" w:lineRule="exact"/>
        <w:rPr>
          <w:rFonts w:ascii="Arial" w:cs="Arial" w:eastAsia="Arial" w:hAnsi="Arial"/>
          <w:sz w:val="20"/>
          <w:szCs w:val="20"/>
          <w:color w:val="auto"/>
        </w:rPr>
      </w:pPr>
    </w:p>
    <w:p>
      <w:pPr>
        <w:ind w:left="720" w:hanging="360"/>
        <w:spacing w:after="0"/>
        <w:tabs>
          <w:tab w:leader="none" w:pos="720"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natural person with authorized access to the </w:t>
      </w:r>
      <w:r>
        <w:rPr>
          <w:rFonts w:ascii="Arial" w:cs="Arial" w:eastAsia="Arial" w:hAnsi="Arial"/>
          <w:sz w:val="20"/>
          <w:szCs w:val="20"/>
          <w:b w:val="1"/>
          <w:bCs w:val="1"/>
          <w:color w:val="auto"/>
        </w:rPr>
        <w:t>Customer’s</w:t>
      </w:r>
      <w:r>
        <w:rPr>
          <w:rFonts w:ascii="Arial" w:cs="Arial" w:eastAsia="Arial" w:hAnsi="Arial"/>
          <w:sz w:val="20"/>
          <w:szCs w:val="20"/>
          <w:color w:val="auto"/>
        </w:rPr>
        <w:t xml:space="preserve"> authentication credentials or mechanism.</w:t>
      </w:r>
    </w:p>
    <w:p>
      <w:pPr>
        <w:spacing w:after="0" w:line="125"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The title and any headings in this endorsement/rider are solely for convenience and form no part of the terms and conditions of coverage.</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527050</wp:posOffset>
            </wp:positionV>
            <wp:extent cx="1463040" cy="365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2">
                      <a:extLst>
                        <a:ext uri="{28A0092B-C50C-407E-A947-70E740481C1C}"/>
                      </a:extLst>
                    </a:blip>
                    <a:srcRect/>
                    <a:stretch>
                      <a:fillRect/>
                    </a:stretch>
                  </pic:blipFill>
                  <pic:spPr bwMode="auto">
                    <a:xfrm>
                      <a:off x="0" y="0"/>
                      <a:ext cx="1463040" cy="36576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3200400</wp:posOffset>
                </wp:positionH>
                <wp:positionV relativeFrom="paragraph">
                  <wp:posOffset>1026795</wp:posOffset>
                </wp:positionV>
                <wp:extent cx="22860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pt,80.85pt" to="432pt,80.85pt" o:allowincell="f" strokecolor="#000000" strokeweight="0.5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Authorized Representative</w:t>
      </w:r>
    </w:p>
    <w:p>
      <w:pPr>
        <w:sectPr>
          <w:pgSz w:w="12240" w:h="15840" w:orient="portrait"/>
          <w:cols w:equalWidth="0" w:num="1">
            <w:col w:w="10080"/>
          </w:cols>
          <w:pgMar w:left="1080" w:top="1434" w:right="1080" w:bottom="1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9200" w:val="left"/>
        </w:tabs>
        <w:rPr>
          <w:sz w:val="20"/>
          <w:szCs w:val="20"/>
          <w:color w:val="auto"/>
        </w:rPr>
      </w:pPr>
      <w:r>
        <w:rPr>
          <w:rFonts w:ascii="Arial" w:cs="Arial" w:eastAsia="Arial" w:hAnsi="Arial"/>
          <w:sz w:val="18"/>
          <w:szCs w:val="18"/>
          <w:color w:val="auto"/>
        </w:rPr>
        <w:t>PF-52913 (08/21)</w:t>
      </w:r>
      <w:r>
        <w:rPr>
          <w:sz w:val="20"/>
          <w:szCs w:val="20"/>
          <w:color w:val="auto"/>
        </w:rPr>
        <w:tab/>
      </w:r>
      <w:r>
        <w:rPr>
          <w:rFonts w:ascii="Arial" w:cs="Arial" w:eastAsia="Arial" w:hAnsi="Arial"/>
          <w:sz w:val="16"/>
          <w:szCs w:val="16"/>
          <w:color w:val="auto"/>
        </w:rPr>
        <w:t>Page 2 of 2</w:t>
      </w:r>
    </w:p>
    <w:sectPr>
      <w:pgSz w:w="12240" w:h="15840" w:orient="portrait"/>
      <w:cols w:equalWidth="0" w:num="1">
        <w:col w:w="10080"/>
      </w:cols>
      <w:pgMar w:left="1080" w:top="1434" w:right="1080" w:bottom="1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1."/>
      <w:numFmt w:val="decimal"/>
      <w:start w:val="1"/>
    </w:lvl>
  </w:abstractNum>
  <w:abstractNum w:abstractNumId="1">
    <w:nsid w:val="7724C67E"/>
    <w:multiLevelType w:val="hybridMultilevel"/>
    <w:lvl w:ilvl="0">
      <w:lvlJc w:val="left"/>
      <w:lvlText w:val="%1."/>
      <w:numFmt w:val="decimal"/>
      <w:start w:val="1"/>
    </w:lvl>
  </w:abstractNum>
  <w:abstractNum w:abstractNumId="2">
    <w:nsid w:val="5C482A97"/>
    <w:multiLevelType w:val="hybridMultilevel"/>
    <w:lvl w:ilvl="0">
      <w:lvlJc w:val="left"/>
      <w:lvlText w:val="%1."/>
      <w:numFmt w:val="decimal"/>
      <w:start w:val="4"/>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 "/>
      <w:numFmt w:val="bullet"/>
      <w:start w:val="1"/>
    </w:lvl>
  </w:abstractNum>
  <w:abstractNum w:abstractNumId="11">
    <w:nsid w:val="6A2342EC"/>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2">
    <w:nsid w:val="2A487CB0"/>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3">
    <w:nsid w:val="1D4ED43B"/>
    <w:multiLevelType w:val="hybridMultilevel"/>
    <w:lvl w:ilvl="0">
      <w:lvlJc w:val="left"/>
      <w:lvlText w:val="%1."/>
      <w:numFmt w:val="decimal"/>
      <w:start w:val="4"/>
    </w:lvl>
    <w:lvl w:ilvl="1">
      <w:lvlJc w:val="left"/>
      <w:lvlText w:val="%2."/>
      <w:numFmt w:val="lowerLetter"/>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lowerRoman"/>
      <w:start w:val="1"/>
    </w:lvl>
  </w:abstractNum>
  <w:abstractNum w:abstractNumId="16">
    <w:nsid w:val="57E4CCA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17">
    <w:nsid w:val="7A6D8D3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8">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9">
    <w:nsid w:val="542289EC"/>
    <w:multiLevelType w:val="hybridMultilevel"/>
    <w:lvl w:ilvl="0">
      <w:lvlJc w:val="left"/>
      <w:lvlText w:val="%1."/>
      <w:numFmt w:val="lowerLetter"/>
      <w:start w:val="3"/>
    </w:lvl>
  </w:abstractNum>
  <w:abstractNum w:abstractNumId="20">
    <w:nsid w:val="6DE91B18"/>
    <w:multiLevelType w:val="hybridMultilevel"/>
    <w:lvl w:ilvl="0">
      <w:lvlJc w:val="left"/>
      <w:lvlText w:val="%1."/>
      <w:numFmt w:val="decimal"/>
      <w:start w:val="6"/>
    </w:lvl>
    <w:lvl w:ilvl="1">
      <w:lvlJc w:val="left"/>
      <w:lvlText w:val="%2."/>
      <w:numFmt w:val="lowerLetter"/>
      <w:start w:val="1"/>
    </w:lvl>
  </w:abstractNum>
  <w:abstractNum w:abstractNumId="21">
    <w:nsid w:val="38437FDB"/>
    <w:multiLevelType w:val="hybridMultilevel"/>
    <w:lvl w:ilvl="0">
      <w:lvlJc w:val="left"/>
      <w:lvlText w:val="%1."/>
      <w:numFmt w:val="decimal"/>
      <w:start w:val="11"/>
    </w:lvl>
    <w:lvl w:ilvl="1">
      <w:lvlJc w:val="left"/>
      <w:lvlText w:val="%2."/>
      <w:numFmt w:val="lowerLetter"/>
      <w:start w:val="1"/>
    </w:lvl>
  </w:abstractNum>
  <w:abstractNum w:abstractNumId="22">
    <w:nsid w:val="7644A45C"/>
    <w:multiLevelType w:val="hybridMultilevel"/>
    <w:lvl w:ilvl="0">
      <w:lvlJc w:val="left"/>
      <w:lvlText w:val="%1."/>
      <w:numFmt w:val="lowerLetter"/>
      <w:start w:val="3"/>
    </w:lvl>
  </w:abstractNum>
  <w:abstractNum w:abstractNumId="23">
    <w:nsid w:val="32FFF902"/>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24">
    <w:nsid w:val="684A481A"/>
    <w:multiLevelType w:val="hybridMultilevel"/>
    <w:lvl w:ilvl="0">
      <w:lvlJc w:val="left"/>
      <w:lvlText w:val="%1."/>
      <w:numFmt w:val="decimal"/>
      <w:start w:val="2"/>
    </w:lvl>
  </w:abstractNum>
  <w:abstractNum w:abstractNumId="25">
    <w:nsid w:val="579478FE"/>
    <w:multiLevelType w:val="hybridMultilevel"/>
    <w:lvl w:ilvl="0">
      <w:lvlJc w:val="left"/>
      <w:lvlText w:val="%1"/>
      <w:numFmt w:val="upperLetter"/>
      <w:start w:val="1"/>
    </w:lvl>
    <w:lvl w:ilvl="1">
      <w:lvlJc w:val="left"/>
      <w:lvlText w:val="%2."/>
      <w:numFmt w:val="decimal"/>
      <w:start w:val="4"/>
    </w:lvl>
    <w:lvl w:ilvl="2">
      <w:lvlJc w:val="left"/>
      <w:lvlText w:val="%3"/>
      <w:numFmt w:val="decimal"/>
      <w:start w:val="1"/>
    </w:lvl>
  </w:abstractNum>
  <w:abstractNum w:abstractNumId="26">
    <w:nsid w:val="749ABB43"/>
    <w:multiLevelType w:val="hybridMultilevel"/>
    <w:lvl w:ilvl="0">
      <w:lvlJc w:val="left"/>
      <w:lvlText w:val="%1."/>
      <w:numFmt w:val="upperLetter"/>
      <w:start w:val="61"/>
    </w:lvl>
    <w:lvl w:ilvl="1">
      <w:lvlJc w:val="left"/>
      <w:lvlText w:val="%2"/>
      <w:numFmt w:val="decimal"/>
      <w:start w:val="1"/>
    </w:lvl>
    <w:lvl w:ilvl="2">
      <w:lvlJc w:val="left"/>
      <w:lvlText w:val="(%3)"/>
      <w:numFmt w:val="decimal"/>
      <w:start w:val="1"/>
    </w:lvl>
  </w:abstractNum>
  <w:abstractNum w:abstractNumId="27">
    <w:nsid w:val="3DC240FB"/>
    <w:multiLevelType w:val="hybridMultilevel"/>
    <w:lvl w:ilvl="0">
      <w:lvlJc w:val="left"/>
      <w:lvlText w:val="(%1)"/>
      <w:numFmt w:val="decimal"/>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4"/>
    </w:lvl>
    <w:lvl w:ilvl="1">
      <w:lvlJc w:val="left"/>
      <w:lvlText w:val="%2."/>
      <w:numFmt w:val="lowerLetter"/>
      <w:start w:val="1"/>
    </w:lvl>
  </w:abstractNum>
  <w:abstractNum w:abstractNumId="34">
    <w:nsid w:val="374A3FE6"/>
    <w:multiLevelType w:val="hybridMultilevel"/>
    <w:lvl w:ilvl="0">
      <w:lvlJc w:val="left"/>
      <w:lvlText w:val="(%1)"/>
      <w:numFmt w:val="decimal"/>
      <w:start w:val="6"/>
    </w:lvl>
    <w:lvl w:ilvl="1">
      <w:lvlJc w:val="left"/>
      <w:lvlText w:val="%2."/>
      <w:numFmt w:val="lowerLetter"/>
      <w:start w:val="1"/>
    </w:lvl>
  </w:abstractNum>
  <w:abstractNum w:abstractNumId="35">
    <w:nsid w:val="4F4EF005"/>
    <w:multiLevelType w:val="hybridMultilevel"/>
    <w:lvl w:ilvl="0">
      <w:lvlJc w:val="left"/>
      <w:lvlText w:val="(%1)"/>
      <w:numFmt w:val="decimal"/>
      <w:start w:val="1"/>
    </w:lvl>
    <w:lvl w:ilvl="1">
      <w:lvlJc w:val="left"/>
      <w:lvlText w:val="%2."/>
      <w:numFmt w:val="lowerLetter"/>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decimal"/>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lvl w:ilvl="1">
      <w:lvlJc w:val="left"/>
      <w:lvlText w:val="%2."/>
      <w:numFmt w:val="lowerLetter"/>
      <w:start w:val="1"/>
    </w:lvl>
  </w:abstractNum>
  <w:abstractNum w:abstractNumId="44">
    <w:nsid w:val="354FE9F9"/>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45">
    <w:nsid w:val="15B5AF5C"/>
    <w:multiLevelType w:val="hybridMultilevel"/>
    <w:lvl w:ilvl="0">
      <w:lvlJc w:val="left"/>
      <w:lvlText w:val="%1"/>
      <w:numFmt w:val="decimal"/>
      <w:start w:val="1"/>
    </w:lvl>
    <w:lvl w:ilvl="1">
      <w:lvlJc w:val="left"/>
      <w:lvlText w:val="%2."/>
      <w:numFmt w:val="lowerLetter"/>
      <w:start w:val="16"/>
    </w:lvl>
    <w:lvl w:ilvl="2">
      <w:lvlJc w:val="left"/>
      <w:lvlText w:val="%3"/>
      <w:numFmt w:val="decimal"/>
      <w:start w:val="1"/>
    </w:lvl>
  </w:abstractNum>
  <w:abstractNum w:abstractNumId="46">
    <w:nsid w:val="741226BB"/>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47">
    <w:nsid w:val="D34B6A8"/>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48">
    <w:nsid w:val="10233C9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49">
    <w:nsid w:val="3F6AB60F"/>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50">
    <w:nsid w:val="61574095"/>
    <w:multiLevelType w:val="hybridMultilevel"/>
    <w:lvl w:ilvl="0">
      <w:lvlJc w:val="left"/>
      <w:lvlText w:val="%1."/>
      <w:numFmt w:val="upperLetter"/>
      <w:start w:val="22"/>
    </w:lvl>
    <w:lvl w:ilvl="1">
      <w:lvlJc w:val="left"/>
      <w:lvlText w:val="%2."/>
      <w:numFmt w:val="decimal"/>
      <w:start w:val="1"/>
    </w:lvl>
    <w:lvl w:ilvl="2">
      <w:lvlJc w:val="left"/>
      <w:lvlText w:val="%3"/>
      <w:numFmt w:val="lowerLetter"/>
      <w:start w:val="1"/>
    </w:lvl>
  </w:abstractNum>
  <w:abstractNum w:abstractNumId="51">
    <w:nsid w:val="7E0C57B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52">
    <w:nsid w:val="77AE35EB"/>
    <w:multiLevelType w:val="hybridMultilevel"/>
    <w:lvl w:ilvl="0">
      <w:lvlJc w:val="left"/>
      <w:lvlText w:val="%1."/>
      <w:numFmt w:val="decimal"/>
      <w:start w:val="5"/>
    </w:lvl>
    <w:lvl w:ilvl="1">
      <w:lvlJc w:val="left"/>
      <w:lvlText w:val="%2."/>
      <w:numFmt w:val="lowerLetter"/>
      <w:start w:val="1"/>
    </w:lvl>
  </w:abstractNum>
  <w:abstractNum w:abstractNumId="53">
    <w:nsid w:val="579BE4F1"/>
    <w:multiLevelType w:val="hybridMultilevel"/>
    <w:lvl w:ilvl="0">
      <w:lvlJc w:val="left"/>
      <w:lvlText w:val="%1."/>
      <w:numFmt w:val="decimal"/>
      <w:start w:val="6"/>
    </w:lvl>
  </w:abstractNum>
  <w:abstractNum w:abstractNumId="54">
    <w:nsid w:val="310C50B3"/>
    <w:multiLevelType w:val="hybridMultilevel"/>
    <w:lvl w:ilvl="0">
      <w:lvlJc w:val="left"/>
      <w:lvlText w:val="%1."/>
      <w:numFmt w:val="decimal"/>
      <w:start w:val="7"/>
    </w:lvl>
    <w:lvl w:ilvl="1">
      <w:lvlJc w:val="left"/>
      <w:lvlText w:val="%2."/>
      <w:numFmt w:val="lowerLetter"/>
      <w:start w:val="1"/>
    </w:lvl>
  </w:abstractNum>
  <w:abstractNum w:abstractNumId="55">
    <w:nsid w:val="5FF87E05"/>
    <w:multiLevelType w:val="hybridMultilevel"/>
    <w:lvl w:ilvl="0">
      <w:lvlJc w:val="left"/>
      <w:lvlText w:val="%1."/>
      <w:numFmt w:val="decimal"/>
      <w:start w:val="8"/>
    </w:lvl>
    <w:lvl w:ilvl="1">
      <w:lvlJc w:val="left"/>
      <w:lvlText w:val="%2."/>
      <w:numFmt w:val="lowerLetter"/>
      <w:start w:val="1"/>
    </w:lvl>
    <w:lvl w:ilvl="2">
      <w:lvlJc w:val="left"/>
      <w:lvlText w:val="(%3)"/>
      <w:numFmt w:val="decimal"/>
      <w:start w:val="6"/>
    </w:lvl>
  </w:abstractNum>
  <w:abstractNum w:abstractNumId="56">
    <w:nsid w:val="2F305DEF"/>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7">
    <w:nsid w:val="25A70BF7"/>
    <w:multiLevelType w:val="hybridMultilevel"/>
    <w:lvl w:ilvl="0">
      <w:lvlJc w:val="left"/>
      <w:lvlText w:val="%1"/>
      <w:numFmt w:val="decimal"/>
      <w:start w:val="1"/>
    </w:lvl>
    <w:lvl w:ilvl="1">
      <w:lvlJc w:val="left"/>
      <w:lvlText w:val="%2."/>
      <w:numFmt w:val="lowerLetter"/>
      <w:start w:val="7"/>
    </w:lvl>
    <w:lvl w:ilvl="2">
      <w:lvlJc w:val="left"/>
      <w:lvlText w:val="(%3)"/>
      <w:numFmt w:val="decimal"/>
      <w:start w:val="1"/>
    </w:lvl>
  </w:abstractNum>
  <w:abstractNum w:abstractNumId="58">
    <w:nsid w:val="1DBABF00"/>
    <w:multiLevelType w:val="hybridMultilevel"/>
    <w:lvl w:ilvl="0">
      <w:lvlJc w:val="left"/>
      <w:lvlText w:val="(%1)"/>
      <w:numFmt w:val="decimal"/>
      <w:start w:val="2"/>
    </w:lvl>
  </w:abstractNum>
  <w:abstractNum w:abstractNumId="59">
    <w:nsid w:val="4AD084E9"/>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60">
    <w:nsid w:val="1F48EAA1"/>
    <w:multiLevelType w:val="hybridMultilevel"/>
    <w:lvl w:ilvl="0">
      <w:lvlJc w:val="left"/>
      <w:lvlText w:val="%1."/>
      <w:numFmt w:val="decimal"/>
      <w:start w:val="12"/>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3">
    <w:nsid w:val="100F8FCA"/>
    <w:multiLevelType w:val="hybridMultilevel"/>
    <w:lvl w:ilvl="0">
      <w:lvlJc w:val="left"/>
      <w:lvlText w:val="%1."/>
      <w:numFmt w:val="lowerLetter"/>
      <w:start w:val="4"/>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2"/>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decimal"/>
      <w:start w:val="1"/>
    </w:lvl>
    <w:lvl w:ilvl="1">
      <w:lvlJc w:val="left"/>
      <w:lvlText w:val="%2."/>
      <w:numFmt w:val="lowerRoman"/>
      <w:start w:val="1"/>
    </w:lvl>
  </w:abstractNum>
  <w:abstractNum w:abstractNumId="69">
    <w:nsid w:val="6B94764"/>
    <w:multiLevelType w:val="hybridMultilevel"/>
    <w:lvl w:ilvl="0">
      <w:lvlJc w:val="left"/>
      <w:lvlText w:val="(%1)"/>
      <w:numFmt w:val="decimal"/>
      <w:start w:val="3"/>
    </w:lvl>
    <w:lvl w:ilvl="1">
      <w:lvlJc w:val="left"/>
      <w:lvlText w:val="%2"/>
      <w:numFmt w:val="lowerRoman"/>
      <w:start w:val="1"/>
    </w:lvl>
  </w:abstractNum>
  <w:abstractNum w:abstractNumId="70">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2">
    <w:nsid w:val="1EBA5D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2025-10-10T15:20:09Z</dcterms:created>
  <dcterms:modified xsi:type="dcterms:W3CDTF">2025-10-10T15:20:09Z</dcterms:modified>
</cp:coreProperties>
</file>