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0"/>
          <w:szCs w:val="10"/>
          <w:b w:val="1"/>
          <w:bCs w:val="1"/>
          <w:color w:val="auto"/>
        </w:rPr>
        <w:t>______________________________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7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0"/>
          <w:szCs w:val="10"/>
          <w:b w:val="1"/>
          <w:bCs w:val="1"/>
          <w:color w:val="auto"/>
        </w:rPr>
        <w:t>______________________________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PROXY STATEMENT PURSUANT TO SECTION 14(A)</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OF THE SECURITIES EXCHANGE ACT OF 1934</w:t>
      </w:r>
    </w:p>
    <w:p>
      <w:pPr>
        <w:sectPr>
          <w:pgSz w:w="11900" w:h="16838" w:orient="portrait"/>
          <w:cols w:equalWidth="0" w:num="1">
            <w:col w:w="9019"/>
          </w:cols>
          <w:pgMar w:left="1440" w:top="604" w:right="1440" w:bottom="1440" w:gutter="0" w:footer="0" w:header="0"/>
        </w:sectPr>
      </w:pPr>
    </w:p>
    <w:p>
      <w:pPr>
        <w:spacing w:after="0" w:line="17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Registrant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2920" w:space="720"/>
            <w:col w:w="5379"/>
          </w:cols>
          <w:pgMar w:left="1440" w:top="604"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320" w:space="320"/>
            <w:col w:w="5379"/>
          </w:cols>
          <w:pgMar w:left="1440" w:top="604" w:right="1440" w:bottom="1440" w:gutter="0" w:footer="0" w:header="0"/>
          <w:type w:val="continuous"/>
        </w:sectPr>
      </w:pPr>
    </w:p>
    <w:p>
      <w:pPr>
        <w:spacing w:after="0" w:line="5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604" w:right="1440" w:bottom="1440" w:gutter="0" w:footer="0" w:header="0"/>
          <w:type w:val="continuous"/>
        </w:sectPr>
      </w:pPr>
    </w:p>
    <w:p>
      <w:pPr>
        <w:spacing w:after="0" w:line="184" w:lineRule="exact"/>
        <w:rPr>
          <w:sz w:val="24"/>
          <w:szCs w:val="24"/>
          <w:color w:val="auto"/>
        </w:rPr>
      </w:pPr>
    </w:p>
    <w:p>
      <w:pPr>
        <w:ind w:left="900" w:hanging="326"/>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2579" w:hanging="6"/>
        <w:spacing w:after="0" w:line="265" w:lineRule="exact"/>
        <w:tabs>
          <w:tab w:leader="none" w:pos="90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20" w:lineRule="exact"/>
        <w:rPr>
          <w:rFonts w:ascii="MS PGothic" w:cs="MS PGothic" w:eastAsia="MS PGothic" w:hAnsi="MS PGothic"/>
          <w:sz w:val="17"/>
          <w:szCs w:val="17"/>
          <w:color w:val="auto"/>
        </w:rPr>
      </w:pPr>
    </w:p>
    <w:p>
      <w:pPr>
        <w:ind w:left="900" w:hanging="326"/>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00" w:hanging="326"/>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14a-11c or Rule 14a-12</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ArrowMark Financial Corp.</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38"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w:t>
      </w:r>
    </w:p>
    <w:p>
      <w:pPr>
        <w:spacing w:after="0" w:line="32"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7"/>
          <w:szCs w:val="17"/>
          <w:color w:val="auto"/>
        </w:rPr>
        <w:t>(Name of Person(s) Filing Proxy Statement)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84" w:lineRule="exact"/>
        <w:rPr>
          <w:sz w:val="24"/>
          <w:szCs w:val="24"/>
          <w:color w:val="auto"/>
        </w:rPr>
      </w:pPr>
    </w:p>
    <w:p>
      <w:pPr>
        <w:ind w:left="900" w:hanging="326"/>
        <w:spacing w:after="0"/>
        <w:tabs>
          <w:tab w:leader="none" w:pos="9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4" w:lineRule="exact"/>
        <w:rPr>
          <w:sz w:val="24"/>
          <w:szCs w:val="24"/>
          <w:color w:val="auto"/>
        </w:rPr>
      </w:pPr>
    </w:p>
    <w:p>
      <w:pPr>
        <w:ind w:left="900" w:hanging="326"/>
        <w:spacing w:after="0"/>
        <w:tabs>
          <w:tab w:leader="none" w:pos="9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00" w:hanging="326"/>
        <w:spacing w:after="0"/>
        <w:tabs>
          <w:tab w:leader="none" w:pos="9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type w:val="continuous"/>
        </w:sectPr>
      </w:pPr>
    </w:p>
    <w:bookmarkStart w:id="1" w:name="page2"/>
    <w:bookmarkEnd w:id="1"/>
    <w:p>
      <w:pPr>
        <w:ind w:left="2940"/>
        <w:spacing w:after="0"/>
        <w:rPr>
          <w:sz w:val="20"/>
          <w:szCs w:val="20"/>
          <w:color w:val="auto"/>
        </w:rPr>
      </w:pPr>
      <w:r>
        <w:rPr>
          <w:rFonts w:ascii="Times New Roman" w:cs="Times New Roman" w:eastAsia="Times New Roman" w:hAnsi="Times New Roman"/>
          <w:sz w:val="19"/>
          <w:szCs w:val="19"/>
          <w:b w:val="1"/>
          <w:bCs w:val="1"/>
          <w:color w:val="auto"/>
        </w:rPr>
        <w:t>ARROWMARK FINANCIAL CORP.</w:t>
      </w:r>
    </w:p>
    <w:p>
      <w:pPr>
        <w:spacing w:after="0" w:line="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9"/>
          <w:szCs w:val="19"/>
          <w:color w:val="auto"/>
        </w:rPr>
        <w:t>100 Fillmore Street, Suite 325</w:t>
      </w:r>
    </w:p>
    <w:p>
      <w:pPr>
        <w:spacing w:after="0" w:line="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color w:val="auto"/>
        </w:rPr>
        <w:t>Denver, CO 80206</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NOTICE OF ANNUAL MEETING OF STOCKHOLDERS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To Be Held on June 15, 2026</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To the Stockholders of ArrowMark Financial Corp. (the “Company”):</w:t>
      </w:r>
    </w:p>
    <w:p>
      <w:pPr>
        <w:spacing w:after="0" w:line="174" w:lineRule="exact"/>
        <w:rPr>
          <w:sz w:val="20"/>
          <w:szCs w:val="20"/>
          <w:color w:val="auto"/>
        </w:rPr>
      </w:pPr>
    </w:p>
    <w:p>
      <w:pPr>
        <w:jc w:val="both"/>
        <w:ind w:left="580" w:right="579" w:firstLine="419"/>
        <w:spacing w:after="0" w:line="256" w:lineRule="auto"/>
        <w:rPr>
          <w:sz w:val="20"/>
          <w:szCs w:val="20"/>
          <w:color w:val="auto"/>
        </w:rPr>
      </w:pPr>
      <w:r>
        <w:rPr>
          <w:rFonts w:ascii="Times New Roman" w:cs="Times New Roman" w:eastAsia="Times New Roman" w:hAnsi="Times New Roman"/>
          <w:sz w:val="19"/>
          <w:szCs w:val="19"/>
          <w:color w:val="auto"/>
        </w:rPr>
        <w:t>Notice is hereby given that the 2026 Annual Meeting of Stockholders (the “2026 Annual Meeting”) of the Company, a Delaware corporation, will be held on Monday, June 15, 2026, at 2:00 p.m. E.T. for the following purposes, each of which is more fully described in the accompanying Proxy Statement dated May 6, 2026:</w:t>
      </w:r>
    </w:p>
    <w:p>
      <w:pPr>
        <w:spacing w:after="0" w:line="129" w:lineRule="exact"/>
        <w:rPr>
          <w:sz w:val="20"/>
          <w:szCs w:val="20"/>
          <w:color w:val="auto"/>
        </w:rPr>
      </w:pPr>
    </w:p>
    <w:p>
      <w:pPr>
        <w:jc w:val="both"/>
        <w:ind w:left="1420" w:right="599" w:hanging="426"/>
        <w:spacing w:after="0" w:line="262" w:lineRule="auto"/>
        <w:tabs>
          <w:tab w:leader="none" w:pos="13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elect two Class I Directors of the Company, to serve for a term ending at the 2029 Annual Meeting of Stockholders of the Company and when his or her successor is duly elected and qualifies (Proposal 1); and</w:t>
      </w:r>
    </w:p>
    <w:p>
      <w:pPr>
        <w:spacing w:after="0" w:line="135" w:lineRule="exact"/>
        <w:rPr>
          <w:rFonts w:ascii="Times New Roman" w:cs="Times New Roman" w:eastAsia="Times New Roman" w:hAnsi="Times New Roman"/>
          <w:sz w:val="19"/>
          <w:szCs w:val="19"/>
          <w:color w:val="auto"/>
        </w:rPr>
      </w:pPr>
    </w:p>
    <w:p>
      <w:pPr>
        <w:ind w:left="1420" w:right="599" w:hanging="426"/>
        <w:spacing w:after="0" w:line="280" w:lineRule="auto"/>
        <w:tabs>
          <w:tab w:leader="none" w:pos="13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transact such other business as may properly come before the Annual Meeting or any adjournments or postponements thereof.</w:t>
      </w:r>
    </w:p>
    <w:p>
      <w:pPr>
        <w:spacing w:after="0" w:line="106" w:lineRule="exact"/>
        <w:rPr>
          <w:sz w:val="20"/>
          <w:szCs w:val="20"/>
          <w:color w:val="auto"/>
        </w:rPr>
      </w:pPr>
    </w:p>
    <w:p>
      <w:pPr>
        <w:jc w:val="both"/>
        <w:ind w:left="580" w:right="579" w:firstLine="419"/>
        <w:spacing w:after="0" w:line="258" w:lineRule="auto"/>
        <w:rPr>
          <w:sz w:val="20"/>
          <w:szCs w:val="20"/>
          <w:color w:val="auto"/>
        </w:rPr>
      </w:pPr>
      <w:r>
        <w:rPr>
          <w:rFonts w:ascii="Times New Roman" w:cs="Times New Roman" w:eastAsia="Times New Roman" w:hAnsi="Times New Roman"/>
          <w:sz w:val="19"/>
          <w:szCs w:val="19"/>
          <w:color w:val="auto"/>
        </w:rPr>
        <w:t xml:space="preserve">The 2026 Annual Meeting will be held in a virtual meeting format only, which will be conducted online via a live webcast at </w:t>
      </w:r>
      <w:r>
        <w:rPr>
          <w:rFonts w:ascii="Times New Roman" w:cs="Times New Roman" w:eastAsia="Times New Roman" w:hAnsi="Times New Roman"/>
          <w:sz w:val="19"/>
          <w:szCs w:val="19"/>
          <w:b w:val="1"/>
          <w:bCs w:val="1"/>
          <w:color w:val="auto"/>
        </w:rPr>
        <w:t>meetnow.global/MKLAQMJ</w:t>
      </w:r>
      <w:r>
        <w:rPr>
          <w:rFonts w:ascii="Times New Roman" w:cs="Times New Roman" w:eastAsia="Times New Roman" w:hAnsi="Times New Roman"/>
          <w:sz w:val="19"/>
          <w:szCs w:val="19"/>
          <w:color w:val="auto"/>
        </w:rPr>
        <w:t>. Stockholders may attend and vote at the virtual meeting by following the instructions included in the accompanying Proxy Statement.</w:t>
      </w:r>
    </w:p>
    <w:p>
      <w:pPr>
        <w:spacing w:after="0" w:line="3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b w:val="1"/>
          <w:bCs w:val="1"/>
          <w:color w:val="auto"/>
        </w:rPr>
        <w:t>Your vote is important!</w:t>
      </w:r>
    </w:p>
    <w:p>
      <w:pPr>
        <w:spacing w:after="0" w:line="176"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9"/>
          <w:szCs w:val="19"/>
          <w:color w:val="auto"/>
        </w:rPr>
        <w:t>The Board of Directors of the Company has fixed the close of business on April 22, 2026 as the record date for the determination of stockholders of the Company entitled to notice of and to vote at the 2026 Annual Meeting and any adjournments or postponements thereof.</w:t>
      </w:r>
    </w:p>
    <w:p>
      <w:pPr>
        <w:spacing w:after="0" w:line="136" w:lineRule="exact"/>
        <w:rPr>
          <w:sz w:val="20"/>
          <w:szCs w:val="20"/>
          <w:color w:val="auto"/>
        </w:rPr>
      </w:pPr>
    </w:p>
    <w:p>
      <w:pPr>
        <w:jc w:val="both"/>
        <w:ind w:left="580" w:right="579" w:firstLine="419"/>
        <w:spacing w:after="0" w:line="250" w:lineRule="auto"/>
        <w:rPr>
          <w:sz w:val="20"/>
          <w:szCs w:val="20"/>
          <w:color w:val="auto"/>
        </w:rPr>
      </w:pPr>
      <w:r>
        <w:rPr>
          <w:rFonts w:ascii="Times New Roman" w:cs="Times New Roman" w:eastAsia="Times New Roman" w:hAnsi="Times New Roman"/>
          <w:sz w:val="19"/>
          <w:szCs w:val="19"/>
          <w:color w:val="auto"/>
        </w:rPr>
        <w:t>All stockholders of record of the Company on the record date are cordially invited to virtually attend the 2026 Annual Meeting. Even if you expect to virtually attend the 2026 Annual Meeting, please complete, date and sign the enclosed proxy card and return it promptly in the envelope provided for this purpose. If you have been provided with the opportunity on your proxy card or voting instruction form to provide voting instructions, and otherwise authorize the persons named as proxy holders in the enclosed proxy to act on your behalf at the 2026 Annual Meeting, via telephone or the Internet, please take advantage of these prompt and efficient voting options.</w:t>
      </w:r>
    </w:p>
    <w:p>
      <w:pPr>
        <w:spacing w:after="0" w:line="136" w:lineRule="exact"/>
        <w:rPr>
          <w:sz w:val="20"/>
          <w:szCs w:val="20"/>
          <w:color w:val="auto"/>
        </w:rPr>
      </w:pPr>
    </w:p>
    <w:p>
      <w:pPr>
        <w:jc w:val="right"/>
        <w:ind w:left="1000" w:right="1079"/>
        <w:spacing w:after="0" w:line="446" w:lineRule="auto"/>
        <w:rPr>
          <w:sz w:val="20"/>
          <w:szCs w:val="20"/>
          <w:color w:val="auto"/>
        </w:rPr>
      </w:pPr>
      <w:r>
        <w:rPr>
          <w:rFonts w:ascii="Times New Roman" w:cs="Times New Roman" w:eastAsia="Times New Roman" w:hAnsi="Times New Roman"/>
          <w:sz w:val="19"/>
          <w:szCs w:val="19"/>
          <w:color w:val="auto"/>
        </w:rPr>
        <w:t>The enclosed proxy is being solicited on behalf of the Board of Directors of the Company. By Order of the Board of Directors,</w:t>
      </w:r>
    </w:p>
    <w:p>
      <w:pPr>
        <w:ind w:left="5180"/>
        <w:spacing w:after="0"/>
        <w:rPr>
          <w:sz w:val="20"/>
          <w:szCs w:val="20"/>
          <w:color w:val="auto"/>
        </w:rPr>
      </w:pPr>
      <w:r>
        <w:rPr>
          <w:rFonts w:ascii="Times New Roman" w:cs="Times New Roman" w:eastAsia="Times New Roman" w:hAnsi="Times New Roman"/>
          <w:sz w:val="19"/>
          <w:szCs w:val="19"/>
          <w:color w:val="auto"/>
        </w:rPr>
        <w:t>/s/ Blake Rice</w:t>
      </w:r>
    </w:p>
    <w:p>
      <w:pPr>
        <w:spacing w:after="0" w:line="5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color w:val="auto"/>
        </w:rPr>
        <w:t>BLAKE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3292475</wp:posOffset>
            </wp:positionH>
            <wp:positionV relativeFrom="paragraph">
              <wp:posOffset>-132080</wp:posOffset>
            </wp:positionV>
            <wp:extent cx="2062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62480" cy="8255"/>
                    </a:xfrm>
                    <a:prstGeom prst="rect">
                      <a:avLst/>
                    </a:prstGeom>
                    <a:noFill/>
                  </pic:spPr>
                </pic:pic>
              </a:graphicData>
            </a:graphic>
          </wp:anchor>
        </w:drawing>
      </w:r>
    </w:p>
    <w:p>
      <w:pPr>
        <w:spacing w:after="0" w:line="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9"/>
          <w:szCs w:val="19"/>
          <w:i w:val="1"/>
          <w:iCs w:val="1"/>
          <w:color w:val="auto"/>
        </w:rPr>
        <w:t>Secretary of the Company</w:t>
      </w:r>
    </w:p>
    <w:p>
      <w:pPr>
        <w:spacing w:after="0" w:line="2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258445</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59"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INSTRUCTIONS FOR SIGNING PROXY CARD</w:t>
      </w:r>
    </w:p>
    <w:p>
      <w:pPr>
        <w:spacing w:after="0" w:line="160"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general rules for signing the proxy card may be of assistance to you and may minimize the time and expense to the Company in validating your vote if you fail to sign your proxy card properly.</w:t>
      </w:r>
    </w:p>
    <w:p>
      <w:pPr>
        <w:spacing w:after="0" w:line="68" w:lineRule="exact"/>
        <w:rPr>
          <w:sz w:val="20"/>
          <w:szCs w:val="20"/>
          <w:color w:val="auto"/>
        </w:rPr>
      </w:pPr>
    </w:p>
    <w:p>
      <w:pPr>
        <w:ind w:left="1380" w:hanging="386"/>
        <w:spacing w:after="0"/>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Accounts:  Sign your name exactly as it appears in the registration.</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Joint Accounts: Both owners of a joint account should sign, and the names of the parties signing should conform exactly to the names shown in the registration.</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Accounts: The capacity of the individual signing the proxy card should be indicated unless it is reflected in the form of registration. For example:</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Registration</w:t>
            </w:r>
          </w:p>
        </w:tc>
        <w:tc>
          <w:tcPr>
            <w:tcW w:w="36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Valid Signature</w:t>
            </w:r>
          </w:p>
        </w:tc>
      </w:tr>
      <w:tr>
        <w:trPr>
          <w:trHeight w:val="20"/>
        </w:trPr>
        <w:tc>
          <w:tcPr>
            <w:tcW w:w="7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2"/>
        </w:trPr>
        <w:tc>
          <w:tcPr>
            <w:tcW w:w="74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Corporate Accounts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93"/>
        </w:trPr>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(1)</w:t>
            </w:r>
          </w:p>
        </w:tc>
        <w:tc>
          <w:tcPr>
            <w:tcW w:w="3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ABC Corp.</w:t>
            </w:r>
          </w:p>
        </w:tc>
        <w:tc>
          <w:tcPr>
            <w:tcW w:w="368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ABC Corp.</w:t>
            </w:r>
          </w:p>
        </w:tc>
      </w:tr>
      <w:tr>
        <w:trPr>
          <w:trHeight w:val="249"/>
        </w:trPr>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(2)</w:t>
            </w:r>
          </w:p>
        </w:tc>
        <w:tc>
          <w:tcPr>
            <w:tcW w:w="3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ABC Corp.</w:t>
            </w:r>
          </w:p>
        </w:tc>
        <w:tc>
          <w:tcPr>
            <w:tcW w:w="368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John Doe, Treasurer</w:t>
            </w:r>
          </w:p>
        </w:tc>
      </w:tr>
      <w:tr>
        <w:trPr>
          <w:trHeight w:val="275"/>
        </w:trPr>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(3)</w:t>
            </w:r>
          </w:p>
        </w:tc>
        <w:tc>
          <w:tcPr>
            <w:tcW w:w="3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ABC Corp. c/o John Doe, Treasurer</w:t>
            </w:r>
          </w:p>
        </w:tc>
        <w:tc>
          <w:tcPr>
            <w:tcW w:w="368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John Doe</w:t>
            </w:r>
          </w:p>
        </w:tc>
      </w:tr>
      <w:tr>
        <w:trPr>
          <w:trHeight w:val="275"/>
        </w:trPr>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(4)</w:t>
            </w:r>
          </w:p>
        </w:tc>
        <w:tc>
          <w:tcPr>
            <w:tcW w:w="3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ABC Corp. Profit Sharing Plan</w:t>
            </w:r>
          </w:p>
        </w:tc>
        <w:tc>
          <w:tcPr>
            <w:tcW w:w="368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John Doe, Trustee</w:t>
            </w:r>
          </w:p>
        </w:tc>
      </w:tr>
      <w:tr>
        <w:trPr>
          <w:trHeight w:val="419"/>
        </w:trPr>
        <w:tc>
          <w:tcPr>
            <w:tcW w:w="74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Trust Accounts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93"/>
        </w:trPr>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(1)</w:t>
            </w:r>
          </w:p>
        </w:tc>
        <w:tc>
          <w:tcPr>
            <w:tcW w:w="3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ABC Trust</w:t>
            </w:r>
          </w:p>
        </w:tc>
        <w:tc>
          <w:tcPr>
            <w:tcW w:w="368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Jane B. Doe, Trustee</w:t>
            </w:r>
          </w:p>
        </w:tc>
      </w:tr>
      <w:tr>
        <w:trPr>
          <w:trHeight w:val="231"/>
        </w:trPr>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(2)</w:t>
            </w:r>
          </w:p>
        </w:tc>
        <w:tc>
          <w:tcPr>
            <w:tcW w:w="3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Jane B. Doe, Trustee</w:t>
            </w:r>
          </w:p>
        </w:tc>
        <w:tc>
          <w:tcPr>
            <w:tcW w:w="368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Jane B. Doe</w:t>
            </w:r>
          </w:p>
        </w:tc>
      </w:tr>
      <w:tr>
        <w:trPr>
          <w:trHeight w:val="228"/>
        </w:trPr>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u/t/d 12/28/78</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93"/>
        </w:trPr>
        <w:tc>
          <w:tcPr>
            <w:tcW w:w="740" w:type="dxa"/>
            <w:vAlign w:val="bottom"/>
          </w:tcPr>
          <w:p>
            <w:pPr>
              <w:spacing w:after="0"/>
              <w:rPr>
                <w:sz w:val="24"/>
                <w:szCs w:val="24"/>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Custodian or Estate Accounts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75"/>
        </w:trPr>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(1)</w:t>
            </w:r>
          </w:p>
        </w:tc>
        <w:tc>
          <w:tcPr>
            <w:tcW w:w="3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John B. Smith, Cust.,</w:t>
            </w:r>
          </w:p>
        </w:tc>
        <w:tc>
          <w:tcPr>
            <w:tcW w:w="368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John B. Smith</w:t>
            </w:r>
          </w:p>
        </w:tc>
      </w:tr>
      <w:tr>
        <w:trPr>
          <w:trHeight w:val="228"/>
        </w:trPr>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f/b/o John B. Smith, Jr. UGMA</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1"/>
        </w:trPr>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(2)</w:t>
            </w:r>
          </w:p>
        </w:tc>
        <w:tc>
          <w:tcPr>
            <w:tcW w:w="3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John B. Smith, Executor,</w:t>
            </w:r>
          </w:p>
        </w:tc>
        <w:tc>
          <w:tcPr>
            <w:tcW w:w="368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rPr>
              <w:t>John B. Smith, Executor</w:t>
            </w:r>
          </w:p>
        </w:tc>
      </w:tr>
      <w:tr>
        <w:trPr>
          <w:trHeight w:val="228"/>
        </w:trPr>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Estate of Jane Smith</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20"/>
        </w:trPr>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29"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ARROWMARK FINANCIAL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 Fillmore Street, Suite 325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Denver, CO 80206</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Held on June 15, 2026</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This document is a proxy statement (the “Proxy Statement”) for ArrowMark Financial Corp., a Delaware corporation (the “Company”). This Proxy Statement is furnished in connection with the solicitation of proxies by the Company’s Board of Directors (the “Board”) for use at the 2026 Annual Meeting of Stockholders of the Company (“2026 Annual Meeting”) to be held on Monday, June 15, 2026 at 2:00 p.m. E.T.</w:t>
      </w:r>
    </w:p>
    <w:p>
      <w:pPr>
        <w:spacing w:after="0" w:line="9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The Meeting will be held in a virtual meeting format only, which will be conducted online via a live webcast. You will be able to attend and participate in the Meeting online by visiting </w:t>
      </w:r>
      <w:r>
        <w:rPr>
          <w:rFonts w:ascii="Times New Roman" w:cs="Times New Roman" w:eastAsia="Times New Roman" w:hAnsi="Times New Roman"/>
          <w:sz w:val="17"/>
          <w:szCs w:val="17"/>
          <w:b w:val="1"/>
          <w:bCs w:val="1"/>
          <w:color w:val="auto"/>
        </w:rPr>
        <w:t xml:space="preserve">meetnow.global/MKLAQMJ </w:t>
      </w:r>
      <w:r>
        <w:rPr>
          <w:rFonts w:ascii="Times New Roman" w:cs="Times New Roman" w:eastAsia="Times New Roman" w:hAnsi="Times New Roman"/>
          <w:sz w:val="17"/>
          <w:szCs w:val="17"/>
          <w:color w:val="auto"/>
        </w:rPr>
        <w:t>and entering the control number found on your Proxy Card. You may vote during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2026 Annual Meeting by following the instructions available on the meeting website during the 2026 Annual Meeting. There is no physical location for the 2026 Annual Meeting.</w:t>
      </w:r>
    </w:p>
    <w:p>
      <w:pPr>
        <w:spacing w:after="0" w:line="10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 Notice of the 2026 Annual Meeting and a proxy card for the Company accompany this Proxy Statement. Proxy solicitations will be made, beginning on or about May 6, 2026 primarily by mail, but proxy solicitations may also be made by telephone, email or personal interviews conducted by officers of the Company, ArrowMark Asset Management LLC, the investment adviser to the Company (the “Adviser”), and Computershare Trust Company, N.A., the transfer agent to the Company. There is no stockholder statutory right of appraisal or dissent with respect to any matters to be voted on at the 2026 Annual Meeting. The costs and expenses incurred in connection with the preparation, printing, and mailing of this Proxy Statement and its enclosures will be paid by the Company. The Company also will reimburse brokerage firms and others for their expenses in forwarding solicitation material to the beneficial owners of its shares of common stock. This Proxy Statement and proxy card are first being sent to stockholders on or about May 6, 2026</w:t>
      </w:r>
    </w:p>
    <w:p>
      <w:pPr>
        <w:spacing w:after="0" w:line="112"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b w:val="1"/>
          <w:bCs w:val="1"/>
          <w:color w:val="auto"/>
        </w:rPr>
        <w:t>THE ANNUAL REPORT OF THE COMPANY, INCLUDING AUDITED FINANCIAL STATEMENTS FOR THE FISCAL YEAR ENDED DECEMBER 31, 2025, IS AVAILABLE UPON REQUEST, WITHOUT CHARGE BY CALLING INVESTOR RELATIONS AT 877-855-3434 OR BY WRITING TO ARROWMARK FINANCIAL CORP. AT 100 FILLMORE STREET, SUITE 325, DENVER, CO 80206. THE COMPANY’S ANNUAL REPORT IS ALSO AVAILABLE ON THE COMPANY’S WEBSITE (ir.arrowmarkfinancialcorp.com) AND THE SECURITIES AND EXCHANGE COMMISSION’S (“SEC”) WEBSITE (www.sec.gov).</w:t>
      </w:r>
    </w:p>
    <w:p>
      <w:pPr>
        <w:spacing w:after="0" w:line="145" w:lineRule="exact"/>
        <w:rPr>
          <w:sz w:val="20"/>
          <w:szCs w:val="20"/>
          <w:color w:val="auto"/>
        </w:rPr>
      </w:pPr>
    </w:p>
    <w:p>
      <w:pPr>
        <w:jc w:val="both"/>
        <w:ind w:left="660" w:right="679"/>
        <w:spacing w:after="0" w:line="299"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2026 Annual Meeting to Be Held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-304165</wp:posOffset>
            </wp:positionV>
            <wp:extent cx="4990465" cy="1905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1905000"/>
                    </a:xfrm>
                    <a:prstGeom prst="rect">
                      <a:avLst/>
                    </a:prstGeom>
                    <a:noFill/>
                  </pic:spPr>
                </pic:pic>
              </a:graphicData>
            </a:graphic>
          </wp:anchor>
        </w:drawing>
      </w:r>
    </w:p>
    <w:p>
      <w:pPr>
        <w:spacing w:after="0" w:line="56" w:lineRule="exact"/>
        <w:rPr>
          <w:sz w:val="20"/>
          <w:szCs w:val="20"/>
          <w:color w:val="auto"/>
        </w:rPr>
      </w:pPr>
    </w:p>
    <w:p>
      <w:pPr>
        <w:jc w:val="both"/>
        <w:ind w:left="660" w:right="67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The Notice of Annual Meeting, Proxy Statement and a proxy card for the Company are available to you at </w:t>
      </w:r>
      <w:r>
        <w:rPr>
          <w:rFonts w:ascii="Times New Roman" w:cs="Times New Roman" w:eastAsia="Times New Roman" w:hAnsi="Times New Roman"/>
          <w:sz w:val="17"/>
          <w:szCs w:val="17"/>
          <w:b w:val="1"/>
          <w:bCs w:val="1"/>
          <w:u w:val="single" w:color="auto"/>
          <w:color w:val="auto"/>
        </w:rPr>
        <w:t>www.proxyvote.com</w:t>
      </w:r>
      <w:r>
        <w:rPr>
          <w:rFonts w:ascii="Times New Roman" w:cs="Times New Roman" w:eastAsia="Times New Roman" w:hAnsi="Times New Roman"/>
          <w:sz w:val="17"/>
          <w:szCs w:val="17"/>
          <w:b w:val="1"/>
          <w:bCs w:val="1"/>
          <w:color w:val="auto"/>
        </w:rPr>
        <w:t>. You are encouraged to review all of the information contained in the proxy materials before voting.</w:t>
      </w:r>
    </w:p>
    <w:p>
      <w:pPr>
        <w:spacing w:after="0" w:line="80" w:lineRule="exact"/>
        <w:rPr>
          <w:sz w:val="20"/>
          <w:szCs w:val="20"/>
          <w:color w:val="auto"/>
        </w:rPr>
      </w:pPr>
    </w:p>
    <w:p>
      <w:pPr>
        <w:jc w:val="both"/>
        <w:ind w:left="660" w:right="679"/>
        <w:spacing w:after="0" w:line="271" w:lineRule="auto"/>
        <w:rPr>
          <w:sz w:val="20"/>
          <w:szCs w:val="20"/>
          <w:color w:val="auto"/>
        </w:rPr>
      </w:pPr>
      <w:r>
        <w:rPr>
          <w:rFonts w:ascii="Times New Roman" w:cs="Times New Roman" w:eastAsia="Times New Roman" w:hAnsi="Times New Roman"/>
          <w:sz w:val="17"/>
          <w:szCs w:val="17"/>
          <w:b w:val="1"/>
          <w:bCs w:val="1"/>
          <w:color w:val="auto"/>
        </w:rPr>
        <w:t>A PROXY CARD IS ENCLOSED. EVEN IF YOU EXPECT TO ATTEND THE 2026 ANNUAL MEETING, YOU ARE REQUESTED TO COMPLETE, SIGN AND DATE THE ENCLOSED PROXY CARD AS SOON AS POSSIBLE. Stockholders who wish to attend the 2026 Annual Meeting should pre-register. Please see page 14 for additional information on pre-registration.</w:t>
      </w:r>
    </w:p>
    <w:p>
      <w:pPr>
        <w:spacing w:after="0" w:line="99" w:lineRule="exact"/>
        <w:rPr>
          <w:sz w:val="20"/>
          <w:szCs w:val="20"/>
          <w:color w:val="auto"/>
        </w:rPr>
      </w:pPr>
    </w:p>
    <w:p>
      <w:pPr>
        <w:jc w:val="both"/>
        <w:ind w:left="660" w:right="679"/>
        <w:spacing w:after="0" w:line="278" w:lineRule="auto"/>
        <w:rPr>
          <w:sz w:val="20"/>
          <w:szCs w:val="20"/>
          <w:color w:val="auto"/>
        </w:rPr>
      </w:pPr>
      <w:r>
        <w:rPr>
          <w:rFonts w:ascii="Times New Roman" w:cs="Times New Roman" w:eastAsia="Times New Roman" w:hAnsi="Times New Roman"/>
          <w:sz w:val="17"/>
          <w:szCs w:val="17"/>
          <w:b w:val="1"/>
          <w:bCs w:val="1"/>
          <w:color w:val="auto"/>
        </w:rPr>
        <w:t>The proxy card should be returned in the enclosed envelope, which needs no postage if mailed in the continental United States. Instructions for the proper execution of the proxy card are set forth on the inside cover of this Proxy Statement.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4" w:name="page5"/>
    <w:bookmarkEnd w:id="4"/>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If the enclosed proxy card is properly executed and returned in time to be voted at the 2026 Annual Meeting, the shares of Common Stock (as defined below) represented thereby will be voted in accordance with the instructions marked thereon. </w:t>
      </w:r>
      <w:r>
        <w:rPr>
          <w:rFonts w:ascii="Times New Roman" w:cs="Times New Roman" w:eastAsia="Times New Roman" w:hAnsi="Times New Roman"/>
          <w:sz w:val="17"/>
          <w:szCs w:val="17"/>
          <w:b w:val="1"/>
          <w:bCs w:val="1"/>
          <w:color w:val="auto"/>
        </w:rPr>
        <w:t>Unless instructions to the contrary are marked thereon, a properly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executed proxy will be voted “FOR” the election of the nominee for Director named in this Proxy Statement</w:t>
      </w:r>
      <w:r>
        <w:rPr>
          <w:rFonts w:ascii="Times New Roman" w:cs="Times New Roman" w:eastAsia="Times New Roman" w:hAnsi="Times New Roman"/>
          <w:sz w:val="17"/>
          <w:szCs w:val="17"/>
          <w:color w:val="auto"/>
        </w:rPr>
        <w:t>. Any stockholder of record who has given a proxy has the right to revoke it at any time prior to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 either by virtually attending the 2026 Annual Meeting and voting his or her Shares in person, by submitting a letter of revocation, or by a later-dated proxy delivered to the Secretary of ArrowMark Financial Corp. at 100 Fillmore Street, Suite 325, Denver, CO 80206 before the 2025 Annual Meeting or at the 2026 Annual Meeting. Broker-dealers and other nominees holding Shares of the Company in “street name” for the benefit of their customers and clients will request the instructions of such customers and clients on how to vote their shares of Common Stock on the Proposal before the 2026 Annual Meeting. A signed voting instruction card or other authorization by a beneficial owner of the Company’s Shares that does not specify how the beneficial owner’s shares of Common Stock should be voted will be deemed an instruction to vote such shares of Common Stock “FOR” the election of the nominee for Director named in this Proxy Statement. Beneficial owners should consult their broker or other nominees for instructions as to how to revoke any voting instructions.</w:t>
      </w:r>
    </w:p>
    <w:p>
      <w:pPr>
        <w:spacing w:after="0" w:line="30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Under the By-laws of the Company, the presence in person or by proxy of the holders of a majority of the total outstanding shares of Common Stock of the Company entitled to vote shall be necessary and sufficient to constitute a quorum for the transaction of business (a “Quorum”) at the 2026 Annual Meeting. In the event that a Quorum is not present at the 2026 Annual Meeting, or in the event that a Quorum is present but sufficient votes to approve the proposal is not received, the chairman of the 2026 Annual Meeting may adjourn the 2026 Annual Meeting without notice other than announcement at the 2026 Annual Meeting.</w:t>
      </w:r>
    </w:p>
    <w:p>
      <w:pPr>
        <w:spacing w:after="0" w:line="10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Company has outstanding one class of capital stock, consisting of common stock, par value $0.001 per share (the “Common Stock”). Pursuant to the Company’s Certificate of Incorporation, the Board is authorized to provide for the issuance from time to time of up to 40,000,000 shares of Common Stock, and 10,000,000 shares of preferred stock, par value $0.001 per share, consisting of one or more series (the “Preferred Stock”). The Company currently has no shares of Preferred Stock outstanding. Each share of Common Stock is entitled to one vote at the 2026 Annual Meeting with respect to each matter to be voted on, with pro rata voting rights for any fractional shares. Each share of Common stock entitles the holder to cast one vote for as many individuals as there are Directors to be elected and for whose election the shares of Common Stock is entitled to be voted. No shares of Common Stock have cumulative voting rights. Directors are elected by the affirmative vote of a plurality of the votes cast by all shares of Common Stock present in person or represented by proxy. A “plurality” means that nominees who receive the largest number of votes cast (even if they receive less than a majority) will be elected as directors. Since the nominees are running unopposed, the nominees only need one vote to be elected if there is a Quorum present at the 2026 Annual Meeting. On the record date, April 22, 2026 (the “Record Date”), 9,685,741 shares of Common Stock were issued and outstanding.</w:t>
      </w:r>
    </w:p>
    <w:p>
      <w:pPr>
        <w:spacing w:after="0" w:line="3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Security Ownership of Certain Beneficial Owners</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Based upon the Company’s review of filings made pursuant to Section 13 of the Securities Exchange Act of 1934, as amended (the “1934 Act”), as of the Record Date, to the Company’s knowledge no stockholder(s) beneficially owned over 5% of the Company’s shares of Common Stock:</w:t>
      </w:r>
    </w:p>
    <w:p>
      <w:pPr>
        <w:sectPr>
          <w:pgSz w:w="11900" w:h="16838" w:orient="portrait"/>
          <w:cols w:equalWidth="0" w:num="1">
            <w:col w:w="9019"/>
          </w:cols>
          <w:pgMar w:left="1440" w:top="265" w:right="1440" w:bottom="1440" w:gutter="0" w:footer="0" w:header="0"/>
        </w:sectPr>
      </w:pPr>
    </w:p>
    <w:p>
      <w:pPr>
        <w:spacing w:after="0" w:line="1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5"/>
          <w:szCs w:val="15"/>
          <w:b w:val="1"/>
          <w:bCs w:val="1"/>
          <w:color w:val="auto"/>
        </w:rPr>
        <w:t>Name and Address of</w:t>
      </w:r>
    </w:p>
    <w:p>
      <w:pPr>
        <w:spacing w:after="0" w:line="3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35560</wp:posOffset>
            </wp:positionV>
            <wp:extent cx="4990465" cy="182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182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 and Nature of</w:t>
      </w:r>
    </w:p>
    <w:p>
      <w:pPr>
        <w:spacing w:after="0" w:line="24" w:lineRule="exact"/>
        <w:rPr>
          <w:sz w:val="20"/>
          <w:szCs w:val="20"/>
          <w:color w:val="auto"/>
        </w:rPr>
      </w:pPr>
    </w:p>
    <w:p>
      <w:pPr>
        <w:ind w:left="60"/>
        <w:spacing w:after="0"/>
        <w:tabs>
          <w:tab w:leader="none" w:pos="1720" w:val="left"/>
        </w:tabs>
        <w:rPr>
          <w:sz w:val="20"/>
          <w:szCs w:val="20"/>
          <w:color w:val="auto"/>
        </w:rPr>
      </w:pPr>
      <w:r>
        <w:rPr>
          <w:rFonts w:ascii="Times New Roman" w:cs="Times New Roman" w:eastAsia="Times New Roman" w:hAnsi="Times New Roman"/>
          <w:sz w:val="16"/>
          <w:szCs w:val="16"/>
          <w:b w:val="1"/>
          <w:bCs w:val="1"/>
          <w:color w:val="auto"/>
        </w:rPr>
        <w:t>Beneficial Ownership</w:t>
      </w:r>
      <w:r>
        <w:rPr>
          <w:sz w:val="20"/>
          <w:szCs w:val="20"/>
          <w:color w:val="auto"/>
        </w:rPr>
        <w:tab/>
      </w:r>
      <w:r>
        <w:rPr>
          <w:rFonts w:ascii="Times New Roman" w:cs="Times New Roman" w:eastAsia="Times New Roman" w:hAnsi="Times New Roman"/>
          <w:sz w:val="15"/>
          <w:szCs w:val="15"/>
          <w:b w:val="1"/>
          <w:bCs w:val="1"/>
          <w:color w:val="auto"/>
        </w:rPr>
        <w:t>Percent of Class</w:t>
      </w:r>
    </w:p>
    <w:p>
      <w:pPr>
        <w:spacing w:after="0" w:line="77" w:lineRule="exact"/>
        <w:rPr>
          <w:sz w:val="20"/>
          <w:szCs w:val="20"/>
          <w:color w:val="auto"/>
        </w:rPr>
      </w:pPr>
    </w:p>
    <w:p>
      <w:pPr>
        <w:sectPr>
          <w:pgSz w:w="11900" w:h="16838" w:orient="portrait"/>
          <w:cols w:equalWidth="0" w:num="2">
            <w:col w:w="4820" w:space="720"/>
            <w:col w:w="3479"/>
          </w:cols>
          <w:pgMar w:left="1440" w:top="265"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None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 w:name="page6"/>
    <w:bookmarkEnd w:id="5"/>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following table sets forth the dollar range of equity securities in the Company beneficially owned by each Director and executive officer as of the Record Date. As of that date, the Company’s Directors and executive officers, as a group, owned approximately 0.54% of the Company’s outstanding Common Stock. No shares of Preferred Stock were outstanding as of the Record Date.</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Aggregate Dollar Range of</w:t>
            </w:r>
          </w:p>
        </w:tc>
      </w:tr>
      <w:tr>
        <w:trPr>
          <w:trHeight w:val="196"/>
        </w:trPr>
        <w:tc>
          <w:tcPr>
            <w:tcW w:w="2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Dollar Range of</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Equity Securities in All Funds</w:t>
            </w:r>
          </w:p>
        </w:tc>
      </w:tr>
      <w:tr>
        <w:trPr>
          <w:trHeight w:val="196"/>
        </w:trPr>
        <w:tc>
          <w:tcPr>
            <w:tcW w:w="2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Equity Securities</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Overseen or to be Overseen by</w:t>
            </w:r>
          </w:p>
        </w:tc>
      </w:tr>
      <w:tr>
        <w:trPr>
          <w:trHeight w:val="247"/>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8"/>
              </w:rPr>
              <w:t>Name of Directors and Executive Officers</w:t>
            </w:r>
          </w:p>
        </w:tc>
        <w:tc>
          <w:tcPr>
            <w:tcW w:w="80" w:type="dxa"/>
            <w:vAlign w:val="bottom"/>
            <w:tcBorders>
              <w:bottom w:val="single" w:sz="8" w:color="CCEEFF"/>
            </w:tcBorders>
          </w:tcPr>
          <w:p>
            <w:pPr>
              <w:spacing w:after="0"/>
              <w:rPr>
                <w:sz w:val="21"/>
                <w:szCs w:val="21"/>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Held in the Company</w:t>
            </w:r>
            <w:r>
              <w:rPr>
                <w:rFonts w:ascii="Times New Roman" w:cs="Times New Roman" w:eastAsia="Times New Roman" w:hAnsi="Times New Roman"/>
                <w:sz w:val="18"/>
                <w:szCs w:val="18"/>
                <w:b w:val="1"/>
                <w:bCs w:val="1"/>
                <w:color w:val="auto"/>
                <w:w w:val="96"/>
                <w:vertAlign w:val="superscript"/>
              </w:rPr>
              <w:t>(1)</w:t>
            </w:r>
          </w:p>
        </w:tc>
        <w:tc>
          <w:tcPr>
            <w:tcW w:w="100" w:type="dxa"/>
            <w:vAlign w:val="bottom"/>
            <w:tcBorders>
              <w:bottom w:val="single" w:sz="8" w:color="CCEEFF"/>
            </w:tcBorders>
          </w:tcPr>
          <w:p>
            <w:pPr>
              <w:spacing w:after="0"/>
              <w:rPr>
                <w:sz w:val="21"/>
                <w:szCs w:val="21"/>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Director in the Company</w:t>
            </w:r>
          </w:p>
        </w:tc>
      </w:tr>
      <w:tr>
        <w:trPr>
          <w:trHeight w:val="253"/>
        </w:trPr>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Independent Directors</w:t>
            </w:r>
          </w:p>
        </w:tc>
        <w:tc>
          <w:tcPr>
            <w:tcW w:w="2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1"/>
                <w:szCs w:val="21"/>
                <w:color w:val="auto"/>
              </w:rPr>
            </w:pPr>
          </w:p>
        </w:tc>
      </w:tr>
      <w:tr>
        <w:trPr>
          <w:trHeight w:val="235"/>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Scott Emrich</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$50,001 – $100,000</w:t>
            </w:r>
          </w:p>
        </w:tc>
        <w:tc>
          <w:tcPr>
            <w:tcW w:w="2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$50,001 – $100,000</w:t>
            </w:r>
          </w:p>
        </w:tc>
      </w:tr>
      <w:tr>
        <w:trPr>
          <w:trHeight w:val="40"/>
        </w:trPr>
        <w:tc>
          <w:tcPr>
            <w:tcW w:w="2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255"/>
        </w:trPr>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Emil W. Henry, Jr.</w:t>
            </w:r>
          </w:p>
        </w:tc>
        <w:tc>
          <w:tcPr>
            <w:tcW w:w="24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Over $100,000</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Over $100,000</w:t>
            </w:r>
          </w:p>
        </w:tc>
      </w:tr>
      <w:tr>
        <w:trPr>
          <w:trHeight w:val="235"/>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Melissa Marano Thompson</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$10,001 – $50,000</w:t>
            </w:r>
          </w:p>
        </w:tc>
        <w:tc>
          <w:tcPr>
            <w:tcW w:w="2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$10,001 – $50,000</w:t>
            </w:r>
          </w:p>
        </w:tc>
      </w:tr>
      <w:tr>
        <w:trPr>
          <w:trHeight w:val="40"/>
        </w:trPr>
        <w:tc>
          <w:tcPr>
            <w:tcW w:w="2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275"/>
        </w:trPr>
        <w:tc>
          <w:tcPr>
            <w:tcW w:w="2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r>
      <w:tr>
        <w:trPr>
          <w:trHeight w:val="235"/>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Interested Directors</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0"/>
        </w:trPr>
        <w:tc>
          <w:tcPr>
            <w:tcW w:w="2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255"/>
        </w:trPr>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Sanjai S. Bhonsle</w:t>
            </w:r>
          </w:p>
        </w:tc>
        <w:tc>
          <w:tcPr>
            <w:tcW w:w="24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Over $100,000</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Over $100,000</w:t>
            </w:r>
          </w:p>
        </w:tc>
      </w:tr>
      <w:tr>
        <w:trPr>
          <w:trHeight w:val="235"/>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Karen L. Reidy</w:t>
            </w: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Over $100,000</w:t>
            </w:r>
          </w:p>
        </w:tc>
        <w:tc>
          <w:tcPr>
            <w:tcW w:w="2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Over $100,000</w:t>
            </w:r>
          </w:p>
        </w:tc>
      </w:tr>
      <w:tr>
        <w:trPr>
          <w:trHeight w:val="40"/>
        </w:trPr>
        <w:tc>
          <w:tcPr>
            <w:tcW w:w="2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275"/>
        </w:trPr>
        <w:tc>
          <w:tcPr>
            <w:tcW w:w="2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r>
      <w:tr>
        <w:trPr>
          <w:trHeight w:val="235"/>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0"/>
        </w:trPr>
        <w:tc>
          <w:tcPr>
            <w:tcW w:w="2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255"/>
        </w:trPr>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Patrick J. Farrell</w:t>
            </w:r>
          </w:p>
        </w:tc>
        <w:tc>
          <w:tcPr>
            <w:tcW w:w="24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Over $100,000</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Over $100,000</w:t>
            </w:r>
          </w:p>
        </w:tc>
      </w:tr>
      <w:tr>
        <w:trPr>
          <w:trHeight w:val="235"/>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Richard A. Grove</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$10,001 – $50,000</w:t>
            </w:r>
          </w:p>
        </w:tc>
        <w:tc>
          <w:tcPr>
            <w:tcW w:w="2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$10,001 – $50,000</w:t>
            </w:r>
          </w:p>
        </w:tc>
      </w:tr>
      <w:tr>
        <w:trPr>
          <w:trHeight w:val="40"/>
        </w:trPr>
        <w:tc>
          <w:tcPr>
            <w:tcW w:w="2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255"/>
        </w:trPr>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Katie Jones</w:t>
            </w:r>
          </w:p>
        </w:tc>
        <w:tc>
          <w:tcPr>
            <w:tcW w:w="2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None</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None</w:t>
            </w:r>
          </w:p>
        </w:tc>
      </w:tr>
      <w:tr>
        <w:trPr>
          <w:trHeight w:val="235"/>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Blake Rice</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None</w:t>
            </w:r>
          </w:p>
        </w:tc>
        <w:tc>
          <w:tcPr>
            <w:tcW w:w="2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None</w:t>
            </w:r>
          </w:p>
        </w:tc>
      </w:tr>
      <w:tr>
        <w:trPr>
          <w:trHeight w:val="40"/>
        </w:trPr>
        <w:tc>
          <w:tcPr>
            <w:tcW w:w="2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255"/>
        </w:trPr>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Dana Staggs</w:t>
            </w:r>
          </w:p>
        </w:tc>
        <w:tc>
          <w:tcPr>
            <w:tcW w:w="24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Over $100,000</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Over $100,000</w:t>
            </w:r>
          </w:p>
        </w:tc>
      </w:tr>
      <w:tr>
        <w:trPr>
          <w:trHeight w:val="244"/>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tcPr>
          <w:p>
            <w:pPr>
              <w:spacing w:after="0"/>
              <w:rPr>
                <w:sz w:val="21"/>
                <w:szCs w:val="21"/>
                <w:color w:val="auto"/>
              </w:rPr>
            </w:pPr>
          </w:p>
        </w:tc>
      </w:tr>
    </w:tbl>
    <w:p>
      <w:pPr>
        <w:spacing w:after="0" w:line="82" w:lineRule="exact"/>
        <w:rPr>
          <w:sz w:val="20"/>
          <w:szCs w:val="20"/>
          <w:color w:val="auto"/>
        </w:rPr>
      </w:pPr>
    </w:p>
    <w:p>
      <w:pPr>
        <w:ind w:left="1000" w:hanging="426"/>
        <w:spacing w:after="0"/>
        <w:tabs>
          <w:tab w:leader="none" w:pos="10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has been furnished by each Director and executive officer.</w:t>
      </w:r>
    </w:p>
    <w:p>
      <w:pPr>
        <w:spacing w:after="0" w:line="139"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None of the Independent Directors or their family had any interest in the Adviser or any person directly or indirectly controlling, controlled by, or under common control with the Adviser as of December 31, 2025.</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2060"/>
        <w:spacing w:after="0"/>
        <w:rPr>
          <w:sz w:val="20"/>
          <w:szCs w:val="20"/>
          <w:color w:val="auto"/>
        </w:rPr>
      </w:pPr>
      <w:r>
        <w:rPr>
          <w:rFonts w:ascii="Times New Roman" w:cs="Times New Roman" w:eastAsia="Times New Roman" w:hAnsi="Times New Roman"/>
          <w:sz w:val="17"/>
          <w:szCs w:val="17"/>
          <w:b w:val="1"/>
          <w:bCs w:val="1"/>
          <w:color w:val="auto"/>
        </w:rPr>
        <w:t>QUESTIONS AND ANSWERS REGARDING THE PROPOSAL</w:t>
      </w:r>
    </w:p>
    <w:p>
      <w:pPr>
        <w:spacing w:after="0" w:line="224" w:lineRule="exact"/>
        <w:rPr>
          <w:sz w:val="20"/>
          <w:szCs w:val="20"/>
          <w:color w:val="auto"/>
        </w:rPr>
      </w:pPr>
    </w:p>
    <w:p>
      <w:pPr>
        <w:ind w:left="580"/>
        <w:spacing w:after="0"/>
        <w:tabs>
          <w:tab w:leader="none" w:pos="1460" w:val="left"/>
        </w:tabs>
        <w:rPr>
          <w:sz w:val="20"/>
          <w:szCs w:val="20"/>
          <w:color w:val="auto"/>
        </w:rPr>
      </w:pPr>
      <w:r>
        <w:rPr>
          <w:rFonts w:ascii="Times New Roman" w:cs="Times New Roman" w:eastAsia="Times New Roman" w:hAnsi="Times New Roman"/>
          <w:sz w:val="17"/>
          <w:szCs w:val="17"/>
          <w:b w:val="1"/>
          <w:bCs w:val="1"/>
          <w:color w:val="auto"/>
        </w:rPr>
        <w:t>Question:</w:t>
        <w:tab/>
        <w:t>What proposal will be acted upon at the 2026 Annual Meeting?</w:t>
      </w:r>
    </w:p>
    <w:p>
      <w:pPr>
        <w:spacing w:after="0" w:line="160"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u w:val="single" w:color="auto"/>
          <w:color w:val="auto"/>
        </w:rPr>
        <w:t>Answer:</w:t>
      </w:r>
      <w:r>
        <w:rPr>
          <w:rFonts w:ascii="Times New Roman" w:cs="Times New Roman" w:eastAsia="Times New Roman" w:hAnsi="Times New Roman"/>
          <w:sz w:val="17"/>
          <w:szCs w:val="17"/>
          <w:color w:val="auto"/>
        </w:rPr>
        <w:t xml:space="preserve"> At the 2026 Annual Meeting, you will be asked to approve the election of two Class I directors (Proposal 1).</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PROPOSAL 1: ELECTION OF DIRECTOR</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Board of Directors is divided into three classes. The term for each class is three years with a term of office of each class of Directors expiring at the third annual meeting of stockholders after the election of such class of Directors. Each Director will hold office for the term to which he or she is elected and until a successor is duly elected and qualified. Stockholders are being asked to elect two Class III Directors at the 2025 Annual Meeting. The Board currently consists of five directorships with two Class I directorships, one Class II directorship and two Class III directorships. The Board is currently comprised of four directors, two of whom are “Independent Directors.” An Independent Director is a director who is not an “interested person” (as that term is defined in the Investment Company Act of 1940, as amended (the “1940 Act”)) of the Company.</w:t>
      </w:r>
    </w:p>
    <w:p>
      <w:pPr>
        <w:spacing w:after="0" w:line="10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Karen Reidy and Emil W. Henry Jr. currently serve as an Interested Director and an Independent Director, respectively, and have been nominated to serve as Class I Directors for three-year terms to expire at the Company’s 2029 Annual Meeting of Stockholders.</w:t>
      </w:r>
    </w:p>
    <w:p>
      <w:pPr>
        <w:spacing w:after="0" w:line="9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Each nominee has indicated an intention to continue to serve if elected and has also consented to being named in this Proxy Statement.</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classes of Directors are indicated below:</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u w:val="single" w:color="auto"/>
          <w:color w:val="auto"/>
        </w:rPr>
        <w:t>Nominees Serving Until 2029 Annual Meeting of Stockholders (Class I)</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Emil W. Henry, Jr.</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Karen L. Reidy</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u w:val="single" w:color="auto"/>
          <w:color w:val="auto"/>
        </w:rPr>
        <w:t>Director Serving Until 2027 Annual Meeting of Directors (Class II)</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Melissa Marano</w:t>
      </w:r>
    </w:p>
    <w:p>
      <w:pPr>
        <w:spacing w:after="0" w:line="2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u w:val="single" w:color="auto"/>
          <w:color w:val="auto"/>
        </w:rPr>
        <w:t>Directors Serving Until 2028 Annual Meeting of Directors (Class III)</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Sanjai Bhonsle</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John Scott Emrich</w:t>
      </w:r>
    </w:p>
    <w:p>
      <w:pPr>
        <w:spacing w:after="0" w:line="222"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THE BOARD OF DIRECTORS UNANIMOUSLY RECOMMENDS THAT YOU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THE ELECTION OF THE NOMINEES NAMED IN THIS PROXY STATEMENT.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8" w:name="page9"/>
    <w:bookmarkEnd w:id="8"/>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Board has a Nominating and Governance Committee (“Nominating Committee”) and adopted a written charter for the Nominating Committee. A copy of the written charter is included in this Proxy Statement as Appendix A. The Nominating Committee follows the process outlined in its charter in selecting candidates for nomination by the Board. On the basis of information learned during this process, at a meeting of the Nominating Committee held on March 3, 2026, the Nominating Committee approved, and recommended to the Board, Ms. Reidy and Mr. Henry as nominees for election as a Class I Director of the Company for a three-year term to expire at the Company’s 2029 annual meeting of stockholders and when their successor is duly elected and qualified.</w:t>
      </w:r>
    </w:p>
    <w:p>
      <w:pPr>
        <w:spacing w:after="0" w:line="30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All properly executed proxies will be voted (unless such authority has been withheld in the proxy or revoked as described herein) “FOR” the nominees named in this Proxy Statement. The Board knows of no reason why the nominees would be unable to serve, but in the event of any such unavailability, the proxies received will be voted for such substitute nominee as the Board may recommend.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Information About Each Director’s and Nominee’s Experience, Qualifications, Attributes or Skills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Certain biographical and other information relating to the Directors and Nominees, including their ages, positions with the Company, principal occupations and other board memberships for the past five years are shown below.</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Portfolios in</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w w:val="99"/>
              </w:rPr>
              <w:t>Company</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4"/>
                <w:szCs w:val="14"/>
                <w:b w:val="1"/>
                <w:bCs w:val="1"/>
                <w:color w:val="auto"/>
                <w:w w:val="95"/>
              </w:rPr>
              <w:t>Complex</w:t>
            </w:r>
            <w:r>
              <w:rPr>
                <w:rFonts w:ascii="Times New Roman" w:cs="Times New Roman" w:eastAsia="Times New Roman" w:hAnsi="Times New Roman"/>
                <w:sz w:val="20"/>
                <w:szCs w:val="20"/>
                <w:b w:val="1"/>
                <w:bCs w:val="1"/>
                <w:color w:val="auto"/>
                <w:w w:val="95"/>
                <w:vertAlign w:val="superscript"/>
              </w:rPr>
              <w:t>(2)</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Overseen or</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to be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Length of Time</w:t>
            </w:r>
          </w:p>
        </w:tc>
        <w:tc>
          <w:tcPr>
            <w:tcW w:w="1340" w:type="dxa"/>
            <w:vAlign w:val="bottom"/>
            <w:gridSpan w:val="2"/>
            <w:vMerge w:val="continue"/>
          </w:tcPr>
          <w:p>
            <w:pPr>
              <w:spacing w:after="0"/>
              <w:rPr>
                <w:sz w:val="12"/>
                <w:szCs w:val="12"/>
                <w:color w:val="auto"/>
              </w:rPr>
            </w:pPr>
          </w:p>
        </w:tc>
        <w:tc>
          <w:tcPr>
            <w:tcW w:w="8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Overseen by</w:t>
            </w: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Directorships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Position(s)</w:t>
            </w:r>
          </w:p>
        </w:tc>
        <w:tc>
          <w:tcPr>
            <w:tcW w:w="158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Occupation(s)</w:t>
            </w:r>
          </w:p>
        </w:tc>
        <w:tc>
          <w:tcPr>
            <w:tcW w:w="8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Director in</w:t>
            </w: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Held by Director</w:t>
            </w:r>
          </w:p>
        </w:tc>
        <w:tc>
          <w:tcPr>
            <w:tcW w:w="0" w:type="dxa"/>
            <w:vAlign w:val="bottom"/>
          </w:tcPr>
          <w:p>
            <w:pPr>
              <w:spacing w:after="0"/>
              <w:rPr>
                <w:sz w:val="1"/>
                <w:szCs w:val="1"/>
                <w:color w:val="auto"/>
              </w:rPr>
            </w:pPr>
          </w:p>
        </w:tc>
      </w:tr>
      <w:tr>
        <w:trPr>
          <w:trHeight w:val="144"/>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4"/>
                <w:szCs w:val="14"/>
                <w:b w:val="1"/>
                <w:bCs w:val="1"/>
                <w:color w:val="auto"/>
              </w:rPr>
              <w:t xml:space="preserve"> and Age</w:t>
            </w: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Held with</w:t>
            </w:r>
          </w:p>
        </w:tc>
        <w:tc>
          <w:tcPr>
            <w:tcW w:w="15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Served; Term of</w:t>
            </w:r>
          </w:p>
        </w:tc>
        <w:tc>
          <w:tcPr>
            <w:tcW w:w="13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During Past</w:t>
            </w:r>
          </w:p>
        </w:tc>
        <w:tc>
          <w:tcPr>
            <w:tcW w:w="8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Company</w:t>
            </w: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During Past</w:t>
            </w:r>
          </w:p>
        </w:tc>
        <w:tc>
          <w:tcPr>
            <w:tcW w:w="0" w:type="dxa"/>
            <w:vAlign w:val="bottom"/>
          </w:tcPr>
          <w:p>
            <w:pPr>
              <w:spacing w:after="0"/>
              <w:rPr>
                <w:sz w:val="1"/>
                <w:szCs w:val="1"/>
                <w:color w:val="auto"/>
              </w:rPr>
            </w:pPr>
          </w:p>
        </w:tc>
      </w:tr>
      <w:tr>
        <w:trPr>
          <w:trHeight w:val="208"/>
        </w:trPr>
        <w:tc>
          <w:tcPr>
            <w:tcW w:w="1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Office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Five Years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Complex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Five Years</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5"/>
              </w:rPr>
              <w:t>Independent Directors:</w:t>
            </w:r>
            <w:r>
              <w:rPr>
                <w:rFonts w:ascii="Times New Roman" w:cs="Times New Roman" w:eastAsia="Times New Roman" w:hAnsi="Times New Roman"/>
                <w:sz w:val="20"/>
                <w:szCs w:val="20"/>
                <w:b w:val="1"/>
                <w:bCs w:val="1"/>
                <w:color w:val="auto"/>
                <w:w w:val="95"/>
                <w:vertAlign w:val="superscript"/>
              </w:rPr>
              <w:t>(3)</w:t>
            </w:r>
          </w:p>
        </w:tc>
        <w:tc>
          <w:tcPr>
            <w:tcW w:w="80" w:type="dxa"/>
            <w:vAlign w:val="bottom"/>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3"/>
        </w:trPr>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John Scott Emrich, CFA</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Since 2/2020; Class III</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of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Director of Meridian</w:t>
            </w:r>
          </w:p>
        </w:tc>
        <w:tc>
          <w:tcPr>
            <w:tcW w:w="0" w:type="dxa"/>
            <w:vAlign w:val="bottom"/>
          </w:tcPr>
          <w:p>
            <w:pPr>
              <w:spacing w:after="0"/>
              <w:rPr>
                <w:sz w:val="1"/>
                <w:szCs w:val="1"/>
                <w:color w:val="auto"/>
              </w:rPr>
            </w:pPr>
          </w:p>
        </w:tc>
      </w:tr>
      <w:tr>
        <w:trPr>
          <w:trHeight w:val="196"/>
        </w:trPr>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58</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Chair of</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current term</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Meridian Funds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Funds from 2010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Audit</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ends at the 2028</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from 2010 –</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Present; Director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Committee</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meeting</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Present; Director</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Destra Funds from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and Member</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Destra Funds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2015 – Present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of</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from 2015 –</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Nominating</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Present</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Committee</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1"/>
        </w:trPr>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Emil W. Henry, Jr.</w:t>
            </w:r>
            <w:r>
              <w:rPr>
                <w:rFonts w:ascii="Times New Roman" w:cs="Times New Roman" w:eastAsia="Times New Roman" w:hAnsi="Times New Roman"/>
                <w:sz w:val="20"/>
                <w:szCs w:val="20"/>
                <w:b w:val="1"/>
                <w:bCs w:val="1"/>
                <w:color w:val="auto"/>
                <w:vertAlign w:val="superscript"/>
              </w:rPr>
              <w:t>(4)</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Since 2/2013; Class I</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CEO and Founder</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Director of Easterly</w:t>
            </w:r>
          </w:p>
        </w:tc>
        <w:tc>
          <w:tcPr>
            <w:tcW w:w="0" w:type="dxa"/>
            <w:vAlign w:val="bottom"/>
          </w:tcPr>
          <w:p>
            <w:pPr>
              <w:spacing w:after="0"/>
              <w:rPr>
                <w:sz w:val="1"/>
                <w:szCs w:val="1"/>
                <w:color w:val="auto"/>
              </w:rPr>
            </w:pPr>
          </w:p>
        </w:tc>
      </w:tr>
      <w:tr>
        <w:trPr>
          <w:trHeight w:val="196"/>
        </w:trPr>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65</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Member of</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current term</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Tiger</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Government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Nominating</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ends at the 2026</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Infrastructure</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Properties, Director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and Audit</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meeting</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Partners</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of numerous private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Committees;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companies that are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and Lead</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Tiger Infrastructure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Independent</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portfolio companies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1"/>
        </w:trPr>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Melissa Marano</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Since 9/2025; Class II</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r>
        <w:trPr>
          <w:trHeight w:val="196"/>
        </w:trPr>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Thompson 56</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Member of</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current term</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Consultant from</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Nominating</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ends at the 2027</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2013 – Present</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Committee</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meeting</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Interested Directors:</w:t>
            </w:r>
            <w:r>
              <w:rPr>
                <w:rFonts w:ascii="Times New Roman" w:cs="Times New Roman" w:eastAsia="Times New Roman" w:hAnsi="Times New Roman"/>
                <w:sz w:val="20"/>
                <w:szCs w:val="20"/>
                <w:b w:val="1"/>
                <w:bCs w:val="1"/>
                <w:color w:val="auto"/>
                <w:vertAlign w:val="superscript"/>
              </w:rPr>
              <w:t>(5)</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Sanjai S. Bhonsle</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Director;</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Since 2/2020; Class III</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Partner and</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Brown (RI)</w:t>
            </w:r>
          </w:p>
        </w:tc>
        <w:tc>
          <w:tcPr>
            <w:tcW w:w="0" w:type="dxa"/>
            <w:vAlign w:val="bottom"/>
          </w:tcPr>
          <w:p>
            <w:pPr>
              <w:spacing w:after="0"/>
              <w:rPr>
                <w:sz w:val="1"/>
                <w:szCs w:val="1"/>
                <w:color w:val="auto"/>
              </w:rPr>
            </w:pPr>
          </w:p>
        </w:tc>
      </w:tr>
      <w:tr>
        <w:trPr>
          <w:trHeight w:val="196"/>
        </w:trPr>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55</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Chairman of</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current term</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Portfolio Manager</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Management, LLC</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the Board</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ends at the 2028</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 ArrowMark</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and Affiliates from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and Chief</w:t>
            </w: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meeting</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Partners from</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2018 – Present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Executive</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2012 – Present</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Officer</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Portfolios in</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w w:val="99"/>
              </w:rPr>
              <w:t>Company</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4"/>
                <w:szCs w:val="14"/>
                <w:b w:val="1"/>
                <w:bCs w:val="1"/>
                <w:color w:val="auto"/>
                <w:w w:val="95"/>
              </w:rPr>
              <w:t>Complex</w:t>
            </w:r>
            <w:r>
              <w:rPr>
                <w:rFonts w:ascii="Times New Roman" w:cs="Times New Roman" w:eastAsia="Times New Roman" w:hAnsi="Times New Roman"/>
                <w:sz w:val="20"/>
                <w:szCs w:val="20"/>
                <w:b w:val="1"/>
                <w:bCs w:val="1"/>
                <w:color w:val="auto"/>
                <w:w w:val="95"/>
                <w:vertAlign w:val="superscript"/>
              </w:rPr>
              <w:t>(2)</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Overseen or</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to be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Length of Time</w:t>
            </w:r>
          </w:p>
        </w:tc>
        <w:tc>
          <w:tcPr>
            <w:tcW w:w="1340" w:type="dxa"/>
            <w:vAlign w:val="bottom"/>
            <w:gridSpan w:val="2"/>
            <w:vMerge w:val="continue"/>
          </w:tcPr>
          <w:p>
            <w:pPr>
              <w:spacing w:after="0"/>
              <w:rPr>
                <w:sz w:val="12"/>
                <w:szCs w:val="12"/>
                <w:color w:val="auto"/>
              </w:rPr>
            </w:pPr>
          </w:p>
        </w:tc>
        <w:tc>
          <w:tcPr>
            <w:tcW w:w="8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Overseen by</w:t>
            </w: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Directorships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Position(s)</w:t>
            </w:r>
          </w:p>
        </w:tc>
        <w:tc>
          <w:tcPr>
            <w:tcW w:w="158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Occupation(s)</w:t>
            </w:r>
          </w:p>
        </w:tc>
        <w:tc>
          <w:tcPr>
            <w:tcW w:w="8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Director in</w:t>
            </w: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Held by Director</w:t>
            </w:r>
          </w:p>
        </w:tc>
        <w:tc>
          <w:tcPr>
            <w:tcW w:w="0" w:type="dxa"/>
            <w:vAlign w:val="bottom"/>
          </w:tcPr>
          <w:p>
            <w:pPr>
              <w:spacing w:after="0"/>
              <w:rPr>
                <w:sz w:val="1"/>
                <w:szCs w:val="1"/>
                <w:color w:val="auto"/>
              </w:rPr>
            </w:pPr>
          </w:p>
        </w:tc>
      </w:tr>
      <w:tr>
        <w:trPr>
          <w:trHeight w:val="144"/>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4"/>
                <w:szCs w:val="14"/>
                <w:b w:val="1"/>
                <w:bCs w:val="1"/>
                <w:color w:val="auto"/>
              </w:rPr>
              <w:t xml:space="preserve"> and Age</w:t>
            </w: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Held with</w:t>
            </w:r>
          </w:p>
        </w:tc>
        <w:tc>
          <w:tcPr>
            <w:tcW w:w="158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Served; Term of</w:t>
            </w:r>
          </w:p>
        </w:tc>
        <w:tc>
          <w:tcPr>
            <w:tcW w:w="13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During Past</w:t>
            </w:r>
          </w:p>
        </w:tc>
        <w:tc>
          <w:tcPr>
            <w:tcW w:w="84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Company</w:t>
            </w: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During Past</w:t>
            </w:r>
          </w:p>
        </w:tc>
        <w:tc>
          <w:tcPr>
            <w:tcW w:w="0" w:type="dxa"/>
            <w:vAlign w:val="bottom"/>
          </w:tcPr>
          <w:p>
            <w:pPr>
              <w:spacing w:after="0"/>
              <w:rPr>
                <w:sz w:val="1"/>
                <w:szCs w:val="1"/>
                <w:color w:val="auto"/>
              </w:rPr>
            </w:pPr>
          </w:p>
        </w:tc>
      </w:tr>
      <w:tr>
        <w:trPr>
          <w:trHeight w:val="208"/>
        </w:trPr>
        <w:tc>
          <w:tcPr>
            <w:tcW w:w="1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Office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Five Years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Complex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Five Years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Karen L. Reidy, CFA</w:t>
            </w:r>
            <w:r>
              <w:rPr>
                <w:rFonts w:ascii="Times New Roman" w:cs="Times New Roman" w:eastAsia="Times New Roman" w:hAnsi="Times New Roman"/>
                <w:sz w:val="20"/>
                <w:szCs w:val="20"/>
                <w:color w:val="auto"/>
                <w:vertAlign w:val="superscript"/>
              </w:rPr>
              <w:t>(4)</w:t>
            </w:r>
          </w:p>
        </w:tc>
        <w:tc>
          <w:tcPr>
            <w:tcW w:w="80" w:type="dxa"/>
            <w:vAlign w:val="bottom"/>
          </w:tcPr>
          <w:p>
            <w:pPr>
              <w:spacing w:after="0"/>
              <w:rPr>
                <w:sz w:val="15"/>
                <w:szCs w:val="15"/>
                <w:color w:val="auto"/>
              </w:rPr>
            </w:pPr>
          </w:p>
        </w:tc>
        <w:tc>
          <w:tcPr>
            <w:tcW w:w="8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Director</w:t>
            </w:r>
          </w:p>
        </w:tc>
        <w:tc>
          <w:tcPr>
            <w:tcW w:w="80" w:type="dxa"/>
            <w:vAlign w:val="bottom"/>
          </w:tcPr>
          <w:p>
            <w:pPr>
              <w:spacing w:after="0"/>
              <w:rPr>
                <w:sz w:val="15"/>
                <w:szCs w:val="15"/>
                <w:color w:val="auto"/>
              </w:rPr>
            </w:pPr>
          </w:p>
        </w:tc>
        <w:tc>
          <w:tcPr>
            <w:tcW w:w="14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Since 2/2020; Class I</w:t>
            </w:r>
          </w:p>
        </w:tc>
        <w:tc>
          <w:tcPr>
            <w:tcW w:w="100" w:type="dxa"/>
            <w:vAlign w:val="bottom"/>
          </w:tcPr>
          <w:p>
            <w:pPr>
              <w:spacing w:after="0"/>
              <w:rPr>
                <w:sz w:val="15"/>
                <w:szCs w:val="15"/>
                <w:color w:val="auto"/>
              </w:rPr>
            </w:pPr>
          </w:p>
        </w:tc>
        <w:tc>
          <w:tcPr>
            <w:tcW w:w="12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Partner and</w:t>
            </w:r>
          </w:p>
        </w:tc>
        <w:tc>
          <w:tcPr>
            <w:tcW w:w="100" w:type="dxa"/>
            <w:vAlign w:val="bottom"/>
          </w:tcPr>
          <w:p>
            <w:pPr>
              <w:spacing w:after="0"/>
              <w:rPr>
                <w:sz w:val="15"/>
                <w:szCs w:val="15"/>
                <w:color w:val="auto"/>
              </w:rPr>
            </w:pPr>
          </w:p>
        </w:tc>
        <w:tc>
          <w:tcPr>
            <w:tcW w:w="7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Brown (RI)</w:t>
            </w:r>
          </w:p>
        </w:tc>
        <w:tc>
          <w:tcPr>
            <w:tcW w:w="0" w:type="dxa"/>
            <w:vAlign w:val="bottom"/>
          </w:tcPr>
          <w:p>
            <w:pPr>
              <w:spacing w:after="0"/>
              <w:rPr>
                <w:sz w:val="1"/>
                <w:szCs w:val="1"/>
                <w:color w:val="auto"/>
              </w:rPr>
            </w:pPr>
          </w:p>
        </w:tc>
      </w:tr>
      <w:tr>
        <w:trPr>
          <w:trHeight w:val="196"/>
        </w:trPr>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current term</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Portfolio Manager</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Management, LLC</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ends at the 2026</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at ArrowMark</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and Affiliates from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annual meeting</w:t>
            </w: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Partners from</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2018 – Present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2008 – Present</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000" w:right="599" w:hanging="426"/>
        <w:spacing w:after="0" w:line="262" w:lineRule="auto"/>
        <w:tabs>
          <w:tab w:leader="none" w:pos="10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each Director is c/o ArrowMark Financial Corp., 100 Fillmore Street, Suite 325, Denver, CO 80206.</w:t>
      </w:r>
    </w:p>
    <w:p>
      <w:pPr>
        <w:ind w:left="1000" w:hanging="426"/>
        <w:spacing w:after="0"/>
        <w:tabs>
          <w:tab w:leader="none" w:pos="10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ArrowMark Financial Corp. is the only portfolio in its fund complex.</w:t>
      </w:r>
    </w:p>
    <w:p>
      <w:pPr>
        <w:spacing w:after="0" w:line="12" w:lineRule="exact"/>
        <w:rPr>
          <w:rFonts w:ascii="Times New Roman" w:cs="Times New Roman" w:eastAsia="Times New Roman" w:hAnsi="Times New Roman"/>
          <w:sz w:val="16"/>
          <w:szCs w:val="16"/>
          <w:color w:val="auto"/>
        </w:rPr>
      </w:pPr>
    </w:p>
    <w:p>
      <w:pPr>
        <w:ind w:left="1000" w:right="579" w:hanging="426"/>
        <w:spacing w:after="0" w:line="256" w:lineRule="auto"/>
        <w:tabs>
          <w:tab w:leader="none" w:pos="10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“Independent Directors” are Directors who are not “interested persons” (as such term is defined in the 1940 Act) of the Company.</w:t>
      </w:r>
    </w:p>
    <w:p>
      <w:pPr>
        <w:ind w:left="1000" w:right="579" w:hanging="426"/>
        <w:spacing w:after="0" w:line="256" w:lineRule="auto"/>
        <w:tabs>
          <w:tab w:leader="none" w:pos="10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Nominee for election. If elected, their term will expire at the 2029 annual meeting of stockholders and when a successor is duly elected and qualified.</w:t>
      </w:r>
    </w:p>
    <w:p>
      <w:pPr>
        <w:ind w:left="1000" w:right="599" w:hanging="426"/>
        <w:spacing w:after="0" w:line="272" w:lineRule="auto"/>
        <w:tabs>
          <w:tab w:leader="none" w:pos="10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“Interested Directors” are “interested persons” (as such term is defined in the 1940 Act) of the Company. Mr. Bhonsle and Ms. Reidy are considered “interested persons” because of their affiliation with the Adviser.</w:t>
      </w:r>
    </w:p>
    <w:p>
      <w:pPr>
        <w:spacing w:after="0" w:line="106"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Additional information about each Director follows, which describes some of the specific experiences, qualifications, attributes or skills that each Director possesses which the Board believes has prepared him or her to be an effective Director. The Board believes that the significance of each Director’s experience, qualifications, attributes 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critically review, evaluate, question and discuss information provided to them, and to interact effectively with the Adviser, other Company management, service providers, counsel and independent auditors, in order to exercise effective business judgment in the performance of their duties. Experience relevant to having this ability may be achieved through a Director’s educational background; business, professional training or practice (e.g., accounting, finance or law); public service or academic positions; experience from service as a board member or as an executive of investment funds, public companies or significant private or not-for-profit entities or other organizations; and/or other life experiences. To assist them in evaluating certain legal matters, the Independent Directors are counseled by their own independent legal counsel and also may benefit from information provided by the Company’s counsel; both counsel to the Independent Directors and the Company have significant experience advising investment companies and investment company board members. The Board and its committees have the ability to engage other experts as appropriate. The Board evaluates its performance on an annual basis.</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Independent Directors</w:t>
      </w:r>
    </w:p>
    <w:p>
      <w:pPr>
        <w:spacing w:after="0" w:line="147" w:lineRule="exact"/>
        <w:rPr>
          <w:sz w:val="20"/>
          <w:szCs w:val="20"/>
          <w:color w:val="auto"/>
        </w:rPr>
      </w:pPr>
    </w:p>
    <w:p>
      <w:pPr>
        <w:jc w:val="both"/>
        <w:ind w:left="1420" w:right="599" w:hanging="426"/>
        <w:spacing w:after="0" w:line="268" w:lineRule="auto"/>
        <w:tabs>
          <w:tab w:leader="none" w:pos="14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John Scott Emrich</w:t>
      </w:r>
      <w:r>
        <w:rPr>
          <w:rFonts w:ascii="Times New Roman" w:cs="Times New Roman" w:eastAsia="Times New Roman" w:hAnsi="Times New Roman"/>
          <w:sz w:val="17"/>
          <w:szCs w:val="17"/>
          <w:color w:val="auto"/>
        </w:rPr>
        <w:t>. Mr. Emrich has significant experience in the investment management and financial services industry. Mr. Emrich served as a financial analyst or portfolio manager for over 13 years for various investment advisory firms. Prior to such positions he also performed business valuations and appraisal analyses at KPMG Peat Marwick, an independent registered public accounting firm.</w:t>
      </w:r>
    </w:p>
    <w:p>
      <w:pPr>
        <w:spacing w:after="0" w:line="318"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45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Emil W. Henry, Jr</w:t>
      </w:r>
      <w:r>
        <w:rPr>
          <w:rFonts w:ascii="Times New Roman" w:cs="Times New Roman" w:eastAsia="Times New Roman" w:hAnsi="Times New Roman"/>
          <w:sz w:val="17"/>
          <w:szCs w:val="17"/>
          <w:color w:val="auto"/>
        </w:rPr>
        <w:t>. Mr. Henry is the Founder, CEO and Managing Partner of Tiger Infrastructure Partners, a private equity firm focused on infrastructure investment opportunities. Prior to founding Tiger Infrastructure Partners, he was Global Head of the Lehman Brothers Private Equity Infrastructure businesses, where he oversaw global infrastructure investments. In 2005, Mr. Henry was appointed Assistant Secretary of the Treasury for Financial Institutions by the President of the United States. Until his departure in 2007, he was a key advisor to two Treasury Secretaries on economic, legislative and regulatory matters affecting U.S. financial institutions and markets. Before joining the Treasury, Mr. Henry was a partner of Gleacher Partners LLC, an investment banking and investment management firm, where he served as Chairman of Asset Management, and Managing Director, and where he oversaw</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8" w:right="1440" w:bottom="1440" w:gutter="0" w:footer="0" w:header="0"/>
        </w:sectPr>
      </w:pPr>
    </w:p>
    <w:bookmarkStart w:id="10" w:name="page11"/>
    <w:bookmarkEnd w:id="10"/>
    <w:p>
      <w:pPr>
        <w:jc w:val="both"/>
        <w:ind w:left="1420" w:right="599"/>
        <w:spacing w:after="0" w:line="268" w:lineRule="auto"/>
        <w:rPr>
          <w:sz w:val="20"/>
          <w:szCs w:val="20"/>
          <w:color w:val="auto"/>
        </w:rPr>
      </w:pPr>
      <w:r>
        <w:rPr>
          <w:rFonts w:ascii="Times New Roman" w:cs="Times New Roman" w:eastAsia="Times New Roman" w:hAnsi="Times New Roman"/>
          <w:sz w:val="17"/>
          <w:szCs w:val="17"/>
          <w:color w:val="auto"/>
        </w:rPr>
        <w:t>the firm’s investment activities. Mr. Henry began the formative part of his career at Morgan Stanley in the mid-1980s in that firm’s merchant banking arm where he executed management buyouts for Morgan Stanley’s flagship private equity fund. He holds a Master of Business Administration degree from Harvard Business School and a Bachelor of Arts degree in Economics from Yale University.</w:t>
      </w:r>
    </w:p>
    <w:p>
      <w:pPr>
        <w:spacing w:after="0" w:line="306" w:lineRule="exact"/>
        <w:rPr>
          <w:sz w:val="20"/>
          <w:szCs w:val="20"/>
          <w:color w:val="auto"/>
        </w:rPr>
      </w:pPr>
    </w:p>
    <w:p>
      <w:pPr>
        <w:jc w:val="both"/>
        <w:ind w:left="1420" w:right="579" w:hanging="426"/>
        <w:spacing w:after="0" w:line="260"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Melissa Marano Thompson</w:t>
      </w:r>
      <w:r>
        <w:rPr>
          <w:rFonts w:ascii="Times New Roman" w:cs="Times New Roman" w:eastAsia="Times New Roman" w:hAnsi="Times New Roman"/>
          <w:sz w:val="17"/>
          <w:szCs w:val="17"/>
          <w:color w:val="auto"/>
        </w:rPr>
        <w:t>. Ms. Marano Thompson is a seasoned investor and risk manager with a background spanning over 30 years in leveraged finance and private equity. Since 2013, she has been a financial consultant. Prior to her consulting work, Ms. Marano Thompson worked as a portfolio manager of Ivy Hill Asset Management, a division of Ares Capital Corporation and served as a Senior Vice President and Chief Risk Officer at First Light Financial Corporation, a middle market finance company. Previously, Ms. Marano Thompson was a Managing Director at Oaktree Capital Management, Mezzanine Group, focusing on bank debt investments. Prior to joining Oaktree Capital Management, Ms. Marano Thompson was a Managing Director and Senior Portfolio Manager at GSO Capital Partners, where she managed approximately $4.5 billion in assets across their CLO platform. Ms. Marano Thompson also had prior roles at RBC Capital, Credit Agricole Indosuez (Indosuez Capital) and was credit trained at Chemical Bank. Ms. Marano Thompson received her B.B.A., in finance, cum laude, and her MBA in finance from Hofstra University.</w:t>
      </w: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u w:val="single" w:color="auto"/>
          <w:color w:val="auto"/>
        </w:rPr>
        <w:t>Interested Directors</w:t>
      </w:r>
    </w:p>
    <w:p>
      <w:pPr>
        <w:spacing w:after="0" w:line="160" w:lineRule="exact"/>
        <w:rPr>
          <w:sz w:val="20"/>
          <w:szCs w:val="20"/>
          <w:color w:val="auto"/>
        </w:rPr>
      </w:pPr>
    </w:p>
    <w:p>
      <w:pPr>
        <w:jc w:val="both"/>
        <w:ind w:left="1420" w:right="579" w:hanging="426"/>
        <w:spacing w:after="0" w:line="263"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Sanjai S. Bhonsle</w:t>
      </w:r>
      <w:r>
        <w:rPr>
          <w:rFonts w:ascii="Times New Roman" w:cs="Times New Roman" w:eastAsia="Times New Roman" w:hAnsi="Times New Roman"/>
          <w:sz w:val="17"/>
          <w:szCs w:val="17"/>
          <w:color w:val="auto"/>
        </w:rPr>
        <w:t>.Chairman and Chief Executive Officer. Mr. Bhonsle joined ArrowMark Partners, an affiliate of the Adviser, in October 2012 and serves as Partner and Portfolio Manager for ArrowMark Partners’ leveraged loan investments and collateralized loan obligation funds. Prior to joining ArrowMark Partners, he founded MB Consulting Partners in 2009, where he specialized in providing financial and operational restructuring advisory services to stressed and distressed middle-market companies. With more than 10 years of restructuring experience, he has led several assignments across various industries.</w:t>
      </w:r>
    </w:p>
    <w:p>
      <w:pPr>
        <w:spacing w:after="0" w:line="111" w:lineRule="exact"/>
        <w:rPr>
          <w:rFonts w:ascii="Times New Roman" w:cs="Times New Roman" w:eastAsia="Times New Roman" w:hAnsi="Times New Roman"/>
          <w:sz w:val="17"/>
          <w:szCs w:val="17"/>
          <w:color w:val="auto"/>
        </w:rPr>
      </w:pPr>
    </w:p>
    <w:p>
      <w:pPr>
        <w:jc w:val="both"/>
        <w:ind w:left="1420" w:right="57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Bhonsle was a Senior Portfolio Manager at GSO Capital Partners, a subsidiary of The Blackstone Group, and member of the Investment and Management Committee (2005 until 2009). Prior to joining GSO Capital Partners, Mr. Bhonsle was an Assistant Portfolio Manager for RBC Capital Partners’ debt investment group and was a member of the Investment Committee (2001 until 2005). He also led the group’s restructuring efforts related to distressed investments and represented the firm’s interests on creditor committees. From 1999 to 2001, Mr. Bhonsle was a Senior Investment Analyst at Indosuez Capital Partners. Mr. Bhonsle received a Bachelor of Science degree in Mechanical Engineering from the University of Wisconsin — Madison and a Master of Business Administration degree from the Eli Broad Graduate School of Management at Michigan State University.</w:t>
      </w:r>
    </w:p>
    <w:p>
      <w:pPr>
        <w:spacing w:after="0" w:line="313"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Karen L. Reidy</w:t>
      </w:r>
      <w:r>
        <w:rPr>
          <w:rFonts w:ascii="Times New Roman" w:cs="Times New Roman" w:eastAsia="Times New Roman" w:hAnsi="Times New Roman"/>
          <w:sz w:val="17"/>
          <w:szCs w:val="17"/>
          <w:color w:val="auto"/>
        </w:rPr>
        <w:t>.Ms. Reidy is a founding partner of ArrowMark Partners and co-manages ArrowMark Partners’ collateralized loan obligation and specialty finance investments and research analyst teams. Prior to founding ArrowMark Partners, Ms. Reidy served as Executive Vice President and Portfolio Manager at Janus Capital, managing $10 billion for two strategies: Janus Balanced Fund and Janus Core Equity Fund, as well as institutional separate accounts (2000-2005). Ms. Reidy was also the Assistant Portfolio Manager of the Janus Fund (1998-2000). She joined Janus Capital as an equity analyst in 1995. Prior to joining Janus Capital, she worked at PricewaterhouseCoopers LLC, an independent registered public accounting firm, in the audit and mergers and acquisitions departments. Ms. Reidy graduated from the University of Colorado with a Bachelor of Science degree in Business Administration-Accounting and holds the Chartered Financial Analyst designation.</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Composition and Leadership Structure</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1940 Act requires that at least 40% of the Directors be Independent Directors. Additionally, reliance on certain exemptive rules under the 1940 Act requires that a majority of the Directors be Independent Directors in order to rely on such rules. Currently, two of the four Directors are Independent Directors. The Independent Directors exercise their informed business judgment to appoint an individual of their choosing to serve as Chairman, regardless of whether the Director happens to be independent or a member of management. The Board has determined that its leadership structure, in which the Chairman of the Board is an interested person of the Company, is appropriate because the Independent Directors believe that an interested Chairman has a personal and professional stake in the quality and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rPr>
        <w:t>continuity of services provided by management to the Company. The Independent Directors have determined that they can act independently and effectively without having an Independent Director serve as Chairman and that a key factor for assuring that they are in a position to do so is for the Directors who are independent of management to comprise at least three of the five directorships (constituting a majority of the Board when no vacancies exist). Emil W. Henry, Jr. is the lead Independent Director of the Company.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Board’s Oversight Role</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Board’s primary role is oversight of the management of the Company. As is the case with virtually all investment companies, service providers to the Company, primarily the Adviser and its affiliates, have responsibility for the day-to-day management of the Company, which includes responsibility for risk management (including management of investment performance and investment risk, valuation risk, issuer and counterparty credit risk, compliance risk and operational risk). As part of its oversight, the Board, acting at its scheduled meetings, or the Chairman, acting between Board meetings, regularly interacts with and receives reports from senior personnel of service providers. The Board’s Audit Committee meets regularly, and between meetings the Audit Committee Chair has access to the Company’s independent registered public accounting firm and to the Company’s Chief Financial Officer. The Adviser and other service providers have adopted a variety of policies, procedures and controls designed to address the Company’s particular risks. However, it is not possible to eliminate, or even to mitigate, all of the risks applicable to the Company. The Board receives reports from Company counsel and the Independent Directors’ own independent legal counsel regarding regulatory, compliance and governance matters. The Board’s oversight role does not make the Board a guarantor of Company investments or of Company activities or the activities of any of the Company’s service providers.</w:t>
      </w:r>
    </w:p>
    <w:p>
      <w:pPr>
        <w:spacing w:after="0" w:line="3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of Directors and Executive Officers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During the fiscal year ended December 31, 2025, the Board held four meetings. Each Director of the Company attended at least 75% of the meetings of the Board and of any Committee of which he or she was a member. The compensation paid by the Company to the Independent Directors for the fiscal year ended December 31, 2025 is set forth below. No compensation is paid by the Company to the Interested Directors. No officers of the Company received compensation from the Company. The Company did not reimburse the Independent Directors for out-of-pocket expenses incurred in attending the Board and Committee meetings for the year ended December 31, 2025.</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Pension or</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Retirement</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Benefits Accrued</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as Part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80" w:type="dxa"/>
            <w:vAlign w:val="bottom"/>
          </w:tcPr>
          <w:p>
            <w:pPr>
              <w:spacing w:after="0"/>
              <w:rPr>
                <w:sz w:val="17"/>
                <w:szCs w:val="17"/>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From Company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from the</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Company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Annual Benefits</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and Complex Paid</w:t>
            </w:r>
          </w:p>
        </w:tc>
        <w:tc>
          <w:tcPr>
            <w:tcW w:w="0" w:type="dxa"/>
            <w:vAlign w:val="bottom"/>
          </w:tcPr>
          <w:p>
            <w:pPr>
              <w:spacing w:after="0"/>
              <w:rPr>
                <w:sz w:val="1"/>
                <w:szCs w:val="1"/>
                <w:color w:val="auto"/>
              </w:rPr>
            </w:pPr>
          </w:p>
        </w:tc>
      </w:tr>
      <w:tr>
        <w:trPr>
          <w:trHeight w:val="208"/>
        </w:trPr>
        <w:tc>
          <w:tcPr>
            <w:tcW w:w="2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Position with the Company</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Company</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Expenses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Upon Retirement</w:t>
            </w:r>
          </w:p>
        </w:tc>
        <w:tc>
          <w:tcPr>
            <w:tcW w:w="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 Directors</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Independent Directors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John Scott Emrich</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56,250</w:t>
            </w:r>
          </w:p>
        </w:tc>
        <w:tc>
          <w:tcPr>
            <w:tcW w:w="12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None</w:t>
            </w:r>
          </w:p>
        </w:tc>
        <w:tc>
          <w:tcPr>
            <w:tcW w:w="134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None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56,250</w:t>
            </w:r>
          </w:p>
        </w:tc>
        <w:tc>
          <w:tcPr>
            <w:tcW w:w="0" w:type="dxa"/>
            <w:vAlign w:val="bottom"/>
          </w:tcPr>
          <w:p>
            <w:pPr>
              <w:spacing w:after="0"/>
              <w:rPr>
                <w:sz w:val="1"/>
                <w:szCs w:val="1"/>
                <w:color w:val="auto"/>
              </w:rPr>
            </w:pPr>
          </w:p>
        </w:tc>
      </w:tr>
      <w:tr>
        <w:trPr>
          <w:trHeight w:val="40"/>
        </w:trPr>
        <w:tc>
          <w:tcPr>
            <w:tcW w:w="26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Emil W. Henry, Jr.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58,750</w:t>
            </w:r>
          </w:p>
        </w:tc>
        <w:tc>
          <w:tcPr>
            <w:tcW w:w="12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None</w:t>
            </w:r>
          </w:p>
        </w:tc>
        <w:tc>
          <w:tcPr>
            <w:tcW w:w="12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None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Melissa Marano Thompson</w:t>
            </w:r>
            <w:r>
              <w:rPr>
                <w:rFonts w:ascii="Times New Roman" w:cs="Times New Roman" w:eastAsia="Times New Roman" w:hAnsi="Times New Roman"/>
                <w:sz w:val="20"/>
                <w:szCs w:val="20"/>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16,250</w:t>
            </w:r>
          </w:p>
        </w:tc>
        <w:tc>
          <w:tcPr>
            <w:tcW w:w="12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None</w:t>
            </w:r>
          </w:p>
        </w:tc>
        <w:tc>
          <w:tcPr>
            <w:tcW w:w="134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auto"/>
              </w:rPr>
              <w:t>None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16,250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Stolper</w:t>
            </w:r>
            <w:r>
              <w:rPr>
                <w:rFonts w:ascii="Times New Roman" w:cs="Times New Roman" w:eastAsia="Times New Roman" w:hAnsi="Times New Roman"/>
                <w:sz w:val="20"/>
                <w:szCs w:val="20"/>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16,750</w:t>
            </w: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None</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None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Interested Directors</w:t>
            </w:r>
            <w:r>
              <w:rPr>
                <w:rFonts w:ascii="Times New Roman" w:cs="Times New Roman" w:eastAsia="Times New Roman" w:hAnsi="Times New Roman"/>
                <w:sz w:val="20"/>
                <w:szCs w:val="20"/>
                <w:color w:val="auto"/>
                <w:vertAlign w:val="superscript"/>
              </w:rPr>
              <w:t>(3)</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Sanjai S. Bhonsle</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None</w:t>
            </w:r>
          </w:p>
        </w:tc>
        <w:tc>
          <w:tcPr>
            <w:tcW w:w="12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None</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None</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None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2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Karen L. Reidy</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None</w:t>
            </w: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None</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None</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None</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99" w:hanging="426"/>
        <w:spacing w:after="0" w:line="262" w:lineRule="auto"/>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beginning on September 16, 2025, the date Ms. Marano Thompson was appointed to the Board, and ending on December 31, 2025.</w:t>
      </w:r>
    </w:p>
    <w:p>
      <w:pPr>
        <w:ind w:left="1000" w:right="599" w:hanging="426"/>
        <w:spacing w:after="0" w:line="256" w:lineRule="auto"/>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Former Class II director. Mr. Stolper passed away in March 2025. The directorship formerly held by him is currently held by Ms. Marano Thompson</w:t>
      </w:r>
    </w:p>
    <w:p>
      <w:pPr>
        <w:ind w:left="1000" w:hanging="426"/>
        <w:spacing w:after="0"/>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Interested directors are not compensated by us for their service as directors.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b w:val="1"/>
          <w:bCs w:val="1"/>
          <w:color w:val="auto"/>
        </w:rPr>
        <w:t>Executive Officers of the Company</w:t>
      </w:r>
    </w:p>
    <w:p>
      <w:pPr>
        <w:spacing w:after="0" w:line="160"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provides information concerning each of the executive officers of the Company, including their ages, positions with the Company and principal occupations for the past five years.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Length of Time</w:t>
            </w: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Current Position(s)</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Served and Term</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Principal Occupation(s)</w:t>
            </w:r>
          </w:p>
        </w:tc>
      </w:tr>
      <w:tr>
        <w:trPr>
          <w:trHeight w:val="245"/>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Address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6"/>
                <w:szCs w:val="16"/>
                <w:b w:val="1"/>
                <w:bCs w:val="1"/>
                <w:color w:val="auto"/>
              </w:rPr>
              <w:t xml:space="preserve"> and Age</w:t>
            </w:r>
          </w:p>
        </w:tc>
        <w:tc>
          <w:tcPr>
            <w:tcW w:w="8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Held with Company</w:t>
            </w:r>
            <w:r>
              <w:rPr>
                <w:rFonts w:ascii="Times New Roman" w:cs="Times New Roman" w:eastAsia="Times New Roman" w:hAnsi="Times New Roman"/>
                <w:sz w:val="18"/>
                <w:szCs w:val="18"/>
                <w:b w:val="1"/>
                <w:bCs w:val="1"/>
                <w:color w:val="auto"/>
                <w:w w:val="96"/>
                <w:vertAlign w:val="superscript"/>
              </w:rPr>
              <w:t>(2)</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 Office</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During Past Five Years</w:t>
            </w:r>
          </w:p>
        </w:tc>
      </w:tr>
      <w:tr>
        <w:trPr>
          <w:trHeight w:val="191"/>
        </w:trPr>
        <w:tc>
          <w:tcPr>
            <w:tcW w:w="20" w:type="dxa"/>
            <w:vAlign w:val="bottom"/>
          </w:tcPr>
          <w:p>
            <w:pPr>
              <w:spacing w:after="0"/>
              <w:rPr>
                <w:sz w:val="16"/>
                <w:szCs w:val="16"/>
                <w:color w:val="auto"/>
              </w:rPr>
            </w:pPr>
          </w:p>
        </w:tc>
        <w:tc>
          <w:tcPr>
            <w:tcW w:w="1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rPr>
              <w:t>Sanjai S. Bhonsle</w:t>
            </w:r>
          </w:p>
        </w:tc>
        <w:tc>
          <w:tcPr>
            <w:tcW w:w="80" w:type="dxa"/>
            <w:vAlign w:val="bottom"/>
          </w:tcPr>
          <w:p>
            <w:pPr>
              <w:spacing w:after="0"/>
              <w:rPr>
                <w:sz w:val="16"/>
                <w:szCs w:val="16"/>
                <w:color w:val="auto"/>
              </w:rPr>
            </w:pPr>
          </w:p>
        </w:tc>
        <w:tc>
          <w:tcPr>
            <w:tcW w:w="19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rPr>
              <w:t>Chairman and Chief</w:t>
            </w:r>
          </w:p>
        </w:tc>
        <w:tc>
          <w:tcPr>
            <w:tcW w:w="100" w:type="dxa"/>
            <w:vAlign w:val="bottom"/>
          </w:tcPr>
          <w:p>
            <w:pPr>
              <w:spacing w:after="0"/>
              <w:rPr>
                <w:sz w:val="16"/>
                <w:szCs w:val="16"/>
                <w:color w:val="auto"/>
              </w:rPr>
            </w:pPr>
          </w:p>
        </w:tc>
        <w:tc>
          <w:tcPr>
            <w:tcW w:w="1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rPr>
              <w:t>Since February 2020</w:t>
            </w:r>
          </w:p>
        </w:tc>
        <w:tc>
          <w:tcPr>
            <w:tcW w:w="100" w:type="dxa"/>
            <w:vAlign w:val="bottom"/>
          </w:tcPr>
          <w:p>
            <w:pPr>
              <w:spacing w:after="0"/>
              <w:rPr>
                <w:sz w:val="16"/>
                <w:szCs w:val="16"/>
                <w:color w:val="auto"/>
              </w:rPr>
            </w:pPr>
          </w:p>
        </w:tc>
        <w:tc>
          <w:tcPr>
            <w:tcW w:w="2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rPr>
              <w:t>Partner and Portfolio</w:t>
            </w:r>
          </w:p>
        </w:tc>
      </w:tr>
      <w:tr>
        <w:trPr>
          <w:trHeight w:val="2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55</w:t>
            </w: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Executive Officer</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Manager of ArrowMark</w:t>
            </w:r>
          </w:p>
        </w:tc>
      </w:tr>
      <w:tr>
        <w:trPr>
          <w:trHeight w:val="228"/>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Partners, 2013 to Present</w:t>
            </w:r>
          </w:p>
        </w:tc>
      </w:tr>
      <w:tr>
        <w:trPr>
          <w:trHeight w:val="375"/>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Dana Staggs</w:t>
            </w: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President</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Since June 2022</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Managing Director of</w:t>
            </w:r>
          </w:p>
        </w:tc>
      </w:tr>
      <w:tr>
        <w:trPr>
          <w:trHeight w:val="228"/>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ArrowMark Partners</w:t>
            </w:r>
          </w:p>
        </w:tc>
      </w:tr>
      <w:tr>
        <w:trPr>
          <w:trHeight w:val="375"/>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Richard A. Grove</w:t>
            </w: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Chief Compliance Officer</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Since February 2020</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Compliance Officer,</w:t>
            </w:r>
          </w:p>
        </w:tc>
      </w:tr>
      <w:tr>
        <w:trPr>
          <w:trHeight w:val="2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ArrowMark Colorado</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Holdings, LLC; formerly</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ArrowMark Colorado</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Holdings, LLC.; Vice</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President, Secretary and</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Compliance Officer of</w:t>
            </w:r>
          </w:p>
        </w:tc>
      </w:tr>
      <w:tr>
        <w:trPr>
          <w:trHeight w:val="228"/>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Meridian Fund, Inc.</w:t>
            </w:r>
          </w:p>
        </w:tc>
      </w:tr>
      <w:tr>
        <w:trPr>
          <w:trHeight w:val="375"/>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Patrick J. Farrell</w:t>
            </w: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Chief Financial Officer</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Since April 2014</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VP, FI Deposit Network</w:t>
            </w:r>
          </w:p>
        </w:tc>
      </w:tr>
      <w:tr>
        <w:trPr>
          <w:trHeight w:val="2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Finance, Fiserv Solutions</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from December 2025 to</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present; Chief Financial</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Officer of StoneCastle</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Partners, LLC from</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April 2014 to</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December 2025; Director,</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StoneCastle Trust Co.</w:t>
            </w:r>
          </w:p>
        </w:tc>
      </w:tr>
      <w:tr>
        <w:trPr>
          <w:trHeight w:val="228"/>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January 2021 to present</w:t>
            </w:r>
          </w:p>
        </w:tc>
      </w:tr>
      <w:tr>
        <w:trPr>
          <w:trHeight w:val="375"/>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Katie Jones</w:t>
            </w: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Controller</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Since March 2025</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Financial Officer and</w:t>
            </w:r>
          </w:p>
        </w:tc>
      </w:tr>
      <w:tr>
        <w:trPr>
          <w:trHeight w:val="2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Treasurer, Meridian Funds;</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Director of Operations,</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ArrowMark Colorado</w:t>
            </w:r>
          </w:p>
        </w:tc>
      </w:tr>
      <w:tr>
        <w:trPr>
          <w:trHeight w:val="228"/>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Holdings, LLC.</w:t>
            </w:r>
          </w:p>
        </w:tc>
      </w:tr>
      <w:tr>
        <w:trPr>
          <w:trHeight w:val="375"/>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Blake Rice</w:t>
            </w: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Secretary</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Since September 2021</w:t>
            </w: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General Counsel,</w:t>
            </w:r>
          </w:p>
        </w:tc>
      </w:tr>
      <w:tr>
        <w:trPr>
          <w:trHeight w:val="210"/>
        </w:trPr>
        <w:tc>
          <w:tcPr>
            <w:tcW w:w="1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ArrowMark Partners;</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Managing Director and</w:t>
            </w:r>
          </w:p>
        </w:tc>
      </w:tr>
      <w:tr>
        <w:trPr>
          <w:trHeight w:val="210"/>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Associate General Counsel,</w:t>
            </w:r>
          </w:p>
        </w:tc>
      </w:tr>
      <w:tr>
        <w:trPr>
          <w:trHeight w:val="228"/>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Neuberger Berman</w:t>
            </w:r>
          </w:p>
        </w:tc>
      </w:tr>
      <w:tr>
        <w:trPr>
          <w:trHeight w:val="284"/>
        </w:trPr>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82" w:lineRule="exact"/>
        <w:rPr>
          <w:sz w:val="20"/>
          <w:szCs w:val="20"/>
          <w:color w:val="auto"/>
        </w:rPr>
      </w:pPr>
    </w:p>
    <w:p>
      <w:pPr>
        <w:ind w:left="1000" w:right="599" w:hanging="426"/>
        <w:spacing w:after="0" w:line="262" w:lineRule="auto"/>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each officer is c/o ArrowMark Financial Corp., 100 Fillmore Street, Suite 325, Denver, CO 80206.</w:t>
      </w:r>
    </w:p>
    <w:p>
      <w:pPr>
        <w:ind w:left="1000" w:hanging="426"/>
        <w:spacing w:after="0"/>
        <w:tabs>
          <w:tab w:leader="none" w:pos="10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Elected by, and serves at the pleasure of, the Board.</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The Board has an Audit Committee comprised of the Company’s Independent Directors, each of whom is also “independent” under the rules of NASDAQ. The Audit Committee met four times during the Company’s fiscal year ended December 31, 2025. The functions of the Audit Committee are to (a) assist the Board in its oversight of (i) the integrity of the financial statements of the Company; (ii) the independent registered public accounting firm’s (the “Independent Auditor”) qualifications and independence; (iii) the performance of the Company’s internal audit function and Independent Auditor; and (iv) the compliance by the Company with legal and regulatory requirements and (b) prepare an audit committee report as required by Regulation S-K under the 1934 Act. The Audit Committee approves the selection and retention of the Independent Auditor, which is then ratified by both the full Board and a majority of the Independent Directors. The Audit Committee Charter, which describes the Audit Committee’s purpose and duties, is available at </w:t>
      </w:r>
      <w:r>
        <w:rPr>
          <w:rFonts w:ascii="Times New Roman" w:cs="Times New Roman" w:eastAsia="Times New Roman" w:hAnsi="Times New Roman"/>
          <w:sz w:val="17"/>
          <w:szCs w:val="17"/>
          <w:i w:val="1"/>
          <w:iCs w:val="1"/>
          <w:color w:val="auto"/>
        </w:rPr>
        <w:t>https://ir.arrowmarkfinancialcorp.com/static-files/3b9ff923-4bac-4048-9c23-1fed9da9fccf.</w:t>
      </w:r>
    </w:p>
    <w:p>
      <w:pPr>
        <w:sectPr>
          <w:pgSz w:w="11900" w:h="16838" w:orient="portrait"/>
          <w:cols w:equalWidth="0" w:num="1">
            <w:col w:w="9019"/>
          </w:cols>
          <w:pgMar w:left="1440" w:top="329"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type w:val="continuous"/>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oversees the Company’s financial reporting process on behalf of the Board. Management has the primary responsibility for the financial statements and the reporting process, including the systems of internal control over financial reporting. In fulfilling its oversight responsibilities, the Audit Committee reviewed and discussed with management the audited financial statements in the Company’s Annual Report for the fiscal year ended December 31, 2025.</w:t>
      </w:r>
    </w:p>
    <w:p>
      <w:pPr>
        <w:spacing w:after="0" w:line="9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Audit Committee reviewed with the Independent Auditor, which is responsible for expressing an opinion on the conformity of those audited financial statements with generally accepted accounting principles, its judgments as to the quality, not just the acceptability, of the Company’s accounting principles and such other matters as are required to be discussed with the committee under the standards of the Public Company Accounting Oversight Board (United States) (“PCAOB”) and the SEC. In addition, the Audit Committee has discussed with the Independent Auditor the Independent Auditor’s independence from management and the Company, including the Independent Auditor’s letter and the matters in the written disclosures required by the PCAOB provided to the Audit Committee.</w:t>
      </w:r>
    </w:p>
    <w:p>
      <w:pPr>
        <w:spacing w:after="0" w:line="11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members of the Audit Committee are not, and do not represent themselves to be, professionally engaged in the practice of auditing or accounting and are not employed by the Company for accounting, financial management, or internal control purposes. Accordingly, the Audit Committee’s oversight does not provide an independent basis to determine that management has maintained appropriate accounting and/or financial reporting principles and policies, or internal controls and procedures, designed to assure compliance with accounting standards and applicable laws and regulations. Furthermore, the Audit Committee’s considerations and discussions referred to above do not guarantee that the audit of the Company’s financial statements has been carried out in accordance with the standards of the PCAOB or that the financial statements are presented in accordance with generally accepted accounting principles (United States).</w:t>
      </w:r>
    </w:p>
    <w:p>
      <w:pPr>
        <w:spacing w:after="0" w:line="11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Based on its consideration of the audited financial statements and the discussions referred to above with management and the Independent Auditor, and subject to the limitations on the responsibilities and role of the Audit Committee set forth in the Audit Committee Charter and those discussed above, the Audit Committee recommended to the Company’s Board that the Company’s audited financial statements be included in the Company’s Annual Report for the fiscal year ended December 31, 2025.</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This report was submitted by the Audit Committee of the Company’s Board</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John Scott Emrich, Chairman of the Audit Committee</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Emil Henry, Jr.</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Melissa Marano Thompson</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March 3, 2026</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Other Board-Related Matters</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has a Nominating and Governance Committee comprised of the Company’s Independent Directors. During the fiscal year ended December 31, 2025, the Nominating Committee held one meeting on March 5, 2025. The functions of the Nominating Committee are to (i) identify individuals qualified to become directors of the Company in the event that a position is vacated or created; (ii) select, or to recommend that the Board select, the director nominees for each annual meeting of Stockholders of the Company; (iii) set any necessary standards or qualifications for service as a director of the Company; (iv) make recommendations concerning the continuing education of the directors on matters relating to their activities as directors;</w:t>
      </w:r>
    </w:p>
    <w:p>
      <w:pPr>
        <w:spacing w:after="0" w:line="3" w:lineRule="exact"/>
        <w:rPr>
          <w:sz w:val="20"/>
          <w:szCs w:val="20"/>
          <w:color w:val="auto"/>
        </w:rPr>
      </w:pPr>
    </w:p>
    <w:p>
      <w:pPr>
        <w:jc w:val="both"/>
        <w:ind w:left="580" w:right="599" w:hanging="6"/>
        <w:spacing w:after="0" w:line="259" w:lineRule="auto"/>
        <w:tabs>
          <w:tab w:leader="none" w:pos="86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periodic self-assessments of the directors; (vi) periodically review and make recommendations regarding Independent Director compensation; (vii) periodically liaise with the Company’s Chief Compliance Officer; (viii) oversee the contract review process, including the review of the Company’s investment advisory agreement and contracts with any affiliated service providers; and (ix) undertake such matters from time to time relating to Board nominations or governance of the Company as the Nominating Committee shall deem appropriate. In addition, the Nominating Committee will consider corporate governance issues that arise from time to time and develop appropriate recommendations for the Board, giving appropriate weight to relevant factors including “industry-leading practices.” The Nominating Committee will review and report to the Board regarding any actual or potential conflicts of interest involving 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4" w:name="page15"/>
    <w:bookmarkEnd w:id="14"/>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director and determine whether such director may vote on any issue as to which there may be a conflict. In addition, the Nominating Committee will review all related-party transactions and determine whether such transactions are appropriate for the Company to undertake. In selecting candidates for nomination by the Board, the Nominating Committee follows the process outlined in its charter and may accept director nominations made by Company stockholders on the same basis as it considers and evaluates nominees recommended by other sources.</w:t>
      </w:r>
    </w:p>
    <w:p>
      <w:pPr>
        <w:spacing w:after="0" w:line="93"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Nominating Committee may accept nominations for the office of Director made by Company stockholders on the same basis as it considers and evaluates nominees recommended by other sources. In identifying and evaluating Director nominees, the Nominating Committee considers factors including:</w:t>
      </w:r>
    </w:p>
    <w:p>
      <w:pPr>
        <w:spacing w:after="0" w:line="2" w:lineRule="exact"/>
        <w:rPr>
          <w:sz w:val="20"/>
          <w:szCs w:val="20"/>
          <w:color w:val="auto"/>
        </w:rPr>
      </w:pPr>
    </w:p>
    <w:p>
      <w:pPr>
        <w:jc w:val="both"/>
        <w:ind w:left="580" w:right="579" w:hanging="6"/>
        <w:spacing w:after="0" w:line="258" w:lineRule="auto"/>
        <w:tabs>
          <w:tab w:leader="none" w:pos="79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individual is an “interested person” as defined in the 1940 Act and whether the person is otherwise qualified under applicable laws and regulations to serve as a Director or Independent Director of the Company; (ii) whether or not the individual has any relationships that might impair his or her independence, such as any business, financial or family relationships with Company management, the Adviser, Company service providers or their affiliates; (iii) whether or not the individual serves on boards of, or is otherwise affiliated with, competing financial service organizations or their related mutual fund complexes; (iv) whether or not the individual is willing to serve, and willing and able to commit the time necessary for the performance of the duties of a Director of the Company; (v) the contribution the individual can make to the Board and the Company, with consideration being given to the individual’s educational background and business and professional experience; (vi) the character and integrity of the individual; (vii) the overall diversity of the Board’s composition; and (vii) all applicable laws, rules, regulations, and listing standards. The Nominating Committee may, but is not required to, retain a third-party search firm at the Company’s expense to assist in the identification of Independent Director nominees. Other than the foregoing, there are no stated minimum criteria for Director nominees, although the Nominating Committee may also consider such other factors as its members deem to be in the best interests of the Company and its stockholders. The Board has not adopted a mandatory retirement policy. The Board may remove or replace any member of the Nominating Committee at any time in its sole discretion.</w:t>
      </w:r>
    </w:p>
    <w:p>
      <w:pPr>
        <w:spacing w:after="0" w:line="32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Stockholders who wish to send communications to the Board should send them to the Secretary of the Company at 100 Fillmore Street, Suite 325, Denver, CO 80206. All such communications will be directed to the Board’s attention.</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 does not have a formal policy regarding Director attendance at the annual meetings of stockholders. Each Director of the Company (as of December 31, 2025) attended at least 75% of the meetings of the Board and of any Committee of which he or she was a member.</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election of Ms. Reidy and Mr. Henry as Class I Directors requires the affirmative vote of a plurality of the votes cast by the holders of the outstanding shares of Common Stock present and entitled to vote.</w:t>
      </w:r>
    </w:p>
    <w:p>
      <w:pPr>
        <w:spacing w:after="0" w:line="81"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2340"/>
        <w:spacing w:after="0"/>
        <w:rPr>
          <w:sz w:val="20"/>
          <w:szCs w:val="20"/>
          <w:color w:val="auto"/>
        </w:rPr>
      </w:pPr>
      <w:r>
        <w:rPr>
          <w:rFonts w:ascii="Times New Roman" w:cs="Times New Roman" w:eastAsia="Times New Roman" w:hAnsi="Times New Roman"/>
          <w:sz w:val="17"/>
          <w:szCs w:val="17"/>
          <w:b w:val="1"/>
          <w:bCs w:val="1"/>
          <w:color w:val="auto"/>
        </w:rPr>
        <w:t>SUBMISSION OF STOCKHOLDER PROPOSALS FOR</w:t>
      </w:r>
    </w:p>
    <w:p>
      <w:pPr>
        <w:spacing w:after="0" w:line="3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THE 2027 ANNUAL MEETING OF STOCKHOLDERS</w:t>
      </w:r>
    </w:p>
    <w:p>
      <w:pPr>
        <w:spacing w:after="0" w:line="14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All proposals by stockholders of the Company that are intended to be presented at the Company’s next annual meeting of stockholders to be held in 2027 must be received by the Company for consideration for inclusion in the Company’s proxy statement relating to the meeting no later than 5:00 p.m. E.T., on January 7, 2027 and must satisfy the requirements of the federal securities laws including Rule 14a-8 under the 1934 Act.</w:t>
      </w:r>
    </w:p>
    <w:p>
      <w:pPr>
        <w:spacing w:after="0" w:line="9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Stockholders who do not wish to submit a proposal for inclusion in the Company’s proxy statement and proxy card for the 2027 annual meeting of stockholders in accordance with Rule 14a-8 under the 1934 Act may submit a proposal for consideration at the 2027 annual meeting of stockholders in accordance with the By-laws of the Company. The Company’s By-laws currently require stockholders wishing to nominate Directors or propose other business to be brought before the Company’s 2027 annual meeting of stockholders to provide timely notice of the proposal in writing to the Secretary of the Company and, in the case of such other business, such other business must otherwise be a proper matter for action by the stockholders. To be considered timely, any such notice must be delivered to the principal executive officer of ArrowMark Financial Corp. at 100 Fillmore Street, Suite 325, Denver, CO 80206 not earlier than February 13, 2027, nor later than 5:00 p.m., E.T., on March 16, 2027. If such proposals are not “timely,” then proxies solicited by the Board for next year’s annual meeting may confer discretionary authority to such proxies to vote on such proposals at their discretion. Any such notice by a stockholder must set forth all information required by the Company’s By-laws with respect to each nominee or other matter the stockholder proposes to bring before an annual meeting.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w:t>
      </w:r>
    </w:p>
    <w:p>
      <w:pPr>
        <w:spacing w:after="0" w:line="160"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Tait, Weller &amp; Baker LLP (“Tait Weller”) has been selected to serve as the Company’s independent registered public accounting firm for the Company’s fiscal year ending December 31, 2026. The Company knows of no direct financial or material indirect financial interest of Tait Weller in the Company. A representative of Tait Weller will not be present at the 2026 Annual Meeting, but will be available by telephone to respond to appropriate questions and will have an opportunity to make a statement, if the representative desires.</w:t>
      </w:r>
    </w:p>
    <w:p>
      <w:pPr>
        <w:spacing w:after="0" w:line="31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Set forth in the table below are audit fees and tax fees billed to the Company by Tait Weller for professional services provided to the Company as the independent registered accounting firm for the fiscal years ended December 31, 2024 and 2025, respectively.</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Audit-Related</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All Other</w:t>
            </w:r>
          </w:p>
        </w:tc>
      </w:tr>
      <w:tr>
        <w:trPr>
          <w:trHeight w:val="208"/>
        </w:trPr>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Audit Fees</w:t>
            </w:r>
          </w:p>
        </w:tc>
        <w:tc>
          <w:tcPr>
            <w:tcW w:w="1020" w:type="dxa"/>
            <w:vAlign w:val="bottom"/>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Fees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Tax Fees*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Fees**</w:t>
            </w:r>
          </w:p>
        </w:tc>
      </w:tr>
      <w:tr>
        <w:trPr>
          <w:trHeight w:val="44"/>
        </w:trPr>
        <w:tc>
          <w:tcPr>
            <w:tcW w:w="168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5"/>
        </w:trPr>
        <w:tc>
          <w:tcPr>
            <w:tcW w:w="1680" w:type="dxa"/>
            <w:vAlign w:val="bottom"/>
            <w:tcBorders>
              <w:bottom w:val="single" w:sz="8" w:color="CCEEFF"/>
            </w:tcBorders>
            <w:shd w:val="clear" w:color="auto" w:fill="CCEEFF"/>
          </w:tcPr>
          <w:p>
            <w:pPr>
              <w:jc w:val="right"/>
              <w:ind w:right="1253"/>
              <w:spacing w:after="0"/>
              <w:rPr>
                <w:sz w:val="20"/>
                <w:szCs w:val="20"/>
                <w:color w:val="auto"/>
              </w:rPr>
            </w:pPr>
            <w:r>
              <w:rPr>
                <w:rFonts w:ascii="Times New Roman" w:cs="Times New Roman" w:eastAsia="Times New Roman" w:hAnsi="Times New Roman"/>
                <w:sz w:val="17"/>
                <w:szCs w:val="17"/>
                <w:color w:val="auto"/>
                <w:w w:val="93"/>
              </w:rPr>
              <w:t>2024</w:t>
            </w: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57"/>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5"/>
        </w:trPr>
        <w:tc>
          <w:tcPr>
            <w:tcW w:w="1680" w:type="dxa"/>
            <w:vAlign w:val="bottom"/>
          </w:tcPr>
          <w:p>
            <w:pPr>
              <w:jc w:val="right"/>
              <w:ind w:right="1253"/>
              <w:spacing w:after="0"/>
              <w:rPr>
                <w:sz w:val="20"/>
                <w:szCs w:val="20"/>
                <w:color w:val="auto"/>
              </w:rPr>
            </w:pPr>
            <w:r>
              <w:rPr>
                <w:rFonts w:ascii="Times New Roman" w:cs="Times New Roman" w:eastAsia="Times New Roman" w:hAnsi="Times New Roman"/>
                <w:sz w:val="17"/>
                <w:szCs w:val="17"/>
                <w:color w:val="auto"/>
                <w:w w:val="93"/>
              </w:rPr>
              <w:t>2025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45,000</w:t>
            </w:r>
          </w:p>
        </w:tc>
        <w:tc>
          <w:tcPr>
            <w:tcW w:w="1020" w:type="dxa"/>
            <w:vAlign w:val="bottom"/>
          </w:tcPr>
          <w:p>
            <w:pPr>
              <w:jc w:val="right"/>
              <w:ind w:right="857"/>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3,000</w:t>
            </w:r>
          </w:p>
        </w:tc>
        <w:tc>
          <w:tcPr>
            <w:tcW w:w="2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99" w:hanging="426"/>
        <w:spacing w:after="0" w:line="262" w:lineRule="auto"/>
        <w:tabs>
          <w:tab w:leader="none" w:pos="97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are those fees related to Tait Weller’s tax consulting services, including primarily the review of the Company’s tax returns.</w:t>
      </w:r>
    </w:p>
    <w:p>
      <w:pPr>
        <w:spacing w:after="0" w:line="1" w:lineRule="exact"/>
        <w:rPr>
          <w:sz w:val="20"/>
          <w:szCs w:val="20"/>
          <w:color w:val="auto"/>
        </w:rPr>
      </w:pPr>
    </w:p>
    <w:p>
      <w:pPr>
        <w:ind w:left="1000" w:right="599" w:hanging="426"/>
        <w:spacing w:after="0" w:line="272" w:lineRule="auto"/>
        <w:tabs>
          <w:tab w:leader="none" w:pos="97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include the aggregate fees billed for products and services provided by Tait Weller, other than the reported services.</w:t>
      </w:r>
    </w:p>
    <w:p>
      <w:pPr>
        <w:spacing w:after="0" w:line="9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Company’s Audit Committee Charter requires that the Audit Committee pre-approve all audit and non-audit services to be provided by Tait Weller to the Company, and all non-audit services to be provided by Tait Weller to the Company’s Adviser and any entity controlling, controlled by or under common control with the Company’s Adviser (“Affiliates”) that provides on-going services to the Company, if the engagement relates directly to the operations and financial reporting of the Company. Alternatively, the Audit Committee also may delegate pre-approval to one of its members subject to subsequent reporting to the Audit Committee. All of the audit and non-audit services described above for which Tait Weller billed the Company fees for the fiscal year ended December 31, 2025 were pre-approved by the Audit Committee as required.</w:t>
      </w:r>
    </w:p>
    <w:p>
      <w:pPr>
        <w:spacing w:after="0" w:line="113"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Except for the Tax Fees disclosed above, there were no non-audit fees billed by Tait Weller for services rendered to the Company and rendered to the Adviser or its affiliates that provide ongoing services to the Company for the fiscal year ended December 31, 2025.</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6" w:name="page17"/>
    <w:bookmarkEnd w:id="16"/>
    <w:p>
      <w:pPr>
        <w:ind w:left="3280"/>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Investment Adviser and Administrator</w:t>
      </w:r>
    </w:p>
    <w:p>
      <w:pPr>
        <w:spacing w:after="0" w:line="160"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ArrowMark Asset Management LLC serves as the Company’s investment adviser. The principal executive office of the Adviser is 100 Fillmore Street, Suite 325, Denver, CO 80206. The Adviser is a Delaware limited liability company and is an investment adviser registered under the Investment Advisers Act of 1940, as amended.</w:t>
      </w:r>
    </w:p>
    <w:p>
      <w:pPr>
        <w:spacing w:after="0" w:line="30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Bank of New York Mellon, located at 118 Flanders Road, Westborough, Massachusetts 01581, serves as administrator to the Company.</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Bank of New York Mellon, located at 240 Greenwich St., New York, New York 10286, serves as custodian to the Company.</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Section 16(a) of the 1934 Act and Section 30(h) of the 1940 Act, and the rules thereunder, require the Company’s Directors and executive officers, certain persons affiliated with the Company and persons who beneficially own more than 10% of a registered class of the Company’s securities to file reports of ownership and changes of ownership with the SEC, NASDAQ and the Company. To the Company’s knowledge, based solely on review of the copies of such reports filed electronically with the SEC during the Company’s fiscal year ended December 31, 2025, all Section 16(a) filing requirements applicable to such reporting persons were complied with, except that on September 30, 2025, a late Form 3 was filed for Ms. Thompson with respect to her becoming a director of the Company September 12, 2025.</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Broker Non-Vote and Abstentions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Shares represented by properly executed proxies with respect to which a vote is withheld, or for which a broker does not vote, will be treated as Shares that are present and entitled to vote for purposes of determining a Quorum, but will not constitute a vote “FOR” a proposal and will have the effect of a vote against the election of the nominee named in this Proxy Statement.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Information About Attending the Meeting</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Virtual attendance at the 2026 Annual Meeting is limited to stockholders (or their authorized representatives) as of the Record Date. All attendees should pre-register.</w:t>
      </w:r>
    </w:p>
    <w:p>
      <w:pPr>
        <w:spacing w:after="0" w:line="8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you would like to attend the 2026 Annual Meeting, please follow the instructions below to pre-register by June 8, 2026.</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Pre-Registration Instructions</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you are a registered stockholder (your shares are held in your name), you may pre-register by contacting us and providing your name as it appears on your stock ownership records and your mailing address.</w:t>
      </w:r>
    </w:p>
    <w:p>
      <w:pPr>
        <w:spacing w:after="0" w:line="8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If you are a beneficial owner (your shares are held through a broker or bank) you may pre-register by contacting us and providing your name and mailing address, and evidence of your stock ownership as of the Record Date. A copy of your brokerage or bank statement will suffice as evidence of ownership, or you can obtain a letter from your broker or bank.</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you are a stockholder as of the Record Date and intend to appoint an authorized representative to attend the 2026 Annual Meeting on your behalf, you may pre-register by submitting a request to us and providing: your name and mailing address, the name and mailing address of your authorized representative, evidence of stock ownership as of the Record Date, and a signed authorization appointing such individual to be your authorized representative at the 2026 Annual Meeting.</w:t>
      </w:r>
    </w:p>
    <w:p>
      <w:pPr>
        <w:spacing w:after="0" w:line="9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To pre-register for the 2026 Annual Meeting, you can write to us at ArrowMark Financial Corp., Attn.: Investor Relations, 100 Fillmore Street, Suite 325, Denver, CO 80206, email us at BANX@destracapital.com or call us at 877-855-3434. You may also use this Investor Relations phone number for technical assistance if you experience “day of” problems logging on, hearing, or being heard, at the 2026 Annual Meeting</w:t>
      </w:r>
      <w:r>
        <w:rPr>
          <w:rFonts w:ascii="Times New Roman" w:cs="Times New Roman" w:eastAsia="Times New Roman" w:hAnsi="Times New Roman"/>
          <w:sz w:val="17"/>
          <w:szCs w:val="17"/>
          <w:i w:val="1"/>
          <w:iCs w:val="1"/>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OTHER MATTERS TO COME BEFORE THE 2026 ANNUAL MEETING</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Company does not intend to present any other business at the 2026 Annual Meeting, nor is the Company aware that any stockholder is entitled to do so. If, however, any other matters are properly brought before the 2026 Annual Meeting, the persons named in the accompanying proxy card will vote thereon in accordance with their discretion.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VOTING RESULTS</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Company will advise its stockholders of the voting results of the matters voted upon at the 2026 Annual Meeting in its next semi-annual report to stockholders.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TO BANKS, BROKER/DEALERS AND VOTING TRUSTEES AND THEIR NOMINEES</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Please advise the Company whether other persons are the beneficial owners of shares of Common Stock for which proxies are being solicited from you, and, if so, the number of copies of the proxy statement and other soliciting material you wish to receive in order to supply copies to the beneficial owners of shares of Common Stock.</w:t>
      </w:r>
    </w:p>
    <w:p>
      <w:pPr>
        <w:spacing w:after="0" w:line="10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This Proxy Statement has been prepared for stockholders of the Company. The Company will mail one Proxy Statement to each stockholder address upon request. If you would like to obtain an additional paper copy of the Proxy Statement, please contact Broadridge at 1-800-579-1639 or write to ArrowMark Financial Corp. at 100 Fillmore St., Suite 325, Denver, CO 80206.</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DELIVERY OF PROXY MATERIALS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Please note that only one annual or semi-annual report or Proxy Statement or Notice of Internet Availability of Proxy Materials may be delivered to two or more stockholders of the Company who share an address, unless the Company has received instructions to the contrary. To request a separate copy of an annual report or semi-annual report or this Proxy Statement or Notice of Internet Availability of Proxy Materials, or for instructions on how to request a separate copy of these documents or for instructions on how to request a single copy if multiple copies of these documents are received, stockholders should contact the Company at 877-855-3434 or write to ArrowMark Financial Corp. at 100 Fillmore Street, Suite 325, Denver, CO 80206.</w:t>
      </w:r>
    </w:p>
    <w:p>
      <w:pPr>
        <w:spacing w:after="0" w:line="96"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IT IS IMPORTANT THAT YOUR PROXY CARD BE COMPLETED PROMPTLY. EVEN IF YOU EXPECT TO VIRTUALLY ATTEND THE ANNUAL MEETING, YOU ARE REQUESTED TO COMPLETE, SIGN AND DATE THE PROXY CARD AS SOON AS POSSIBLE.</w:t>
      </w:r>
    </w:p>
    <w:p>
      <w:pPr>
        <w:spacing w:after="0" w:line="342"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By Order of the Board of Directors</w:t>
      </w:r>
    </w:p>
    <w:p>
      <w:pPr>
        <w:spacing w:after="0" w:line="18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b w:val="1"/>
          <w:bCs w:val="1"/>
          <w:color w:val="auto"/>
        </w:rPr>
        <w:t>BLAKE RICE</w:t>
      </w:r>
    </w:p>
    <w:p>
      <w:pPr>
        <w:spacing w:after="0" w:line="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i w:val="1"/>
          <w:iCs w:val="1"/>
          <w:color w:val="auto"/>
        </w:rPr>
        <w:t>Secretary of the Company</w:t>
      </w:r>
    </w:p>
    <w:p>
      <w:pPr>
        <w:spacing w:after="0" w:line="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May 6, 2026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ARROWMARK FINANCIAL CORP.</w:t>
      </w:r>
    </w:p>
    <w:p>
      <w:pPr>
        <w:spacing w:after="0" w:line="20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ominating and</w:t>
      </w:r>
      <w:r>
        <w:rPr>
          <w:rFonts w:ascii="Times New Roman" w:cs="Times New Roman" w:eastAsia="Times New Roman" w:hAnsi="Times New Roman"/>
          <w:sz w:val="17"/>
          <w:szCs w:val="17"/>
          <w:b w:val="1"/>
          <w:bCs w:val="1"/>
          <w:color w:val="auto"/>
        </w:rPr>
        <w:t xml:space="preserve"> G</w:t>
      </w:r>
      <w:r>
        <w:rPr>
          <w:rFonts w:ascii="Times New Roman" w:cs="Times New Roman" w:eastAsia="Times New Roman" w:hAnsi="Times New Roman"/>
          <w:sz w:val="11"/>
          <w:szCs w:val="11"/>
          <w:b w:val="1"/>
          <w:bCs w:val="1"/>
          <w:color w:val="auto"/>
        </w:rPr>
        <w:t>overnance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ommittee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harter</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ORGANIZATION AND GOVERNANCE</w:t>
      </w:r>
    </w:p>
    <w:p>
      <w:pPr>
        <w:spacing w:after="0" w:line="160"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The Nominating and Governance Committee (the “Committee”) of ArrowMark Financial Corp. (the “Company”) shall be comprised solely of Directors who are not “interested persons” of the Company as defined in Section 2(a)(19) of the Investment Company Act of 1940, as amended (the “1940 Act”) (the “Independent Directors”). Each member must also meet the independence and experience requirements of the NASDAQ Global Market, and Section 10A of the Securities Exchange Act of 1934, as amended (the “Exchange Act’), and Rule 10A-3 thereunder, and other applicable rules and regulations of the Securities and Exchange Commission (“SEC”).</w:t>
      </w:r>
    </w:p>
    <w:p>
      <w:pPr>
        <w:spacing w:after="0" w:line="30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Committee shall be comprised of as many Independent Directors as the Board of Directors of the Company (the “Board”) shall determine, but in any event not fewer than three (3) members, each of whom shall serve at the pleasure of the Board. The Board may remove or replace any member of the Committee at any time in its sole discretion. The Board shall nominate the members of the Committee and shall designate the chairman and co-chairman of the Committee. The chairman or, in her absence, another member of the Committee, shall preside at each meeting of the Committee.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STATEMENT OF PURPOSES AND RESPONSIBILITIES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Committee shall select and nominate persons for election as Directors of the Company as well as oversee the Company’s governance. The primary purposes and responsibilities of the Committee are (i) to identify individuals qualified to become Directors of the Company in the event that a position is vacated or created; (ii) to select, or to recommend that the Board select, the Director nominees for each annual meeting of the stockholders; (iii) to set any necessary standards or qualifications for service as a Director of the Company;</w:t>
      </w:r>
    </w:p>
    <w:p>
      <w:pPr>
        <w:spacing w:after="0" w:line="3" w:lineRule="exact"/>
        <w:rPr>
          <w:sz w:val="20"/>
          <w:szCs w:val="20"/>
          <w:color w:val="auto"/>
        </w:rPr>
      </w:pPr>
    </w:p>
    <w:p>
      <w:pPr>
        <w:jc w:val="both"/>
        <w:ind w:left="580" w:right="579" w:hanging="6"/>
        <w:spacing w:after="0" w:line="257" w:lineRule="auto"/>
        <w:tabs>
          <w:tab w:leader="none" w:pos="88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recommendations concerning the continuing education of the Directors on matters relating to their activities as Directors; (v) to oversee the periodic Director self-assessment; (vi) to periodically review and make recommendations regarding Independent Director compensation; (vii) to undertake such matters from time to time relating to Board nominations or governance of the Company as the Committee shall deem appropriate;</w:t>
      </w:r>
    </w:p>
    <w:p>
      <w:pPr>
        <w:jc w:val="both"/>
        <w:ind w:left="580" w:right="599" w:hanging="6"/>
        <w:spacing w:after="0" w:line="265" w:lineRule="auto"/>
        <w:tabs>
          <w:tab w:leader="none" w:pos="100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periodically liaise with the Company’s Chief Compliance Officer and (ix) to oversee the contract review process, including the review of the Company’s investment advisory agreement and contracts with any affiliated service providers.</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IDENTIFICATION AND EVALUATION OF POTENTIAL NOMINEES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Committee may take into account a wide variety of factors in considering Director nominees. In identifying and evaluating an individual as a potential nominee to serve as a Director, or in evaluating whether to remove an incumbent Director, the Committee shall consider among other factors it may deem relevant:</w:t>
      </w:r>
    </w:p>
    <w:p>
      <w:pPr>
        <w:spacing w:after="0" w:line="85" w:lineRule="exact"/>
        <w:rPr>
          <w:sz w:val="20"/>
          <w:szCs w:val="20"/>
          <w:color w:val="auto"/>
        </w:rPr>
      </w:pPr>
    </w:p>
    <w:p>
      <w:pPr>
        <w:jc w:val="both"/>
        <w:ind w:left="1420" w:right="599" w:hanging="426"/>
        <w:spacing w:after="0" w:line="276" w:lineRule="auto"/>
        <w:tabs>
          <w:tab w:leader="none" w:pos="14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individual is an “interested person” as defined in the 1940 Act and whether the person is otherwise qualified under applicable laws and regulations to serve as a Director or Independent Director of the Company;</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individual has any relationships that might impair his or her independence, such as any business, financial or family relationships with Company management, the investment manager of the Company, Company service providers or their affiliates;</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individual serves on boards of, or is otherwise affiliated with, competing financial service organizations or their related mutual fund complexes;</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individual is willing to serve, and willing and able to commit the time necessary for the performance of the duties of a Director of the Company;</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contribution the individual can make to the Board and the Company, with consideration being given to the individual’s educational background and business and professional experience;</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character and integrity of the individual;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0" w:name="page21"/>
    <w:bookmarkEnd w:id="20"/>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overall diversity of the Board’s composition; and</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but is not required to, retain a third-party search firm at the Company’s expense to assist in the identification of Independent Director nominees.</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Following an initial evaluation by the Committee, a nominee must:</w:t>
      </w:r>
    </w:p>
    <w:p>
      <w:pPr>
        <w:spacing w:after="0" w:line="158" w:lineRule="exact"/>
        <w:rPr>
          <w:sz w:val="20"/>
          <w:szCs w:val="20"/>
          <w:color w:val="auto"/>
        </w:rPr>
      </w:pPr>
    </w:p>
    <w:p>
      <w:pPr>
        <w:jc w:val="both"/>
        <w:ind w:left="1420" w:right="599" w:hanging="426"/>
        <w:spacing w:after="0" w:line="270"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prepared to submit written answers to a questionnaire seeking professional and personal information that will assist the Committee to evaluate the candidate and to determine, among other matters, whether the candidate would be an Independent Director under the 1940 Act or otherwise have material relationships with key service providers to the Company;</w:t>
      </w:r>
    </w:p>
    <w:p>
      <w:pPr>
        <w:spacing w:after="0" w:line="89"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prepared to submit character references and agree to appropriate background checks; and</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prepared to meet with one or more members of the Committee at a time and location convenient to those Committee members in order to discuss the nominee’s qualifications.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CONSIDERATION OF NOMINEES RECOMMENDED BY STOCKHOLDERS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Committee may accept nominations for the office of Director made by Company stockholders on the same basis as it considers and evaluates nominees recommended by other sources. Stockholders who wish to recommend a nominee to the Committee should send nominations to the Secretary of the Company which include biographical information and set forth the qualifications of the proposed nominee.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NOMINATION OF DIRECTORS</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After a determination by the Committee that an individual should be selected and nominated as a Director of the Company, the Committee shall present its recommendation to the full Board for its consideration.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GOVERNANCE MATTERS</w:t>
      </w:r>
    </w:p>
    <w:p>
      <w:pPr>
        <w:spacing w:after="0" w:line="16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Committee shall consider any corporate governance issues that arise from time to time, and develop appropriate recommendations for the Board, giving appropriate weight to relevant factors including “industry leading practices.” The Committee shall review and report to the Board regarding any actual or potential conflicts of interest involving any Director and shall determine whether such Director may vote on any issue as to which there may be a conflict. In addition, the Committee shall review all related-party transactions and determine whether such transactions are appropriate for the Company to undertake.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 majority of the members of the Committee shall constitute a quorum, and the act of a majority of the members of the Committee present at any meeting at which there is quorum present shall be the act of the Committee.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MEETINGS</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Committee may meet either on its own or in conjunction with meetings of the Board. Meetings of the Committee may be held in person, video conference or by conference telephone. The Committee may take action by unanimous written consent in lieu of meeting.</w:t>
      </w:r>
    </w:p>
    <w:p>
      <w:pPr>
        <w:spacing w:after="0" w:line="98" w:lineRule="exact"/>
        <w:rPr>
          <w:sz w:val="20"/>
          <w:szCs w:val="20"/>
          <w:color w:val="auto"/>
        </w:rPr>
      </w:pPr>
    </w:p>
    <w:p>
      <w:pPr>
        <w:jc w:val="both"/>
        <w:ind w:left="580" w:right="579" w:firstLine="419"/>
        <w:spacing w:after="0" w:line="289" w:lineRule="auto"/>
        <w:rPr>
          <w:sz w:val="20"/>
          <w:szCs w:val="20"/>
          <w:color w:val="auto"/>
        </w:rPr>
      </w:pPr>
      <w:r>
        <w:rPr>
          <w:rFonts w:ascii="Times New Roman" w:cs="Times New Roman" w:eastAsia="Times New Roman" w:hAnsi="Times New Roman"/>
          <w:sz w:val="17"/>
          <w:szCs w:val="17"/>
          <w:color w:val="auto"/>
        </w:rPr>
        <w:t>The Committee will not have regularly scheduled meetings. Committee meetings shall be held as and when the Committee or the Board determines necessary or appropriate in accordance with the Company’s bylaws.</w:t>
      </w:r>
    </w:p>
    <w:p>
      <w:pPr>
        <w:spacing w:after="0" w:line="302"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Members of the Committee shall receive at least three (3) days’ prior written notice of any meeting of the Committee.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FUNDING</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Committee shall receive appropriate funding as determined by the Committee to carry out its responsibilities and shall have the authority to retain experts, consultants, or legal counsel as the Committee deems appropriate.</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Adopted: December 6, 2018, amended March 2, 2021</w:t>
      </w:r>
    </w:p>
    <w:p>
      <w:pPr>
        <w:spacing w:after="0" w:line="18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180340</wp:posOffset>
            </wp:positionV>
            <wp:extent cx="7264400" cy="99644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180340</wp:posOffset>
            </wp:positionV>
            <wp:extent cx="7264400" cy="9956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4400" cy="99561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Roman"/>
      <w:start w:val="5"/>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Roman"/>
      <w:start w:val="4"/>
    </w:lvl>
  </w:abstractNum>
  <w:abstractNum w:abstractNumId="17">
    <w:nsid w:val="257130A3"/>
    <w:multiLevelType w:val="hybridMultilevel"/>
    <w:lvl w:ilvl="0">
      <w:lvlJc w:val="left"/>
      <w:lvlText w:val="(%1)"/>
      <w:numFmt w:val="lowerRoman"/>
      <w:start w:val="8"/>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2026-05-06T07:32:30Z</dcterms:created>
  <dcterms:modified xsi:type="dcterms:W3CDTF">2026-05-06T07:32:30Z</dcterms:modified>
</cp:coreProperties>
</file>