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7698d1_8k.htm"/>
      <w:bookmarkStart w:id="1" w:name="kstm2627698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w:t>
      </w:r>
      <w:bookmarkStart w:id="2" w:name="xdx_903_edei--DocumentType_c20261007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Section 13 OR 15(d) of</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i w:val="false"/>
          <w:caps w:val="false"/>
          <w:smallCaps w:val="false"/>
          <w:sz w:val="20"/>
          <w:u w:val="single"/>
        </w:rPr>
        <w:t xml:space="preserve">October 7,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5_edei--EntityRegistrantName_c2026"/>
      <w:bookmarkEnd w:id="4"/>
      <w:r>
        <w:rPr>
          <w:rFonts w:ascii="Times New Roman;Times;Serif" w:hAnsi="Times New Roman;Times;Serif"/>
          <w:b/>
          <w:i w:val="false"/>
          <w:caps w:val="false"/>
          <w:smallCaps w:val="false"/>
          <w:sz w:val="36"/>
        </w:rPr>
        <w:t>ArrowMark Financial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left"/>
        <w:rPr>
          <w:caps w:val="false"/>
          <w:smallCaps w:val="false"/>
        </w:rPr>
      </w:pPr>
      <w:r>
        <w:rPr>
          <w:caps w:val="false"/>
          <w:smallCaps w:val="false"/>
        </w:rPr>
        <w:t> </w:t>
      </w:r>
    </w:p>
    <w:tbl>
      <w:tblPr>
        <w:tblW w:w="5010" w:type="dxa"/>
        <w:jc w:val="left"/>
        <w:tblInd w:w="0" w:type="dxa"/>
        <w:tblLayout w:type="fixed"/>
        <w:tblCellMar>
          <w:top w:w="0" w:type="dxa"/>
          <w:left w:w="0" w:type="dxa"/>
          <w:bottom w:w="0" w:type="dxa"/>
          <w:right w:w="0" w:type="dxa"/>
        </w:tblCellMar>
      </w:tblPr>
      <w:tblGrid>
        <w:gridCol w:w="2210"/>
        <w:gridCol w:w="60"/>
        <w:gridCol w:w="1145"/>
        <w:gridCol w:w="60"/>
        <w:gridCol w:w="1535"/>
      </w:tblGrid>
      <w:tr>
        <w:trPr/>
        <w:tc>
          <w:tcPr>
            <w:tcW w:w="2210" w:type="dxa"/>
            <w:tcBorders/>
            <w:vAlign w:val="center"/>
          </w:tcPr>
          <w:p>
            <w:pPr>
              <w:pStyle w:val="TableContents"/>
              <w:bidi w:val="0"/>
              <w:spacing w:before="0" w:after="283"/>
              <w:jc w:val="center"/>
              <w:rPr>
                <w:rFonts w:ascii="Times New Roman;Times;Serif" w:hAnsi="Times New Roman;Times;Serif"/>
                <w:b/>
                <w:sz w:val="20"/>
              </w:rPr>
            </w:pPr>
            <w:bookmarkStart w:id="5" w:name="xdx_90F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sz w:val="20"/>
              </w:rPr>
            </w:pPr>
            <w:bookmarkStart w:id="6" w:name="xdx_900_edei--EntityFileNumber_c20261007"/>
            <w:bookmarkEnd w:id="6"/>
            <w:r>
              <w:rPr>
                <w:rFonts w:ascii="Times New Roman;Times;Serif" w:hAnsi="Times New Roman;Times;Serif"/>
                <w:b/>
                <w:sz w:val="20"/>
              </w:rPr>
              <w:t>811-22853</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sz w:val="20"/>
              </w:rPr>
            </w:pPr>
            <w:bookmarkStart w:id="7" w:name="xdx_900_edei--EntityTaxIdentificationNum"/>
            <w:bookmarkEnd w:id="7"/>
            <w:r>
              <w:rPr>
                <w:rFonts w:ascii="Times New Roman;Times;Serif" w:hAnsi="Times New Roman;Times;Serif"/>
                <w:b/>
                <w:sz w:val="20"/>
              </w:rPr>
              <w:t>90-0934878</w:t>
            </w:r>
          </w:p>
        </w:tc>
      </w:tr>
      <w:tr>
        <w:trPr/>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(State or other jurisdiction </w:t>
              <w:br/>
              <w:t>of incorporation)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(Commission </w:t>
              <w:b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5140" w:type="dxa"/>
        <w:jc w:val="left"/>
        <w:tblInd w:w="0" w:type="dxa"/>
        <w:tblLayout w:type="fixed"/>
        <w:tblCellMar>
          <w:top w:w="0" w:type="dxa"/>
          <w:left w:w="0" w:type="dxa"/>
          <w:bottom w:w="0" w:type="dxa"/>
          <w:right w:w="0" w:type="dxa"/>
        </w:tblCellMar>
      </w:tblPr>
      <w:tblGrid>
        <w:gridCol w:w="4160"/>
        <w:gridCol w:w="60"/>
        <w:gridCol w:w="920"/>
      </w:tblGrid>
      <w:tr>
        <w:trPr/>
        <w:tc>
          <w:tcPr>
            <w:tcW w:w="4160" w:type="dxa"/>
            <w:tcBorders/>
            <w:vAlign w:val="center"/>
          </w:tcPr>
          <w:p>
            <w:pPr>
              <w:pStyle w:val="TableContents"/>
              <w:bidi w:val="0"/>
              <w:spacing w:before="0" w:after="283"/>
              <w:jc w:val="left"/>
              <w:rPr>
                <w:rFonts w:ascii="Times New Roman;Times;Serif" w:hAnsi="Times New Roman;Times;Serif"/>
                <w:b/>
                <w:sz w:val="20"/>
              </w:rPr>
            </w:pPr>
            <w:bookmarkStart w:id="8" w:name="xdx_90C_edei--EntityAddressAddressLine1_"/>
            <w:bookmarkEnd w:id="8"/>
            <w:r>
              <w:rPr>
                <w:rFonts w:ascii="Times New Roman;Times;Serif" w:hAnsi="Times New Roman;Times;Serif"/>
                <w:b/>
                <w:sz w:val="20"/>
              </w:rPr>
              <w:t xml:space="preserve">100 Fillmore Street, </w:t>
            </w:r>
            <w:bookmarkStart w:id="9" w:name="xdx_905_edei--EntityAddressAddressLine2_"/>
            <w:bookmarkEnd w:id="9"/>
            <w:r>
              <w:rPr>
                <w:rFonts w:ascii="Times New Roman;Times;Serif" w:hAnsi="Times New Roman;Times;Serif"/>
                <w:b/>
                <w:sz w:val="20"/>
              </w:rPr>
              <w:t xml:space="preserve">Suite 325, </w:t>
            </w:r>
            <w:bookmarkStart w:id="10" w:name="xdx_90A_edei--EntityAddressCityOrTown_c2"/>
            <w:bookmarkEnd w:id="10"/>
            <w:r>
              <w:rPr>
                <w:rFonts w:ascii="Times New Roman;Times;Serif" w:hAnsi="Times New Roman;Times;Serif"/>
                <w:b/>
                <w:sz w:val="20"/>
              </w:rPr>
              <w:t xml:space="preserve">Denver, </w:t>
            </w:r>
            <w:bookmarkStart w:id="11" w:name="xdx_901_edei--EntityAddressStateOrProvin"/>
            <w:bookmarkEnd w:id="11"/>
            <w:r>
              <w:rPr>
                <w:rFonts w:ascii="Times New Roman;Times;Serif" w:hAnsi="Times New Roman;Times;Serif"/>
                <w:b/>
                <w:sz w:val="20"/>
              </w:rPr>
              <w:t>Colorado</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b/>
                <w:sz w:val="20"/>
              </w:rPr>
            </w:pPr>
            <w:bookmarkStart w:id="12" w:name="xdx_905_edei--EntityAddressPostalZipCode"/>
            <w:bookmarkEnd w:id="12"/>
            <w:r>
              <w:rPr>
                <w:rFonts w:ascii="Times New Roman;Times;Serif" w:hAnsi="Times New Roman;Times;Serif"/>
                <w:b/>
                <w:sz w:val="20"/>
              </w:rPr>
              <w:t>80206</w:t>
            </w:r>
          </w:p>
        </w:tc>
      </w:tr>
      <w:tr>
        <w:trPr/>
        <w:tc>
          <w:tcPr>
            <w:tcW w:w="4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bookmarkStart w:id="13" w:name="xdx_908_edei--CityAreaCode_c20261007__20"/>
      <w:bookmarkEnd w:id="13"/>
      <w:r>
        <w:rPr>
          <w:rFonts w:ascii="Times New Roman;Times;Serif" w:hAnsi="Times New Roman;Times;Serif"/>
          <w:b w:val="false"/>
          <w:i w:val="false"/>
          <w:caps w:val="false"/>
          <w:smallCaps w:val="false"/>
          <w:sz w:val="20"/>
        </w:rPr>
        <w:t xml:space="preserve">303) </w:t>
      </w:r>
      <w:bookmarkStart w:id="14" w:name="xdx_904_edei--LocalPhoneNumber_c20261007"/>
      <w:bookmarkEnd w:id="14"/>
      <w:r>
        <w:rPr>
          <w:rFonts w:ascii="Times New Roman;Times;Serif" w:hAnsi="Times New Roman;Times;Serif"/>
          <w:b w:val="false"/>
          <w:i w:val="false"/>
          <w:caps w:val="false"/>
          <w:smallCaps w:val="false"/>
          <w:sz w:val="20"/>
        </w:rPr>
        <w:t>398-2929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5" w:name="xdx_90B_edei--WrittenCommunications_c202"/>
            <w:bookmarkEnd w:id="15"/>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6" w:name="xdx_902_edei--SolicitingMaterial_c202610"/>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7" w:name="xdx_90C_edei--PreCommencementTenderOffer"/>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8" w:name="xdx_90B_edei--PreCommencementIssuerTende"/>
            <w:bookmarkEnd w:id="18"/>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660" w:type="dxa"/>
        <w:jc w:val="left"/>
        <w:tblInd w:w="0" w:type="dxa"/>
        <w:tblLayout w:type="fixed"/>
        <w:tblCellMar>
          <w:top w:w="0" w:type="dxa"/>
          <w:left w:w="0" w:type="dxa"/>
          <w:bottom w:w="0" w:type="dxa"/>
          <w:right w:w="0" w:type="dxa"/>
        </w:tblCellMar>
      </w:tblPr>
      <w:tblGrid>
        <w:gridCol w:w="1490"/>
        <w:gridCol w:w="1535"/>
        <w:gridCol w:w="3635"/>
      </w:tblGrid>
      <w:tr>
        <w:trPr/>
        <w:tc>
          <w:tcPr>
            <w:tcW w:w="14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of each class</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Trading Symbol(s)</w:t>
            </w:r>
          </w:p>
        </w:tc>
        <w:tc>
          <w:tcPr>
            <w:tcW w:w="3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of each exchange on which registered </w:t>
            </w:r>
          </w:p>
        </w:tc>
      </w:tr>
      <w:tr>
        <w:trPr/>
        <w:tc>
          <w:tcPr>
            <w:tcW w:w="1490" w:type="dxa"/>
            <w:tcBorders/>
            <w:vAlign w:val="center"/>
          </w:tcPr>
          <w:p>
            <w:pPr>
              <w:pStyle w:val="TableContents"/>
              <w:bidi w:val="0"/>
              <w:spacing w:before="0" w:after="283"/>
              <w:jc w:val="left"/>
              <w:rPr>
                <w:rFonts w:ascii="Times New Roman;Times;Serif" w:hAnsi="Times New Roman;Times;Serif"/>
                <w:sz w:val="20"/>
              </w:rPr>
            </w:pPr>
            <w:bookmarkStart w:id="19" w:name="xdx_90B_edei--Security12bTitle_c20261007"/>
            <w:bookmarkEnd w:id="19"/>
            <w:r>
              <w:rPr>
                <w:rFonts w:ascii="Times New Roman;Times;Serif" w:hAnsi="Times New Roman;Times;Serif"/>
                <w:sz w:val="20"/>
              </w:rPr>
              <w:t>Common</w:t>
            </w:r>
          </w:p>
        </w:tc>
        <w:tc>
          <w:tcPr>
            <w:tcW w:w="1535" w:type="dxa"/>
            <w:tcBorders/>
            <w:vAlign w:val="center"/>
          </w:tcPr>
          <w:p>
            <w:pPr>
              <w:pStyle w:val="TableContents"/>
              <w:bidi w:val="0"/>
              <w:spacing w:before="0" w:after="283"/>
              <w:jc w:val="left"/>
              <w:rPr>
                <w:rFonts w:ascii="Times New Roman;Times;Serif" w:hAnsi="Times New Roman;Times;Serif"/>
                <w:sz w:val="20"/>
              </w:rPr>
            </w:pPr>
            <w:bookmarkStart w:id="20" w:name="xdx_905_edei--TradingSymbol_c20261007__2"/>
            <w:bookmarkEnd w:id="20"/>
            <w:r>
              <w:rPr>
                <w:rFonts w:ascii="Times New Roman;Times;Serif" w:hAnsi="Times New Roman;Times;Serif"/>
                <w:sz w:val="20"/>
              </w:rPr>
              <w:t>BANX</w:t>
            </w:r>
          </w:p>
        </w:tc>
        <w:tc>
          <w:tcPr>
            <w:tcW w:w="3635" w:type="dxa"/>
            <w:tcBorders/>
            <w:vAlign w:val="center"/>
          </w:tcPr>
          <w:p>
            <w:pPr>
              <w:pStyle w:val="TableContents"/>
              <w:bidi w:val="0"/>
              <w:spacing w:before="0" w:after="283"/>
              <w:jc w:val="left"/>
              <w:rPr>
                <w:rFonts w:ascii="Times New Roman;Times;Serif" w:hAnsi="Times New Roman;Times;Serif"/>
                <w:sz w:val="20"/>
              </w:rPr>
            </w:pPr>
            <w:bookmarkStart w:id="21" w:name="xdx_903_edei--SecurityExchangeName_c2026"/>
            <w:bookmarkEnd w:id="21"/>
            <w:r>
              <w:rPr>
                <w:rFonts w:ascii="Times New Roman;Times;Serif" w:hAnsi="Times New Roman;Times;Serif"/>
                <w:sz w:val="20"/>
              </w:rPr>
              <w:t xml:space="preserve">NASDAQ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 Emerging growth company </w:t>
      </w:r>
      <w:bookmarkStart w:id="22" w:name="xdx_90B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28" w:type="dxa"/>
          <w:right w:w="0" w:type="dxa"/>
        </w:tblCellMar>
      </w:tblPr>
      <w:tblGrid>
        <w:gridCol w:w="830"/>
        <w:gridCol w:w="1190"/>
      </w:tblGrid>
      <w:tr>
        <w:trPr/>
        <w:tc>
          <w:tcPr>
            <w:tcW w:w="830" w:type="dxa"/>
            <w:tcBorders>
              <w:bottom w:val="single" w:sz="8" w:space="0" w:color="000000"/>
            </w:tcBorders>
            <w:vAlign w:val="center"/>
          </w:tcPr>
          <w:p>
            <w:pPr>
              <w:pStyle w:val="TableContents"/>
              <w:bidi w:val="0"/>
              <w:spacing w:before="0" w:after="283"/>
              <w:jc w:val="left"/>
              <w:rPr>
                <w:b/>
                <w:sz w:val="20"/>
              </w:rPr>
            </w:pPr>
            <w:r>
              <w:rPr>
                <w:b/>
                <w:sz w:val="20"/>
              </w:rPr>
              <w:t>Item 8.01</w:t>
            </w:r>
          </w:p>
        </w:tc>
        <w:tc>
          <w:tcPr>
            <w:tcW w:w="1190" w:type="dxa"/>
            <w:tcBorders/>
            <w:tcMar>
              <w:bottom w:w="0" w:type="dxa"/>
            </w:tcMar>
            <w:vAlign w:val="center"/>
          </w:tcPr>
          <w:p>
            <w:pPr>
              <w:pStyle w:val="TableContents"/>
              <w:bidi w:val="0"/>
              <w:spacing w:before="0" w:after="283"/>
              <w:jc w:val="left"/>
              <w:rPr>
                <w:b/>
                <w:sz w:val="20"/>
              </w:rPr>
            </w:pPr>
            <w:r>
              <w:rPr>
                <w:b/>
                <w:sz w:val="20"/>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2026, ArrowMark Financial Corp., a registered closed-end investment company (the “</w:t>
      </w:r>
      <w:r>
        <w:rPr>
          <w:rFonts w:ascii="Times New Roman;Times;Serif" w:hAnsi="Times New Roman;Times;Serif"/>
          <w:b w:val="false"/>
          <w:i w:val="false"/>
          <w:caps w:val="false"/>
          <w:smallCaps w:val="false"/>
          <w:sz w:val="20"/>
          <w:u w:val="single"/>
        </w:rPr>
        <w:t>Compan</w:t>
      </w:r>
      <w:r>
        <w:rPr>
          <w:rFonts w:ascii="Times New Roman;Times;Serif" w:hAnsi="Times New Roman;Times;Serif"/>
          <w:b w:val="false"/>
          <w:i w:val="false"/>
          <w:caps w:val="false"/>
          <w:smallCaps w:val="false"/>
          <w:sz w:val="20"/>
        </w:rPr>
        <w:t>y”) entered into a Second Amendment to the Amended and Restated Credit Agreement dated May 27, 2022 (the “Ag</w:t>
      </w:r>
      <w:r>
        <w:rPr>
          <w:rFonts w:ascii="Times New Roman;Times;Serif" w:hAnsi="Times New Roman;Times;Serif"/>
          <w:b w:val="false"/>
          <w:i w:val="false"/>
          <w:caps w:val="false"/>
          <w:smallCaps w:val="false"/>
          <w:sz w:val="20"/>
          <w:u w:val="single"/>
        </w:rPr>
        <w:t>reement</w:t>
      </w:r>
      <w:r>
        <w:rPr>
          <w:rFonts w:ascii="Times New Roman;Times;Serif" w:hAnsi="Times New Roman;Times;Serif"/>
          <w:b w:val="false"/>
          <w:i w:val="false"/>
          <w:caps w:val="false"/>
          <w:smallCaps w:val="false"/>
          <w:sz w:val="20"/>
        </w:rPr>
        <w:t>”) with Texas Capital Bank (the “</w:t>
      </w:r>
      <w:r>
        <w:rPr>
          <w:rFonts w:ascii="Times New Roman;Times;Serif" w:hAnsi="Times New Roman;Times;Serif"/>
          <w:b w:val="false"/>
          <w:i w:val="false"/>
          <w:caps w:val="false"/>
          <w:smallCaps w:val="false"/>
          <w:sz w:val="20"/>
          <w:u w:val="single"/>
        </w:rPr>
        <w:t>Administrative A</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ent</w:t>
      </w:r>
      <w:r>
        <w:rPr>
          <w:rFonts w:ascii="Times New Roman;Times;Serif" w:hAnsi="Times New Roman;Times;Serif"/>
          <w:b w:val="false"/>
          <w:i w:val="false"/>
          <w:caps w:val="false"/>
          <w:smallCaps w:val="false"/>
          <w:sz w:val="20"/>
        </w:rPr>
        <w:t>”), as administrative agent, and the lenders thereto, amending the terms of the Company’s existing Credit Agreement dated June 9, 2014 (as the same was amended from time to time, the “</w:t>
      </w:r>
      <w:r>
        <w:rPr>
          <w:rFonts w:ascii="Times New Roman;Times;Serif" w:hAnsi="Times New Roman;Times;Serif"/>
          <w:b w:val="false"/>
          <w:i w:val="false"/>
          <w:caps w:val="false"/>
          <w:smallCaps w:val="false"/>
          <w:sz w:val="20"/>
          <w:u w:val="single"/>
        </w:rPr>
        <w:t>Existin</w:t>
      </w:r>
      <w:r>
        <w:rPr>
          <w:rFonts w:ascii="Times New Roman;Times;Serif" w:hAnsi="Times New Roman;Times;Serif"/>
          <w:b w:val="false"/>
          <w:i w:val="false"/>
          <w:caps w:val="false"/>
          <w:smallCaps w:val="false"/>
          <w:sz w:val="20"/>
        </w:rPr>
        <w:t>g Ag</w:t>
      </w:r>
      <w:r>
        <w:rPr>
          <w:rFonts w:ascii="Times New Roman;Times;Serif" w:hAnsi="Times New Roman;Times;Serif"/>
          <w:b w:val="false"/>
          <w:i w:val="false"/>
          <w:caps w:val="false"/>
          <w:smallCaps w:val="false"/>
          <w:sz w:val="20"/>
          <w:u w:val="single"/>
        </w:rPr>
        <w:t>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modifies the Existing Agreement by, among other things, (i) increasing the maximum available revolving credit amount to $102,000,000 from $70,000,000, (ii) extending the facility’s maturity to the third anniversary of the Second Amendment date, and (iii) expanding the existing borrowing base to include additional eligible collateral. The Company intends to use the borrowing proceeds in furtherance of its investment objective by investing in banking-related investments and other securities, and to support its working capital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109" w:type="dxa"/>
        <w:jc w:val="left"/>
        <w:tblInd w:w="0" w:type="dxa"/>
        <w:tblLayout w:type="fixed"/>
        <w:tblCellMar>
          <w:top w:w="0" w:type="dxa"/>
          <w:left w:w="0" w:type="dxa"/>
          <w:bottom w:w="0" w:type="dxa"/>
          <w:right w:w="0" w:type="dxa"/>
        </w:tblCellMar>
      </w:tblPr>
      <w:tblGrid>
        <w:gridCol w:w="1925"/>
        <w:gridCol w:w="567"/>
        <w:gridCol w:w="2617"/>
      </w:tblGrid>
      <w:tr>
        <w:trPr/>
        <w:tc>
          <w:tcPr>
            <w:tcW w:w="1925" w:type="dxa"/>
            <w:tcBorders/>
            <w:vAlign w:val="center"/>
          </w:tcPr>
          <w:p>
            <w:pPr>
              <w:pStyle w:val="TableContents"/>
              <w:bidi w:val="0"/>
              <w:spacing w:before="0" w:after="283"/>
              <w:jc w:val="left"/>
              <w:rPr/>
            </w:pPr>
            <w:r>
              <w:rPr/>
              <w:t> </w:t>
            </w:r>
          </w:p>
        </w:tc>
        <w:tc>
          <w:tcPr>
            <w:tcW w:w="318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ARROWMARK FINANCIAL CORP. </w:t>
            </w:r>
          </w:p>
        </w:tc>
      </w:tr>
      <w:tr>
        <w:trPr/>
        <w:tc>
          <w:tcPr>
            <w:tcW w:w="1925" w:type="dxa"/>
            <w:tcBorders/>
            <w:vAlign w:val="center"/>
          </w:tcPr>
          <w:p>
            <w:pPr>
              <w:pStyle w:val="TableContents"/>
              <w:bidi w:val="0"/>
              <w:spacing w:before="0" w:after="283"/>
              <w:jc w:val="left"/>
              <w:rPr/>
            </w:pPr>
            <w:r>
              <w:rPr/>
              <w:t> </w:t>
            </w:r>
          </w:p>
        </w:tc>
        <w:tc>
          <w:tcPr>
            <w:tcW w:w="3184" w:type="dxa"/>
            <w:gridSpan w:val="2"/>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20, 2026</w:t>
            </w:r>
          </w:p>
        </w:tc>
        <w:tc>
          <w:tcPr>
            <w:tcW w:w="3184" w:type="dxa"/>
            <w:gridSpan w:val="2"/>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3184" w:type="dxa"/>
            <w:gridSpan w:val="2"/>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5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61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Katie Jones      </w:t>
            </w:r>
          </w:p>
        </w:tc>
      </w:tr>
      <w:tr>
        <w:trPr/>
        <w:tc>
          <w:tcPr>
            <w:tcW w:w="1925" w:type="dxa"/>
            <w:tcBorders/>
            <w:vAlign w:val="center"/>
          </w:tcPr>
          <w:p>
            <w:pPr>
              <w:pStyle w:val="TableContents"/>
              <w:bidi w:val="0"/>
              <w:spacing w:before="0" w:after="283"/>
              <w:jc w:val="left"/>
              <w:rPr/>
            </w:pPr>
            <w:r>
              <w:rPr/>
              <w:t> </w:t>
            </w:r>
          </w:p>
        </w:tc>
        <w:tc>
          <w:tcPr>
            <w:tcW w:w="31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Katie Jones </w:t>
            </w:r>
          </w:p>
        </w:tc>
      </w:tr>
      <w:tr>
        <w:trPr/>
        <w:tc>
          <w:tcPr>
            <w:tcW w:w="1925" w:type="dxa"/>
            <w:tcBorders/>
            <w:vAlign w:val="center"/>
          </w:tcPr>
          <w:p>
            <w:pPr>
              <w:pStyle w:val="TableContents"/>
              <w:bidi w:val="0"/>
              <w:spacing w:before="0" w:after="283"/>
              <w:jc w:val="left"/>
              <w:rPr/>
            </w:pPr>
            <w:r>
              <w:rPr/>
              <w:t> </w:t>
            </w:r>
          </w:p>
        </w:tc>
        <w:tc>
          <w:tcPr>
            <w:tcW w:w="31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494</Words>
  <Characters>2795</Characters>
  <CharactersWithSpaces>3300</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