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ArrowMark Financial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ArrowMark Colorado Holdings,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884,834.00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884,834.00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884,834.00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ArrowMark Financial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FILLMORE STREET, SUITE 325, DENVER, CO, 80206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ArrowMark Colorado Holdings,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Fillmore Street, Suite 325, Denver, Colorado 80206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 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884,834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9.14%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884,834</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884,834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21"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ArrowMark Colorado Holdings, LLC</w:t>
      </w:r>
    </w:p>
    <w:p>
      <w:pPr>
        <w:spacing w:after="0" w:line="152" w:lineRule="exact"/>
        <w:rPr>
          <w:sz w:val="20"/>
          <w:szCs w:val="20"/>
          <w:color w:val="auto"/>
        </w:rPr>
      </w:pPr>
    </w:p>
    <w:p>
      <w:pPr>
        <w:ind w:left="4960"/>
        <w:spacing w:after="0"/>
        <w:tabs>
          <w:tab w:leader="none" w:pos="6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Grove</w:t>
      </w:r>
    </w:p>
    <w:p>
      <w:pPr>
        <w:spacing w:after="0" w:line="4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Name/Title: Richard Grove | Chief Compliance Officer</w:t>
      </w:r>
    </w:p>
    <w:p>
      <w:pPr>
        <w:spacing w:after="0" w:line="44" w:lineRule="exact"/>
        <w:rPr>
          <w:sz w:val="20"/>
          <w:szCs w:val="20"/>
          <w:color w:val="auto"/>
        </w:rPr>
      </w:pPr>
    </w:p>
    <w:p>
      <w:pPr>
        <w:ind w:left="4960"/>
        <w:spacing w:after="0"/>
        <w:tabs>
          <w:tab w:leader="none" w:pos="6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04/10/2026</w:t>
      </w:r>
    </w:p>
    <w:sectPr>
      <w:pgSz w:w="11900" w:h="16838" w:orient="portrait"/>
      <w:cols w:equalWidth="0" w:num="1">
        <w:col w:w="11140"/>
      </w:cols>
      <w:pgMar w:left="360" w:top="126" w:right="399" w:bottom="2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2026-04-10T08:56:06Z</dcterms:created>
  <dcterms:modified xsi:type="dcterms:W3CDTF">2026-04-10T08:56:06Z</dcterms:modified>
</cp:coreProperties>
</file>