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3929d1_8k.htm"/>
      <w:bookmarkStart w:id="1" w:name="kstm253392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9_edei--DocumentType_c2025121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u w:val="single"/>
        </w:rPr>
        <w:t>December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5"/>
      <w:bookmarkEnd w:id="4"/>
      <w:r>
        <w:rPr>
          <w:rFonts w:ascii="Times New Roman;Times;Serif" w:hAnsi="Times New Roman;Times;Serif"/>
          <w:b/>
          <w:i w:val="false"/>
          <w:caps w:val="false"/>
          <w:smallCaps w:val="false"/>
          <w:sz w:val="36"/>
        </w:rPr>
        <w:t>ArrowMark Financial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2210"/>
        <w:gridCol w:w="60"/>
        <w:gridCol w:w="1145"/>
        <w:gridCol w:w="60"/>
        <w:gridCol w:w="1535"/>
      </w:tblGrid>
      <w:tr>
        <w:trPr/>
        <w:tc>
          <w:tcPr>
            <w:tcW w:w="221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51218"/>
            <w:bookmarkEnd w:id="6"/>
            <w:r>
              <w:rPr>
                <w:rFonts w:ascii="Times New Roman;Times;Serif" w:hAnsi="Times New Roman;Times;Serif"/>
                <w:b/>
                <w:sz w:val="20"/>
              </w:rPr>
              <w:t>811-22853</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90-0934878</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w:t>
              <w:b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4160"/>
        <w:gridCol w:w="60"/>
        <w:gridCol w:w="920"/>
      </w:tblGrid>
      <w:tr>
        <w:trPr/>
        <w:tc>
          <w:tcPr>
            <w:tcW w:w="4160" w:type="dxa"/>
            <w:tcBorders/>
            <w:vAlign w:val="center"/>
          </w:tcPr>
          <w:p>
            <w:pPr>
              <w:pStyle w:val="TableContents"/>
              <w:bidi w:val="0"/>
              <w:spacing w:before="0" w:after="283"/>
              <w:jc w:val="left"/>
              <w:rPr>
                <w:rFonts w:ascii="Times New Roman;Times;Serif" w:hAnsi="Times New Roman;Times;Serif"/>
                <w:b/>
                <w:sz w:val="20"/>
              </w:rPr>
            </w:pPr>
            <w:bookmarkStart w:id="8" w:name="xdx_902_edei--EntityAddressAddressLine1_"/>
            <w:bookmarkEnd w:id="8"/>
            <w:r>
              <w:rPr>
                <w:rFonts w:ascii="Times New Roman;Times;Serif" w:hAnsi="Times New Roman;Times;Serif"/>
                <w:b/>
                <w:sz w:val="20"/>
              </w:rPr>
              <w:t xml:space="preserve">100 Fillmore Street, </w:t>
            </w:r>
            <w:bookmarkStart w:id="9" w:name="xdx_90F_edei--EntityAddressAddressLine2_"/>
            <w:bookmarkEnd w:id="9"/>
            <w:r>
              <w:rPr>
                <w:rFonts w:ascii="Times New Roman;Times;Serif" w:hAnsi="Times New Roman;Times;Serif"/>
                <w:b/>
                <w:sz w:val="20"/>
              </w:rPr>
              <w:t xml:space="preserve">Suite 325, </w:t>
            </w:r>
            <w:bookmarkStart w:id="10" w:name="xdx_90F_edei--EntityAddressCityOrTown_c2"/>
            <w:bookmarkEnd w:id="10"/>
            <w:r>
              <w:rPr>
                <w:rFonts w:ascii="Times New Roman;Times;Serif" w:hAnsi="Times New Roman;Times;Serif"/>
                <w:b/>
                <w:sz w:val="20"/>
              </w:rPr>
              <w:t xml:space="preserve">Denver, </w:t>
            </w:r>
            <w:bookmarkStart w:id="11" w:name="xdx_904_edei--EntityAddressStateOrProvin"/>
            <w:bookmarkEnd w:id="11"/>
            <w:r>
              <w:rPr>
                <w:rFonts w:ascii="Times New Roman;Times;Serif" w:hAnsi="Times New Roman;Times;Serif"/>
                <w:b/>
                <w:sz w:val="20"/>
              </w:rPr>
              <w:t>Colorado</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D_edei--EntityAddressPostalZipCode"/>
            <w:bookmarkEnd w:id="12"/>
            <w:r>
              <w:rPr>
                <w:rFonts w:ascii="Times New Roman;Times;Serif" w:hAnsi="Times New Roman;Times;Serif"/>
                <w:b/>
                <w:sz w:val="20"/>
              </w:rPr>
              <w:t>80206</w:t>
            </w:r>
          </w:p>
        </w:tc>
      </w:tr>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4_edei--CityAreaCode_c20251218__20"/>
      <w:bookmarkEnd w:id="13"/>
      <w:r>
        <w:rPr>
          <w:rFonts w:ascii="Times New Roman;Times;Serif" w:hAnsi="Times New Roman;Times;Serif"/>
          <w:b w:val="false"/>
          <w:i w:val="false"/>
          <w:caps w:val="false"/>
          <w:smallCaps w:val="false"/>
          <w:sz w:val="20"/>
        </w:rPr>
        <w:t xml:space="preserve">303) </w:t>
      </w:r>
      <w:bookmarkStart w:id="14" w:name="xdx_901_edei--LocalPhoneNumber_c20251218"/>
      <w:bookmarkEnd w:id="14"/>
      <w:r>
        <w:rPr>
          <w:rFonts w:ascii="Times New Roman;Times;Serif" w:hAnsi="Times New Roman;Times;Serif"/>
          <w:b w:val="false"/>
          <w:i w:val="false"/>
          <w:caps w:val="false"/>
          <w:smallCaps w:val="false"/>
          <w:sz w:val="20"/>
        </w:rPr>
        <w:t>398-2929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F_edei--SolicitingMaterial_c202512"/>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60" w:type="dxa"/>
        <w:jc w:val="left"/>
        <w:tblInd w:w="0" w:type="dxa"/>
        <w:tblLayout w:type="fixed"/>
        <w:tblCellMar>
          <w:top w:w="0" w:type="dxa"/>
          <w:left w:w="0" w:type="dxa"/>
          <w:bottom w:w="28" w:type="dxa"/>
          <w:right w:w="0" w:type="dxa"/>
        </w:tblCellMar>
      </w:tblPr>
      <w:tblGrid>
        <w:gridCol w:w="1490"/>
        <w:gridCol w:w="1535"/>
        <w:gridCol w:w="3635"/>
      </w:tblGrid>
      <w:tr>
        <w:trPr/>
        <w:tc>
          <w:tcPr>
            <w:tcW w:w="149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363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each exchange on which registered </w:t>
            </w:r>
          </w:p>
        </w:tc>
      </w:tr>
      <w:tr>
        <w:trPr/>
        <w:tc>
          <w:tcPr>
            <w:tcW w:w="1490" w:type="dxa"/>
            <w:tcBorders/>
            <w:tcMar>
              <w:bottom w:w="0" w:type="dxa"/>
            </w:tcMar>
            <w:vAlign w:val="center"/>
          </w:tcPr>
          <w:p>
            <w:pPr>
              <w:pStyle w:val="TableContents"/>
              <w:bidi w:val="0"/>
              <w:spacing w:before="0" w:after="283"/>
              <w:jc w:val="left"/>
              <w:rPr>
                <w:rFonts w:ascii="Times New Roman;Times;Serif" w:hAnsi="Times New Roman;Times;Serif"/>
                <w:sz w:val="20"/>
              </w:rPr>
            </w:pPr>
            <w:bookmarkStart w:id="19" w:name="xdx_902_edei--Security12bTitle_c20251218"/>
            <w:bookmarkEnd w:id="19"/>
            <w:r>
              <w:rPr>
                <w:rFonts w:ascii="Times New Roman;Times;Serif" w:hAnsi="Times New Roman;Times;Serif"/>
                <w:sz w:val="20"/>
              </w:rPr>
              <w:t>Common</w:t>
            </w:r>
          </w:p>
        </w:tc>
        <w:tc>
          <w:tcPr>
            <w:tcW w:w="1535" w:type="dxa"/>
            <w:tcBorders/>
            <w:tcMar>
              <w:bottom w:w="0" w:type="dxa"/>
            </w:tcMar>
            <w:vAlign w:val="center"/>
          </w:tcPr>
          <w:p>
            <w:pPr>
              <w:pStyle w:val="TableContents"/>
              <w:bidi w:val="0"/>
              <w:spacing w:before="0" w:after="283"/>
              <w:jc w:val="left"/>
              <w:rPr>
                <w:rFonts w:ascii="Times New Roman;Times;Serif" w:hAnsi="Times New Roman;Times;Serif"/>
                <w:sz w:val="20"/>
              </w:rPr>
            </w:pPr>
            <w:bookmarkStart w:id="20" w:name="xdx_903_edei--TradingSymbol_c20251218__2"/>
            <w:bookmarkEnd w:id="20"/>
            <w:r>
              <w:rPr>
                <w:rFonts w:ascii="Times New Roman;Times;Serif" w:hAnsi="Times New Roman;Times;Serif"/>
                <w:sz w:val="20"/>
              </w:rPr>
              <w:t>BANX</w:t>
            </w:r>
          </w:p>
        </w:tc>
        <w:tc>
          <w:tcPr>
            <w:tcW w:w="3635" w:type="dxa"/>
            <w:tcBorders/>
            <w:tcMar>
              <w:bottom w:w="0" w:type="dxa"/>
            </w:tcMar>
            <w:vAlign w:val="center"/>
          </w:tcPr>
          <w:p>
            <w:pPr>
              <w:pStyle w:val="TableContents"/>
              <w:bidi w:val="0"/>
              <w:spacing w:before="0" w:after="283"/>
              <w:jc w:val="left"/>
              <w:rPr>
                <w:rFonts w:ascii="Times New Roman;Times;Serif" w:hAnsi="Times New Roman;Times;Serif"/>
                <w:sz w:val="20"/>
              </w:rPr>
            </w:pPr>
            <w:bookmarkStart w:id="21" w:name="xdx_905_edei--SecurityExchangeName_c2025"/>
            <w:bookmarkEnd w:id="21"/>
            <w:r>
              <w:rPr>
                <w:rFonts w:ascii="Times New Roman;Times;Serif" w:hAnsi="Times New Roman;Times;Serif"/>
                <w:sz w:val="20"/>
              </w:rPr>
              <w:t xml:space="preserve">NASDAQ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 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28" w:type="dxa"/>
          <w:right w:w="0" w:type="dxa"/>
        </w:tblCellMar>
      </w:tblPr>
      <w:tblGrid>
        <w:gridCol w:w="875"/>
        <w:gridCol w:w="3740"/>
      </w:tblGrid>
      <w:tr>
        <w:trPr/>
        <w:tc>
          <w:tcPr>
            <w:tcW w:w="8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1.01 </w:t>
            </w:r>
          </w:p>
        </w:tc>
        <w:tc>
          <w:tcPr>
            <w:tcW w:w="374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2025, ArrowMark Financial Corp. (NASDAQ: BANX) (the “Company”), a closed-end investment company, entered into a securities purchase agreement (the “Securities Purchase Agreement”) with certain investors named therein (the “Investors”), relating to a direct public offering (the “Offering”) of 673,249 shares of the Company’s common stock (“Common Stock”). The offering price is $22.28 per share of Common Stock. The shares are expected to be delivered on December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made pursuant to the Company’s registration statement on Form N-2/A (File Nos. 333-281004; 811-22853), originally filed with the Securities and Exchange Commission (the “SEC”) on July 24, 2024 and declared effective on February 18, 2025, a base prospectus dated February 18, 2025 and a prospectus supplement dated December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opinion, including the related consent, of Troutman Pepper Locke LLP relating to the issuance and sale of the shares of Common Stock issued in the Offering is filed as Exhibit 5.1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Offering were approximately $14,999,987.72, exclusive of legal and administrative expenses associated with the transaction. The transaction date for the purchase and sale of Common Stock was December 18, 2025 and shares of Common Stock are expected to be delivered on December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Securities Purchase Agreement does not purport to be complete and is qualified in its entirety by reference to the copy of the Securities Purchase Agreement, which is filed as Exhibit 10.1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has been filed with this Current Report on Form 8-K to provide investors and security holders with information regarding its terms. It is not intended to provide any other factual information about the Company. The representations, warranties and covenants contained in the Securities Purchase Agreement were made only for purposes of such agreement and as of specific dates and were solely for the benefit of the parties to such agreement.</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28" w:type="dxa"/>
          <w:right w:w="0" w:type="dxa"/>
        </w:tblCellMar>
      </w:tblPr>
      <w:tblGrid>
        <w:gridCol w:w="830"/>
        <w:gridCol w:w="1190"/>
      </w:tblGrid>
      <w:tr>
        <w:trPr/>
        <w:tc>
          <w:tcPr>
            <w:tcW w:w="8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2025, the Company issued a press release announcing the pricing of the Offering. A copy of the press release is attached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28" w:type="dxa"/>
          <w:right w:w="0" w:type="dxa"/>
        </w:tblCellMar>
      </w:tblPr>
      <w:tblGrid>
        <w:gridCol w:w="830"/>
        <w:gridCol w:w="2960"/>
      </w:tblGrid>
      <w:tr>
        <w:trPr/>
        <w:tc>
          <w:tcPr>
            <w:tcW w:w="8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0"/>
        <w:gridCol w:w="8865"/>
      </w:tblGrid>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Number</w:t>
            </w:r>
          </w:p>
        </w:tc>
        <w:tc>
          <w:tcPr>
            <w:tcW w:w="8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1340" w:type="dxa"/>
            <w:tcBorders/>
            <w:vAlign w:val="center"/>
          </w:tcPr>
          <w:p>
            <w:pPr>
              <w:pStyle w:val="TableContents"/>
              <w:bidi w:val="0"/>
              <w:spacing w:before="0" w:after="283"/>
              <w:jc w:val="left"/>
              <w:rPr/>
            </w:pPr>
            <w:r>
              <w:rPr/>
              <w:t> </w:t>
            </w:r>
          </w:p>
        </w:tc>
        <w:tc>
          <w:tcPr>
            <w:tcW w:w="886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hyperlink w:anchor="tm2533929d1_ex5-1.htm">
              <w:r>
                <w:rPr>
                  <w:rStyle w:val="InternetLink"/>
                  <w:rFonts w:ascii="Times New Roman;Times;Serif" w:hAnsi="Times New Roman;Times;Serif"/>
                  <w:sz w:val="20"/>
                </w:rPr>
                <w:t>5.1</w:t>
              </w:r>
            </w:hyperlink>
          </w:p>
        </w:tc>
        <w:tc>
          <w:tcPr>
            <w:tcW w:w="8865" w:type="dxa"/>
            <w:tcBorders/>
            <w:vAlign w:val="center"/>
          </w:tcPr>
          <w:p>
            <w:pPr>
              <w:pStyle w:val="TableContents"/>
              <w:bidi w:val="0"/>
              <w:spacing w:before="0" w:after="283"/>
              <w:jc w:val="left"/>
              <w:rPr/>
            </w:pPr>
            <w:hyperlink w:anchor="tm2533929d1_ex5-1.htm">
              <w:r>
                <w:rPr>
                  <w:rStyle w:val="InternetLink"/>
                  <w:rFonts w:ascii="Times New Roman;Times;Serif" w:hAnsi="Times New Roman;Times;Serif"/>
                  <w:sz w:val="20"/>
                </w:rPr>
                <w:t>Opinion of Troutman Pepper Locke LLP</w:t>
              </w:r>
            </w:hyperlink>
          </w:p>
        </w:tc>
      </w:tr>
      <w:tr>
        <w:trPr/>
        <w:tc>
          <w:tcPr>
            <w:tcW w:w="1340" w:type="dxa"/>
            <w:tcBorders/>
            <w:vAlign w:val="center"/>
          </w:tcPr>
          <w:p>
            <w:pPr>
              <w:pStyle w:val="TableContents"/>
              <w:bidi w:val="0"/>
              <w:spacing w:before="0" w:after="283"/>
              <w:jc w:val="left"/>
              <w:rPr/>
            </w:pPr>
            <w:hyperlink w:anchor="tm2533929d1_ex10-1.htm">
              <w:r>
                <w:rPr>
                  <w:rStyle w:val="InternetLink"/>
                  <w:rFonts w:ascii="Times New Roman;Times;Serif" w:hAnsi="Times New Roman;Times;Serif"/>
                  <w:sz w:val="20"/>
                </w:rPr>
                <w:t>10.1</w:t>
              </w:r>
            </w:hyperlink>
          </w:p>
        </w:tc>
        <w:tc>
          <w:tcPr>
            <w:tcW w:w="8865" w:type="dxa"/>
            <w:tcBorders/>
            <w:vAlign w:val="center"/>
          </w:tcPr>
          <w:p>
            <w:pPr>
              <w:pStyle w:val="TableContents"/>
              <w:bidi w:val="0"/>
              <w:spacing w:before="0" w:after="283"/>
              <w:jc w:val="left"/>
              <w:rPr/>
            </w:pPr>
            <w:hyperlink w:anchor="tm2533929d1_ex10-1.htm">
              <w:r>
                <w:rPr>
                  <w:rStyle w:val="InternetLink"/>
                  <w:rFonts w:ascii="Times New Roman;Times;Serif" w:hAnsi="Times New Roman;Times;Serif"/>
                  <w:sz w:val="20"/>
                </w:rPr>
                <w:t>Securities Purchase Agreement, dated December 18, 2025, by and among ArrowMark Financial Corp. and the investors named therein</w:t>
              </w:r>
            </w:hyperlink>
          </w:p>
        </w:tc>
      </w:tr>
      <w:tr>
        <w:trPr/>
        <w:tc>
          <w:tcPr>
            <w:tcW w:w="1340" w:type="dxa"/>
            <w:tcBorders/>
            <w:vAlign w:val="center"/>
          </w:tcPr>
          <w:p>
            <w:pPr>
              <w:pStyle w:val="TableContents"/>
              <w:bidi w:val="0"/>
              <w:spacing w:before="0" w:after="283"/>
              <w:jc w:val="left"/>
              <w:rPr/>
            </w:pPr>
            <w:hyperlink w:anchor="tm2533929d1_ex5-1.htm">
              <w:r>
                <w:rPr>
                  <w:rStyle w:val="InternetLink"/>
                  <w:rFonts w:ascii="Times New Roman;Times;Serif" w:hAnsi="Times New Roman;Times;Serif"/>
                  <w:sz w:val="20"/>
                </w:rPr>
                <w:t>23.1</w:t>
              </w:r>
            </w:hyperlink>
          </w:p>
        </w:tc>
        <w:tc>
          <w:tcPr>
            <w:tcW w:w="8865" w:type="dxa"/>
            <w:tcBorders/>
            <w:vAlign w:val="center"/>
          </w:tcPr>
          <w:p>
            <w:pPr>
              <w:pStyle w:val="TableContents"/>
              <w:bidi w:val="0"/>
              <w:spacing w:before="0" w:after="283"/>
              <w:jc w:val="left"/>
              <w:rPr/>
            </w:pPr>
            <w:hyperlink w:anchor="tm2533929d1_ex5-1.htm">
              <w:r>
                <w:rPr>
                  <w:rStyle w:val="InternetLink"/>
                  <w:rFonts w:ascii="Times New Roman;Times;Serif" w:hAnsi="Times New Roman;Times;Serif"/>
                  <w:sz w:val="20"/>
                </w:rPr>
                <w:t>Consent of Troutman Pepper Locke LLP (included in Exhibit 5.1)</w:t>
              </w:r>
            </w:hyperlink>
          </w:p>
        </w:tc>
      </w:tr>
      <w:tr>
        <w:trPr/>
        <w:tc>
          <w:tcPr>
            <w:tcW w:w="1340" w:type="dxa"/>
            <w:tcBorders/>
            <w:vAlign w:val="center"/>
          </w:tcPr>
          <w:p>
            <w:pPr>
              <w:pStyle w:val="TableContents"/>
              <w:bidi w:val="0"/>
              <w:spacing w:before="0" w:after="283"/>
              <w:jc w:val="left"/>
              <w:rPr/>
            </w:pPr>
            <w:hyperlink w:anchor="tm2533929d1_ex99-1.htm">
              <w:r>
                <w:rPr>
                  <w:rStyle w:val="InternetLink"/>
                  <w:rFonts w:ascii="Times New Roman;Times;Serif" w:hAnsi="Times New Roman;Times;Serif"/>
                  <w:sz w:val="20"/>
                </w:rPr>
                <w:t>99.1</w:t>
              </w:r>
            </w:hyperlink>
          </w:p>
        </w:tc>
        <w:tc>
          <w:tcPr>
            <w:tcW w:w="8865" w:type="dxa"/>
            <w:tcBorders/>
            <w:vAlign w:val="center"/>
          </w:tcPr>
          <w:p>
            <w:pPr>
              <w:pStyle w:val="TableContents"/>
              <w:bidi w:val="0"/>
              <w:spacing w:before="0" w:after="283"/>
              <w:jc w:val="left"/>
              <w:rPr/>
            </w:pPr>
            <w:hyperlink w:anchor="tm2533929d1_ex99-1.htm">
              <w:r>
                <w:rPr>
                  <w:rStyle w:val="InternetLink"/>
                  <w:rFonts w:ascii="Times New Roman;Times;Serif" w:hAnsi="Times New Roman;Times;Serif"/>
                  <w:sz w:val="20"/>
                </w:rPr>
                <w:t>Press Release, dated, December 18, 2025</w:t>
              </w:r>
            </w:hyperlink>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29" w:type="dxa"/>
        <w:jc w:val="left"/>
        <w:tblInd w:w="0" w:type="dxa"/>
        <w:tblLayout w:type="fixed"/>
        <w:tblCellMar>
          <w:top w:w="0" w:type="dxa"/>
          <w:left w:w="0" w:type="dxa"/>
          <w:bottom w:w="0" w:type="dxa"/>
          <w:right w:w="0" w:type="dxa"/>
        </w:tblCellMar>
      </w:tblPr>
      <w:tblGrid>
        <w:gridCol w:w="2090"/>
        <w:gridCol w:w="701"/>
        <w:gridCol w:w="2438"/>
      </w:tblGrid>
      <w:tr>
        <w:trPr/>
        <w:tc>
          <w:tcPr>
            <w:tcW w:w="2090"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ARROWMARK FINANCIAL CORP</w:t>
            </w:r>
            <w:r>
              <w:rPr>
                <w:rFonts w:ascii="Times New Roman;Times;Serif" w:hAnsi="Times New Roman;Times;Serif"/>
                <w:sz w:val="20"/>
              </w:rPr>
              <w:t>.</w:t>
            </w:r>
          </w:p>
        </w:tc>
      </w:tr>
      <w:tr>
        <w:trPr/>
        <w:tc>
          <w:tcPr>
            <w:tcW w:w="2090"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December 18, 2025</w:t>
            </w:r>
          </w:p>
        </w:tc>
        <w:tc>
          <w:tcPr>
            <w:tcW w:w="3139" w:type="dxa"/>
            <w:gridSpan w:val="2"/>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Patrick J. Farrell</w:t>
            </w:r>
          </w:p>
        </w:tc>
      </w:tr>
      <w:tr>
        <w:trPr/>
        <w:tc>
          <w:tcPr>
            <w:tcW w:w="2090"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Patrick J. Farrell</w:t>
            </w:r>
          </w:p>
        </w:tc>
      </w:tr>
      <w:tr>
        <w:trPr/>
        <w:tc>
          <w:tcPr>
            <w:tcW w:w="2090"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533929d1_ex5-1.htm"/>
      <w:bookmarkStart w:id="24" w:name="kstm2533929d1_ex51"/>
      <w:bookmarkEnd w:id="23"/>
      <w:bookmarkEnd w:id="2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7190" w:type="dxa"/>
        <w:jc w:val="left"/>
        <w:tblInd w:w="0" w:type="dxa"/>
        <w:tblLayout w:type="fixed"/>
        <w:tblCellMar>
          <w:top w:w="0" w:type="dxa"/>
          <w:left w:w="0" w:type="dxa"/>
          <w:bottom w:w="60" w:type="dxa"/>
          <w:right w:w="0" w:type="dxa"/>
        </w:tblCellMar>
      </w:tblPr>
      <w:tblGrid>
        <w:gridCol w:w="4385"/>
        <w:gridCol w:w="2805"/>
      </w:tblGrid>
      <w:tr>
        <w:trPr/>
        <w:tc>
          <w:tcPr>
            <w:tcW w:w="438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 Pepper Locke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 Two Logan Square, Eighteenth and Arch Streets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troutman.com</w:t>
            </w:r>
          </w:p>
        </w:tc>
        <w:tc>
          <w:tcPr>
            <w:tcW w:w="2805" w:type="dxa"/>
            <w:tcBorders>
              <w:bottom w:val="single" w:sz="8" w:space="0" w:color="000000"/>
            </w:tcBorders>
            <w:vAlign w:val="center"/>
          </w:tcPr>
          <w:p>
            <w:pPr>
              <w:pStyle w:val="TableContents"/>
              <w:bidi w:val="0"/>
              <w:spacing w:before="0" w:after="283"/>
              <w:jc w:val="right"/>
              <w:rPr/>
            </w:pPr>
            <w:r>
              <w:rPr/>
              <w:drawing>
                <wp:inline distT="0" distB="0" distL="0" distR="0">
                  <wp:extent cx="17716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619125"/>
                          </a:xfrm>
                          <a:prstGeom prst="rect">
                            <a:avLst/>
                          </a:prstGeom>
                        </pic:spPr>
                      </pic:pic>
                    </a:graphicData>
                  </a:graphic>
                </wp:inline>
              </w:drawing>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18, 2025</w:t>
      </w:r>
    </w:p>
    <w:tbl>
      <w:tblPr>
        <w:tblW w:w="2525" w:type="dxa"/>
        <w:jc w:val="left"/>
        <w:tblInd w:w="0" w:type="dxa"/>
        <w:tblLayout w:type="fixed"/>
        <w:tblCellMar>
          <w:top w:w="0" w:type="dxa"/>
          <w:left w:w="0" w:type="dxa"/>
          <w:bottom w:w="0" w:type="dxa"/>
          <w:right w:w="0" w:type="dxa"/>
        </w:tblCellMar>
      </w:tblPr>
      <w:tblGrid>
        <w:gridCol w:w="2525"/>
      </w:tblGrid>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ArrowMark Financial Corp. </w:t>
              <w:br/>
              <w:t xml:space="preserve">100 Fillmore Street, Suite 325 </w:t>
              <w:br/>
              <w:t>Denver, Colorado 80206</w:t>
            </w:r>
          </w:p>
        </w:tc>
      </w:tr>
    </w:tbl>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320"/>
        <w:gridCol w:w="2450"/>
      </w:tblGrid>
      <w:tr>
        <w:trPr/>
        <w:tc>
          <w:tcPr>
            <w:tcW w:w="3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w:t>
            </w:r>
          </w:p>
        </w:tc>
        <w:tc>
          <w:tcPr>
            <w:tcW w:w="24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ArrowMark Financial Corp.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ArrowMark Financial Corp., a corporation formed under the laws of the State of Delaware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(i) the Company’s Registration Statement on Form N-2 (File Nos. 811-22853 and 333-281004)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originally filed on July 24, 2024 by the Company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which was declared effective by the Commission on February 18, 2025, relating to the offer and sale by the Company from time to time, pursuant to Rule 415 under the Securities Act, of securities of the Company, including shares of common stock of the Company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par value $0.001 per share, and the accompanying prospectus effective February 18, 2025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and (ii) the public offering of 673,249 shares of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as described in the prospectus supplement dated December 18, 2025 (together with the Prospectus, the “</w:t>
      </w:r>
      <w:r>
        <w:rPr>
          <w:rFonts w:ascii="Times New Roman;Times;Serif" w:hAnsi="Times New Roman;Times;Serif"/>
          <w:b/>
          <w:i w:val="false"/>
          <w:caps w:val="false"/>
          <w:smallCaps w:val="false"/>
          <w:sz w:val="20"/>
        </w:rPr>
        <w:t>Final Prospectus</w:t>
      </w:r>
      <w:r>
        <w:rPr>
          <w:rFonts w:ascii="Times New Roman;Times;Serif" w:hAnsi="Times New Roman;Times;Serif"/>
          <w:b w:val="false"/>
          <w:i w:val="false"/>
          <w:caps w:val="false"/>
          <w:smallCaps w:val="false"/>
          <w:sz w:val="20"/>
        </w:rPr>
        <w:t>”) pursuant to a Securities Purchase Agreement, dated as of December 18, 2025, among the Company and the investors named therein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accordance with the requirements of Item 16 of the Commission’s Form S-3 and Item 601(b)(5)(i) of Regulation S-K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opinions we express below, we have examined the originals or copies, certified or otherwise identified, of (i) the certificate of incorporation and by-laws of the Company, each as amended and/or restated to date; (ii) the Registration Statement and all exhibits thereto, (iii) the Final Prospectus, (iv) the Securities Purchase Agreement, (v) certain corporate records of the Company, including minute books of the Company, certificates of public officials and of representatives of the Company, and (vi) certain statutes and other instruments and documents as we considered appropriate for purposes of the opinions hereafter expressed.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rendering the opinions set forth below, we have assumed without verification (i) the authenticity of all documents submitted to us as originals, (ii) the conformity to the originals of all documents submitted as certified, photostatic or electronic copies and the authenticity of the originals thereof, (iii) the legal capacity of natural persons, (iv) the genuineness of signatures not witnessed by us, (v) the due authorization, execution and delivery of all documents by all parties, other than the Company, and the validity, binding effect and enforceability thereof and (vi) the truth, accuracy and completeness of the information, representations and warranties contained in the records, documents, instruments and certificates we have reviewed.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8288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685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any facts material to the opinions expressed herein which were not independently established or verified, we have relied upon oral or written statements and representations of officers and other representatives of the Company and others and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this opinion, opining only on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We are not opining as to the applicability thereto, or the effect thereon, of the laws of any other jurisdiction or, in the case of Delaware, any other laws, or as to matters of municipal law or the laws of any local agencies within any states (including “blue sky” or other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subject to the limitations, qualifications, assumptions, exceptions and other matters set forth herein, we are of the opinion that the Shares, when issued and delivered against payment therefore in accordance with the terms of the Securities Purchase Agreement,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stated herein, and no opinion is implied or may be inferred beyond the matters expressly stated herein. Our opinion is as of the date hereof and we have no responsibility to update this opinion for events and circumstances occurring after the date hereof or as to facts relating to prior events that are subsequently brought to our attention and we disavow any undertaking to advise you of any changes in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report on Form 8-K to be filed by the Company on the date hereof and its incorporation by reference into the Registration Statement and any amendments thereto and with respect to our name wherever it appears in the Registration Statement and the Final Prospectus. In giving this consent, we do not hereby admit that we come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TROUTMAN PEPPER LOCKE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 PEPPER LOCKE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5" w:name="tm2533929d1_ex10-1.htm"/>
      <w:bookmarkStart w:id="26" w:name="kstm2533929d1_ex10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SECURITIES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December 18, 2025, by and among ArrowMark Financial Corp., a Delaware corporation with headquarters located at 100 Fillmore Street, Suite 325, Denver, Colorado 80206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each investor identified on the signature pages hereto (individually,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subject to the terms and conditions set forth in this Agreement and pursuant to an effective registration statement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Company desires to issue and sell to each Investor, and each Investor, severally and not jointly, desires to purchase from the Company, the Shares as more fully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IN CONSIDERATION </w:t>
      </w:r>
      <w:r>
        <w:rPr>
          <w:rFonts w:ascii="Times New Roman;Times;Serif" w:hAnsi="Times New Roman;Times;Serif"/>
          <w:b w:val="false"/>
          <w:i w:val="false"/>
          <w:caps w:val="false"/>
          <w:smallCaps w:val="false"/>
          <w:sz w:val="20"/>
        </w:rPr>
        <w:t>of the mutual covenants contained in this Agreement, and for other good and valuable consideration the receipt and adequacy of which are hereby acknowledged, the Company and the Investors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the following terms have the meanings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any day which shall be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means the closing of the purchase and sale of the Shares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date of the closing of the purchase and sale of the Shares, subject to satisfaction (or, if applicable, waiver) of the conditions to Closing specified herein, but in no event later than the second (2nd) Trading Day following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of the Company, par value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Counsel</w:t>
      </w:r>
      <w:r>
        <w:rPr>
          <w:rFonts w:ascii="Times New Roman;Times;Serif" w:hAnsi="Times New Roman;Times;Serif"/>
          <w:b w:val="false"/>
          <w:i w:val="false"/>
          <w:caps w:val="false"/>
          <w:smallCaps w:val="false"/>
          <w:sz w:val="20"/>
        </w:rPr>
        <w:t>” means Troutman Pepper Locke LLP,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Contingent Obligation</w:t>
      </w:r>
      <w:r>
        <w:rPr>
          <w:rFonts w:ascii="Times New Roman;Times;Serif" w:hAnsi="Times New Roman;Times;Serif"/>
          <w:b w:val="false"/>
          <w:i w:val="false"/>
          <w:caps w:val="false"/>
          <w:smallCaps w:val="false"/>
          <w:sz w:val="20"/>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convertible into or exercisable or exchangeable for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DVP</w:t>
      </w:r>
      <w:r>
        <w:rPr>
          <w:rFonts w:ascii="Times New Roman;Times;Serif" w:hAnsi="Times New Roman;Times;Serif"/>
          <w:b w:val="false"/>
          <w:i w:val="false"/>
          <w:caps w:val="false"/>
          <w:smallCaps w:val="false"/>
          <w:sz w:val="20"/>
        </w:rPr>
        <w:t xml:space="preserve">” has the meaning set forth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DWAC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of any Person means, without duplication (A) all indebtedness for borrowed money, (B) all obligations issued, undertaken or assumed as the deferred purchase price of property or services (other than trade payables entered into in the ordinary course of business),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means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of the Company means with respect to any statement made to the knowledge of the Company, that the statement is based upon the actual knowledge of any executive officer of the Company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lien, charge, claim, security interest, encumbrance, right of first refusal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means any and all losses, claims, damages, liabilities, settlement costs and expenses, including, without limitation,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of (i) a material adverse effect on the results of operations, assets, business or financial condition of the Company, (ii) an adverse impairment of the Company’s ability to perform its obligations under this Agreement or (iii) an adverse effect on the legality, validity or enforceability of any of this Agreement, that none of the following alone shall be deemed, in and of itself, to constitute a Material Adverse Effect: (y) a change in the market price or trading volume of the Common Stock or (z) changes in general economic conditions or changes affecting the industry in which the Company operates generally (as opposed to Company-specific changes) so long as such changes do not have a disproportionate effect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outstanding rights, warrants or options to subscribe for or purchase Common Stock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 government or any department or agency thereof and any other legal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 Share Purchase Price</w:t>
      </w:r>
      <w:r>
        <w:rPr>
          <w:rFonts w:ascii="Times New Roman;Times;Serif" w:hAnsi="Times New Roman;Times;Serif"/>
          <w:b w:val="false"/>
          <w:i w:val="false"/>
          <w:caps w:val="false"/>
          <w:smallCaps w:val="false"/>
          <w:sz w:val="20"/>
        </w:rPr>
        <w:t>” equals $22.28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 action, claim, suit, investigation or proceeding (including, without limitation, a partial proceeding, such as a deposition), whether commenced or threatened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means the final base prospectus filed for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that is filed with the SEC and delivered by the Company to each Investor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the effective registration statement with SEC (File No. 333-251349), including all information, documents and exhibits filed with or incorporated by reference into such registration statement, which registers the sale of the Shares to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RIC</w:t>
      </w:r>
      <w:r>
        <w:rPr>
          <w:rFonts w:ascii="Times New Roman;Times;Serif" w:hAnsi="Times New Roman;Times;Serif"/>
          <w:b w:val="false"/>
          <w:i w:val="false"/>
          <w:caps w:val="false"/>
          <w:smallCaps w:val="false"/>
          <w:sz w:val="20"/>
        </w:rPr>
        <w:t>” means a regulated investment company, as defined in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424</w:t>
      </w:r>
      <w:r>
        <w:rPr>
          <w:rFonts w:ascii="Times New Roman;Times;Serif" w:hAnsi="Times New Roman;Times;Serif"/>
          <w:b w:val="false"/>
          <w:i w:val="false"/>
          <w:caps w:val="false"/>
          <w:smallCaps w:val="false"/>
          <w:sz w:val="20"/>
        </w:rPr>
        <w:t>” means Rule 424 promulgated by the SEC pursuant to the Securities Act, as such Rule may be amended or interpreted from time to time, or any similar rule or regulation hereafter adopted by the SEC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means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the shares of Common Stock issued or issuable to each Investor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the location and/or reservation of borrowable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Subscription Amount</w:t>
      </w:r>
      <w:r>
        <w:rPr>
          <w:rFonts w:ascii="Times New Roman;Times;Serif" w:hAnsi="Times New Roman;Times;Serif"/>
          <w:b w:val="false"/>
          <w:i w:val="false"/>
          <w:caps w:val="false"/>
          <w:smallCaps w:val="false"/>
          <w:sz w:val="20"/>
        </w:rPr>
        <w:t>” means, as to each Investor, the aggregate amount to be paid for Shares purchased hereunder as specified below such Investor’s name on the signature page of this Agreement and next to the heading “Subscription Amount,”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(i) a day on which the Common Stock is traded on a Trading Market (other than the OTCQX or OTCQB), or (ii) if the Common Stock is not listed or quoted on a Trading Market (other than the OTCQX or OTCQB), a day on which the Common Stock is traded in the over-the-counter market, as reported by the OTCQX or OTCQB, or (iii) if the Common Stock is not listed or quoted on any Trading Market, a day on which the Common Stock is quoted in the over-the-counter market as reported by OTC Markets Group Inc. (or any similar organization or agency succeeding to its functions of reporting prices); provided, that in the event that the Common Stock is not listed or quoted as set forth in (i), (ii) and (iii) hereof, then Trading Day shall mean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means whichever of the New York Stock Exchange, the NYSE American, the NASDAQ Global Select Market, the NASDAQ Global Market, the NASDAQ Capital Market, OTCQX or OTCQB on which the Common Stock is listed or quoted for trading on the date in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Computershare Trust Company, the current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the Company agrees to sell, and the Investors, severally and not jointly, agree to purchase, up to an aggregate of $14,999,987.72 of Shares. Each Investor’s Subscription Amount as set forth on the signature page hereto executed by the Investor shall be made available for “Delivery Versus Payment” (“</w:t>
      </w:r>
      <w:r>
        <w:rPr>
          <w:rFonts w:ascii="Times New Roman;Times;Serif" w:hAnsi="Times New Roman;Times;Serif"/>
          <w:b/>
          <w:i w:val="false"/>
          <w:caps w:val="false"/>
          <w:smallCaps w:val="false"/>
          <w:sz w:val="20"/>
        </w:rPr>
        <w:t>DVP</w:t>
      </w:r>
      <w:r>
        <w:rPr>
          <w:rFonts w:ascii="Times New Roman;Times;Serif" w:hAnsi="Times New Roman;Times;Serif"/>
          <w:b w:val="false"/>
          <w:i w:val="false"/>
          <w:caps w:val="false"/>
          <w:smallCaps w:val="false"/>
          <w:sz w:val="20"/>
        </w:rPr>
        <w:t xml:space="preserve">”) settlement with the Company or its designees. The Company shall deliver to the Investor its Shares and the Company and the Investor shall deliver the other items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deliverable at the Closing. Upon satisfaction of the covenants and conditions set forth in </w:t>
      </w: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w:t>
      </w:r>
      <w:r>
        <w:rPr>
          <w:rFonts w:ascii="Times New Roman;Times;Serif" w:hAnsi="Times New Roman;Times;Serif"/>
          <w:b w:val="false"/>
          <w:i w:val="false"/>
          <w:caps w:val="false"/>
          <w:smallCaps w:val="false"/>
          <w:sz w:val="20"/>
        </w:rPr>
        <w:t>, the Closing shall occur at the offices of the Company Counsel, 3000 Two Logan Square, Eighteenth and Arch Streets, Philadelphia, PA 19103-2799 or such other location as the parties shall mutually agree. Settlement of the Shares shall occur via DVP (i.e., on the Closing Date, the Company shall issue the Shares registered in the Investors’ name and address and released by the Transfer Agent directly to the account identified by each Investor, and payment therefor shall be made by the Investors by wire transfer of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Investor,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copy of the irrevocable instructions to the Transfer Agent instructing the Transfer Agent to deliver on an expedited basis via The Depository Trust Company Deposit or Withdrawal at Custodian system (“</w:t>
      </w:r>
      <w:r>
        <w:rPr>
          <w:rFonts w:ascii="Times New Roman;Times;Serif" w:hAnsi="Times New Roman;Times;Serif"/>
          <w:b/>
          <w:i w:val="false"/>
          <w:caps w:val="false"/>
          <w:smallCaps w:val="false"/>
          <w:sz w:val="20"/>
        </w:rPr>
        <w:t>DWAC</w:t>
      </w:r>
      <w:r>
        <w:rPr>
          <w:rFonts w:ascii="Times New Roman;Times;Serif" w:hAnsi="Times New Roman;Times;Serif"/>
          <w:b w:val="false"/>
          <w:i w:val="false"/>
          <w:caps w:val="false"/>
          <w:smallCaps w:val="false"/>
          <w:sz w:val="20"/>
        </w:rPr>
        <w:t>”) Shares equal to such Investor’s Subscription Amount divided by the Per Share Purchase Price, registered in the name of such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Prospectus and Prospectus Supplement (which may be delivered in accordance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certificate of the Secretary or an Assistant Secretary of the Company, dated as of the Closing Date, (a) certifying the resolutions adopted by the Board of Directors (or a committee thereof) of the Company approving the transactions contemplated by this Agreement and the issuance of the Shares, (b) certifying the current versions of the certificate of incorporation and by-laws of the Company, as amended through the Closing Date, and (c) certifying as to the signatures and authority of persons signing this Agreement on behalf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certificate of the Chief Executive Officer or Chief Financial Officer of the Company, dated as of the Closing Date, certifying to the fulfillment of the conditions applicable to the Company specified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2.3(b)(ii)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Investor shall deliver or cause to be delivered to the Company,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Investor;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Investor’s Subscription Amount, which shall be made available for DVP settlement with the Company or its designees.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on the Closing Date of the representations and warranties of the Investors contained herein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Investor required to be performed at or prior to the Closing Date shall have been performed;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delivery by each Investor of the items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Investors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shall have been no Material Adverse Effect with respect to the Company since the date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from the date hereof to the Closing Date, trading in the Common Stock shall not have been suspended by the SEC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Investor, makes it impracticable or inadvisable to purchase the Shares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is an entity duly organized, validly existing and in good standing under the laws of the jurisdiction of its organization, with the requisite legal authority to own and use its properties and assets and to carry on its business as currently conducted. The Company is not in violation of any of the provisions of its respective certificate or articles of incorporation, bylaws or other organizational or charter documents. The Company is duly qualified to do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individually or in the aggregate,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authority to enter into and to consummate the transactions contemplated by this Agreement and otherwise to carry out its obligations hereunder. The execution and delivery of each of this Agreement by the Company and the consummation by it of the transactions contemplated hereby have been duly authorized by all necessary corporate action on the part of the Company and no further consent or action is required to be obtained or taken, as the case may be, by the Company, its Board of Directors or its stockholders. This Agreement has been duly executed by the Company and is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this Agreement by the Company and the consummation by the Company of the transactions contemplated hereby do not (i) conflict with or violate any provision of the Company’s certificate or articles of incorporation, bylaws or other organizational or charter documents, (ii) conflict with, or constitute a default (or an event that with notice or lapse of time or both would become a default) under, or give to others any rights of termination, amendment, acceleration or cancellation (with or without notice, lapse of time or both) of, any agreement, credit facility, debt or other instrument (evidencing a Company debt or otherwise) or other understanding to which the Company is a party or by which any property or asset of the Company is bound, or affected, except to the extent that such conflict, default, termination, amendment, acceleration or cancellation right would not reasonably be expected to have a Material Adverse Effect, or (iii) result in a violation of any law, rule, regulation, order, judgment, injunction, decree or other restriction of any court or governmental authority to which the Company is subject (including, assuming the accuracy of the representations and warranties of the Investors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hereof, federal and state securities laws and regulations and the rules and regulations of any self-regulatory organization to which the Company or its securities are subject, including all applicable Trading Markets), or by which any property or asset of the Company are bound or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Agreement other than (i) the filing with the SEC of the Prospectus Supplement, (ii) such filings required by applicable state or blue sky securities laws, and (iii) the filing of any requisite notices and/or application(s) to the Trading Market for the issuance and sale of the Shares. No approval from the holders of outstanding shares of Common Stock is required by applicable law, the articles of incorporation or bylaws of the Company or the rules of the Trading Market (that are effective on the Company) in connection with the Company’s issuance and sale of the Shares to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The Shares; Registration</w:t>
      </w:r>
      <w:r>
        <w:rPr>
          <w:rFonts w:ascii="Times New Roman;Times;Serif" w:hAnsi="Times New Roman;Times;Serif"/>
          <w:b w:val="false"/>
          <w:i w:val="false"/>
          <w:caps w:val="false"/>
          <w:smallCaps w:val="false"/>
          <w:sz w:val="20"/>
        </w:rPr>
        <w:t>. The Shares are duly authorized and, when issued and paid for in accordance with this Agreement, will be duly and validly issued, fully paid and nonassessable, free and clear of all Liens and will not be subject to preemptive or similar rights of stockholders (other than those imposed by the Investors). The Company has prepared and filed the Registration Statement in conformity with the requirements of the Securities Act, which became effective on February 18, 2025 (the “</w:t>
      </w:r>
      <w:r>
        <w:rPr>
          <w:rFonts w:ascii="Times New Roman;Times;Serif" w:hAnsi="Times New Roman;Times;Serif"/>
          <w:b/>
          <w:i w:val="false"/>
          <w:caps w:val="false"/>
          <w:smallCaps w:val="false"/>
          <w:sz w:val="20"/>
          <w:u w:val="single"/>
        </w:rPr>
        <w:t>Effective Date</w:t>
      </w:r>
      <w:r>
        <w:rPr>
          <w:rFonts w:ascii="Times New Roman;Times;Serif" w:hAnsi="Times New Roman;Times;Serif"/>
          <w:b w:val="false"/>
          <w:i w:val="false"/>
          <w:caps w:val="false"/>
          <w:smallCaps w:val="false"/>
          <w:sz w:val="20"/>
        </w:rPr>
        <w:t>”), including the Prospectus, and such amendments and supplements thereto as may have been required to the date of this Agreement. The Company was at the time of the filing of the Registration Statement eligible to use Form N-2. The Registration Statement is effective under the Securities Act and no stop order preventing or suspending the effectiveness of the Registration Statement or suspending or preventing the use of the Prospectus has been issued by the SEC and no proceedings for that purpose have been instituted or, to the knowledge of the Company, are threatened by the SEC. The Company, if required by the rules and regulations of the SEC, will file the Prospectus Supplement with the SEC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aggregate number of shares and type of all authorized, issued and outstanding classes of capital stock, options and other securities of the Company (whether or not presently convertible into or exercisable or exchangeable for shares of capital stock of the Company) is set forth in the SEC Reports. All outstanding shares of capital stock are duly authorized, validly issued, fully paid and nonassessable and have been issued in compliance in all material respects with all applicable securities laws. The Company did not have outstanding at December 18, 2025 any other Convertible Securities, Options, scrip rights to subscribe to, calls or commitments of any character whatsoever relating to, or securities, rights or obligations convertible into or exercisable or exchangeable for, or entered into any agreement giving any Person any right to subscribe for or acquire, any shares of Common Stock, or securities or rights convertible or exchangeable into shares of Common Stock, with or without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required to be filed by it under the Exchange Act, including pursuant to Section 13(a) or 15(d) thereof (and the corresponding sections under the Investment Company Act), for the 12 months preceding the date hereof on a timely basis or has received a valid extension of such time of filing and has filed any such SEC Reports prior to the expiration of any such extension and has filed all reports required to be filed by it under the Exchange Act, including pursuant to Section 13(a) or 15(d) thereof (and the corresponding sections under the Investment Company Act), for the two years preceding the date hereof. Such reports required to be filed by the Company under the Exchange Act, including pursuant to Section 13(a) or 15(d) thereof (and the corresponding sections under the Investment Company Act), together with any materials filed or furnished by the Company under the Exchange Act, whether or not any such reports were required being collectively referred to herein as the “</w:t>
      </w:r>
      <w:r>
        <w:rPr>
          <w:rFonts w:ascii="Times New Roman;Times;Serif" w:hAnsi="Times New Roman;Times;Serif"/>
          <w:b/>
          <w:i w:val="false"/>
          <w:caps w:val="false"/>
          <w:smallCaps w:val="false"/>
          <w:sz w:val="20"/>
          <w:u w:val="single"/>
        </w:rPr>
        <w:t>SEC Reports</w:t>
      </w:r>
      <w:r>
        <w:rPr>
          <w:rFonts w:ascii="Times New Roman;Times;Serif" w:hAnsi="Times New Roman;Times;Serif"/>
          <w:b w:val="false"/>
          <w:i w:val="false"/>
          <w:caps w:val="false"/>
          <w:smallCaps w:val="false"/>
          <w:sz w:val="20"/>
        </w:rPr>
        <w:t>”. As of their respective dates (or, if amended or superseded by a filing prior to the Closing Date, then on the date of such filing), the SEC Reports filed by the Company complied in all material respects with the requirements of the Securities Act and the Exchange Act and the rules and regulations of the SEC promulgated thereunder, and none of the SEC Reports, when filed (or, if amended or superseded by a filing prior to the Closing Date, then on the date of such filing) by the Company,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(or, if amended or superseded by a filing prior to the Closing Date, then on the date of such filing). Such financial statements have been prepared in accordance with United States generally accepted accounting principles applied on a consistent basis during the periods involved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the notes thereto and except that unaudited financial statements may not contain all footnotes required by GAAP or may be condensed or summary statements, and fairly present in all material respects the consolidated financial position of the Company as of and for the dates thereof and the results of operations and cash flows for the periods then ended, subject, in the case of unaudited statements, to normal, year-end audit adjustments. All material agreements to which the Company is a party or to which the property or assets of the Company are subject are included as part of or identified in the SEC Reports, to the extent such agreements are required to be included or identified pursuant to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Material Changes; Undisclosed Events, Liabilities or Developments; Solvency</w:t>
      </w:r>
      <w:r>
        <w:rPr>
          <w:rFonts w:ascii="Times New Roman;Times;Serif" w:hAnsi="Times New Roman;Times;Serif"/>
          <w:b w:val="false"/>
          <w:i w:val="false"/>
          <w:caps w:val="false"/>
          <w:smallCaps w:val="false"/>
          <w:sz w:val="20"/>
        </w:rPr>
        <w:t xml:space="preserve">. Since the date of the latest audited financial statements included within the SEC Reports, except as disclosed in the SEC Reports, (i) there has been no event, occurrence or development that, individually or in the aggregate, has had or that would result in a Material Adverse Effect, (ii) the Company has not incurred any material liabilities other than (A) trade payables and accrued expenses incurred in the ordinary course of business consistent with past practice and (B) liabilities not required to be reflected in the Company’s financial statements pursuant to GAAP or required to be disclosed in filings made with the SEC, (iii) the Company has not altered its method of accounting or changed its auditors, except as disclosed in its SEC Reports, (iv) the Company has not declared or made any dividend or distribution of cash or other property to its stockholders, in their capacities as such, or purchased, redeemed or made any agreements to purchase or redeem any shares of its capital stock, and (v) the Company has not issued any equity securities to any officer, director or Affiliate. The Company has not taken any steps to seek protection pursuant to any bankruptcy law nor does the Company have any Knowledge or reason to believe that its creditors intend to initiate involuntary bankruptcy proceedings or any Knowledge of any fact which would reasonably lead a creditor to do so. The Company is not as of the date hereof, and after giving effect to the transactions contemplated hereby to occur at the applicable Closing, will not be Insolvent (as defined below). For purposes of this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Insolvent</w:t>
      </w:r>
      <w:r>
        <w:rPr>
          <w:rFonts w:ascii="Times New Roman;Times;Serif" w:hAnsi="Times New Roman;Times;Serif"/>
          <w:b w:val="false"/>
          <w:i w:val="false"/>
          <w:caps w:val="false"/>
          <w:smallCaps w:val="false"/>
          <w:sz w:val="20"/>
        </w:rPr>
        <w:t>” means (1) the present fair saleable value of the Company’s assets is less than the amount required to pay the Company’s total Indebtedness, (2) the Company is unable to pay its debts and liabilities, subordinated, contingent or otherwise, as such debts and liabilities become absolute and matured, (3) the Company intends to incur or believes that it will incur debts that would be beyond its ability to pay as such debts mature or (4) the Company has unreasonably small capital with which to conduct the business in which it is engaged as such business is now conducted and is proposed to be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Company has not, in the twelve (12) months preceding the date hereof, received notice (written or oral) from any Trading Market on which the Common Stock is or has been listed or quoted to the effect that the Company is not in compliance with the listing or maintenance requirements of such Trading Market. The Company is in compliance with all such listing and maintenance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is insured by insurers of recognized financial responsibility against such losses and risks and in such amounts as are prudent and customary in the businesses in which the Company is engaged. The Company has not been refused any insurance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The Company (i) has made or filed all applicable United States federal and state income and all foreign income and franchise tax returns, reports and declarations required by any jurisdiction to which it is subject, (ii) has paid all taxes and other governmental assessments and charges that are material in amount, and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suit or proceeding by or before any court or any governmental body or authority which adversely affects or challenges the legality, validity or enforceability of this Agreement 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Employee Relations</w:t>
      </w:r>
      <w:r>
        <w:rPr>
          <w:rFonts w:ascii="Times New Roman;Times;Serif" w:hAnsi="Times New Roman;Times;Serif"/>
          <w:b w:val="false"/>
          <w:i w:val="false"/>
          <w:caps w:val="false"/>
          <w:smallCaps w:val="false"/>
          <w:sz w:val="20"/>
        </w:rPr>
        <w:t>. The Company is not a party to any collective bargaining agreement or employs any member of a union. The Company’s relations with its employees, if any, are as disclosed in the SEC Reports, to the extent required. Except as disclosed in the SEC Reports, no current executive officer of the Company has notified the Company that such officer intends to leave the Company, as applicable, or otherwise terminate such officer’s position with the Company, as applicable. To the Knowledge of the Company, no executive officer of the Company is in violation of any material term of any employment contract, confidentiality, disclosure or proprietary information agreement, non-competition agreement, or any other contract or agreement or any restrictive covenant, and the continued employment of each such executive officer does not subject the Company to any liability with respect to any of the foregoing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does not own real property. The Company has good and marketable title in all personal property owned by them that is material to the business of the Company, in each case free and clear of all Liens, except for Liens that do not, individually or in the aggregate, have or result in a Material Adverse Effect. Any real property and facilities held under lease by the Company is held by it under valid, subsisting and enforceable leases of which the Company is in material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is in compliance in all material respects with applicable requirements of the Sarbanes-Oxley Act of 2002 and applicable rules and regulations promulgated by the SEC thereunder. The Company maintains disclosure controls and procedures (as such term is defined in Rule 13a-15(e) and 15d-15(e)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to the Knowledge of the Company, any director, officer, agent, employee or other Person acting on behalf of the Company has, in the course of its actions for, or on behalf of, the Company (i) used any corporate funds for any unlawful contribution, gift, entertainment or other unlawful expenses relating to political activity; (ii) made any direct or indirect unlawful payment to any foreign or domestic government official or employee or to any foreign or domestic political parties or campaigns from corporate funds; (iii) violated or is in violation in any material respect of any provision of the U.S. Foreign Corrupt Practices Act of 1977, as amended; or (iv) made any unlawful bribe, rebate, payoff, influence payment, kickback or other unlawful payment to any foreign or domestic government official or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are and have been conducted at all times in compliance with the money laundering statutes of applicable jurisdictions, the rules and regulations thereunder and any related or similar rules, regulations or guidelines, issued, administered or enforced by any applicable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with respect to the Money Laundering Laws is pending or, to the Company’s Knowledge,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Internal Accounting Control</w:t>
      </w:r>
      <w:r>
        <w:rPr>
          <w:rFonts w:ascii="Times New Roman;Times;Serif" w:hAnsi="Times New Roman;Times;Serif"/>
          <w:b w:val="false"/>
          <w:i w:val="false"/>
          <w:caps w:val="false"/>
          <w:smallCaps w:val="false"/>
          <w:sz w:val="20"/>
        </w:rPr>
        <w:t>. The Company maintains effective internal control over financial reporting, as such term is defined in Rule 13a-15(f)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Investors</w:t>
      </w:r>
      <w:r>
        <w:rPr>
          <w:rFonts w:ascii="Times New Roman;Times;Serif" w:hAnsi="Times New Roman;Times;Serif"/>
          <w:b w:val="false"/>
          <w:i w:val="false"/>
          <w:caps w:val="false"/>
          <w:smallCaps w:val="false"/>
          <w:sz w:val="20"/>
        </w:rPr>
        <w:t>. Each Investor hereby, as to itself only and for no other Investor, represents and warrants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Investor that is an entity is duly organized, validly existing and in good standing under the laws of the jurisdiction of its organization with the requisite corporate, partnership or other power and authority to enter into and to consummate the transactions contemplated by this Agreement and otherwise to carry out its obligations hereunder. The purchase by such Investor that is an entity of the Shares hereunder has been duly authorized by all necessary corporate, partnership or other action on the part of such Investor. Such Investor that is an individual has the capacity to enter into this Agreement and to consummate the transactions contemplated hereby. This Agreement has been duly executed and delivered by such Investor and constitutes the valid and binding obligation of such Investor,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Experience of Such Investor</w:t>
      </w:r>
      <w:r>
        <w:rPr>
          <w:rFonts w:ascii="Times New Roman;Times;Serif" w:hAnsi="Times New Roman;Times;Serif"/>
          <w:b w:val="false"/>
          <w:i w:val="false"/>
          <w:caps w:val="false"/>
          <w:smallCaps w:val="false"/>
          <w:sz w:val="20"/>
        </w:rPr>
        <w:t>. Such Investor,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Investor is able to bear such risk and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Legal, Tax or Investment Advice</w:t>
      </w:r>
      <w:r>
        <w:rPr>
          <w:rFonts w:ascii="Times New Roman;Times;Serif" w:hAnsi="Times New Roman;Times;Serif"/>
          <w:b w:val="false"/>
          <w:i w:val="false"/>
          <w:caps w:val="false"/>
          <w:smallCaps w:val="false"/>
          <w:sz w:val="20"/>
        </w:rPr>
        <w:t>. Such Investor understands that nothing in this Agreement or any other materials presented by or on behalf of the Company to the Investor in connection with the purchase of the Shares constitutes legal, tax or investment advice. Such Investor has consulted such legal, tax and investment advisors as it, in its sole discretion, has deemed necessary or appropriate in connection with its purchase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b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substantially all of the proceeds from a sale of the Shares, net of expenses, for general corporate purposes, which may include, making investments in accordance with its investment objective and policies as described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9:00 a.m. (New York City time) on the fourth Trading Day immediately following the date hereof, (i) issue a press release disclosing the material terms of the transactions contemplated hereby, and (ii) file a Current Report on Form 8-K, with the SEC within the time required by the Exchange Act. From and after the issuance of such press release, the Company represents to the Investors. The Company and each Investor shall consult with each other in issuing any other press releases with respect to the transactions contemplated hereby, and neither the Company nor any Investor shall issue any such press release nor otherwise make any such public statement without the prior consent of the Company, with respect to any press release of any Investor, or without the prior consent of each Investor,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Investor, or include the name of any Investor in any filing with the SEC or any regulatory agency or Trading Market, without the prior written consent of such Investor, except (a) as required by federal securities law in connection with the filing of final Agreement with the SEC and (b) to the extent such disclosure is required by law or Trading Market regulations, in which case the Company shall provide the Investors with prior notice of such disclosure permitted under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xml:space="preserve">. Each Investor, severally and not jointly with the other Investors,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and the Current Report on Form 8-K as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Each Investor, severally and not jointly with the other Investors, covenants that until such time as the transactions contemplated by this Agreement are publicly disclosed by the Company pursuant to the initial press release and the Current Report on Form 8-K as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such Investor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Investor makes any representation, warranty or covenant hereby that it will not engage in effecting transactions in any securities of the Company after the time that the transactions contemplated by this Agreement are first publicly announced pursuant to the initial press release and the Current Report on Form 8-K as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(ii) no Investor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and the Current Report on Form 8-K as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(iii) no Investor shall have any duty of confidentiality or duty not to trade in the securities of the Company to the Company or its Subsidiaries after the issuance of the initial press release and the Current Report on Form 8-K as described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Furnishing Information</w:t>
      </w:r>
      <w:r>
        <w:rPr>
          <w:rFonts w:ascii="Times New Roman;Times;Serif" w:hAnsi="Times New Roman;Times;Serif"/>
          <w:b w:val="false"/>
          <w:i w:val="false"/>
          <w:caps w:val="false"/>
          <w:smallCaps w:val="false"/>
          <w:sz w:val="20"/>
        </w:rPr>
        <w:t>. Until the earlier of the time that no Investor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w:t>
      </w:r>
      <w:r>
        <w:rPr>
          <w:rFonts w:ascii="Times New Roman;Times;Serif" w:hAnsi="Times New Roman;Times;Serif"/>
          <w:b w:val="false"/>
          <w:i w:val="false"/>
          <w:caps w:val="false"/>
          <w:smallCaps w:val="false"/>
          <w:sz w:val="20"/>
          <w:u w:val="single"/>
        </w:rPr>
        <w:t>ermination</w:t>
      </w:r>
      <w:r>
        <w:rPr>
          <w:rFonts w:ascii="Times New Roman;Times;Serif" w:hAnsi="Times New Roman;Times;Serif"/>
          <w:b w:val="false"/>
          <w:i w:val="false"/>
          <w:caps w:val="false"/>
          <w:smallCaps w:val="false"/>
          <w:sz w:val="20"/>
        </w:rPr>
        <w:t>. This Agreement may be terminated by the Company or any Investor (as to itself only), by written notice to the other parties, if the Closing has not been consummated on or before the fifth (5th) Trading Day following the date hereof; provided that no such termination will affect the right of any party to sue for any breach by the other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contains the entire understanding of the parties with respect to the subject matter hereof and supersede all prior agreements and understandings, oral or written, with respect to such matters, which the parties acknowledge have been merged into such documents, exhibits and schedules. At or after the Closing, and without further consideration, the Company will execute and deliver to the Investors such further documents as may be reasonably requested in order to give practical effect to the intention of the parties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delivered via facsimile or email at the facsimile number or email address specified on the signature pages hereof prior to 6:30 p.m. (New York City time) on a Trading Day, (b) the next Trading Day after the date of transmission, if such notice or communication is delivered via facsimile or email at the facsimile number or email address specified on the signature pages hereof on a day that is not a Trading Day or later than 6:30 p.m. (New York City time) on any Trading Day, (c) the Trading Day following the date of deposit with a nationally recognized overnight courier service, or (d) upon actual receipt by the party to whom such notice is required to be given. The addresses, facsimile numbers and email addresses for such notices and communications are those set forth on the signature pages hereof, or such other address, facsimile number or email address as may be designated in writing hereafter, in the same manner, by any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or amended except in a written instrument signed, in the case of an amendment, by the Company and each of the Investors or, in the case of a waiver, by the party against whom enforcement of any such waiver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Investor (other than by merger). Any Investor may assign any or all of its rights under this Agreement to any Person to whom such Investor assigns or transfers any Shares, provided that such transferee agrees in writing to be bound, with respect to the transferred Shares, by the provisions of this Agreement that applies to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successors and permitted assigns and is not for the benefit of, nor may any provision hereof be enforced by, any other Person, except that each Indemnified Party is an intended third party beneficiary of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and (in each case) may enforce the provisions of such Section directly against the parties with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 Venue; Waiver of Jury Trial</w:t>
      </w:r>
      <w:r>
        <w:rPr>
          <w:rFonts w:ascii="Times New Roman;Times;Serif" w:hAnsi="Times New Roman;Times;Serif"/>
          <w:b w:val="false"/>
          <w:i w:val="false"/>
          <w:caps w:val="false"/>
          <w:smallCaps w:val="false"/>
          <w:sz w:val="20"/>
        </w:rPr>
        <w:t>. THIS AGREEMENT SHALL BE GOVERNED BY AND CONSTRUED IN ACCORDANCE WITH THE LAWS OF THE STATE OF NEW YORK WITHOUT REGARD TO CONFLICTS OF LAW PRINCIPLES THAT WOULD DEFER TO THE LAW OF ANOTHER JURISDICTION. THE COMPANY AND INVESTORS HEREBY IRREVOCABLY SUBMIT TO THE NON-EXCLUSIVE JURISDICTION OF THE STATE AND FEDERAL COURTS SITTING IN THE CITY OF NEW YORK, BOROUGH OF MANHATTAN FOR THE ADJUDICATION OF ANY DISPUTE BROUGHT BY THE COMPANY OR ANY INVESTOR HEREUNDER, IN CONNECTION HEREWITH OR WITH ANY TRANSACTION CONTEMPLATED HEREBY OR DISCUSSED HEREIN (INCLUDING WITH RESPECT TO THE ENFORCEMENT OF ANY OF THIS AGREEMENT), AND HEREBY IRREVOCABLY WAIVE, AND AGREE NOT TO ASSERT IN ANY SUIT, ACTION OR PROCEEDING BROUGHT BY THE COMPANY OR ANY INVESTOR, ANY CLAIM THAT IT IS NOT PERSONALLY SUBJECT TO THE JURISDICTION OF ANY SUCH COURT, OR THAT SUCH SUIT, ACTION OR PROCEEDING IS IMPROPER.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THE COMPANY AND INVESTORS HEREBY WAIVE ALL RIGHTS TO A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Shares. Each Investor shall be responsible only for its own representations, warranties and covenants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email attachment, such signature shall create a valid and binding obligation of the party executing (or on whose behalf such signature is executed) with the same force and effect as if such facsimile or email-attached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this Agreement, whenever any Investor exercises a right, election, demand or option owed to such Investor by the Company under this Agreement and the Company does not timely perform its related obligations within the periods therein provided, then, prior to the performance by the Company of the Company’s related obligation, such Investor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Replacement of Shares</w:t>
      </w:r>
      <w:r>
        <w:rPr>
          <w:rFonts w:ascii="Times New Roman;Times;Serif" w:hAnsi="Times New Roman;Times;Serif"/>
          <w:b w:val="false"/>
          <w:i w:val="false"/>
          <w:caps w:val="false"/>
          <w:smallCaps w:val="false"/>
          <w:sz w:val="20"/>
        </w:rPr>
        <w:t>. If any certificate or instrument evidencing any Shares is mutilated, lost, stolen or destroyed, the Company shall issue or cause to be issued in exchange and substitution for and upon cancellation thereof, or in lieu of and substitution therefor, a new certificate or instrument, but only upon receipt of evidence reasonably satisfactory to the Company of such loss, theft or destruction and the execution by the holder thereof of a customary lost certificate affidavit of that fact and an agreement to indemnify and hold harmless the Company for any losses in connection therewith. The applicants for a new certificate or instrument under such circumstances shall also pay any reasonable third-party costs associated with the issuance of such replacement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Investors and the Company will be entitled to seek specific performance under this Agreement. The parties agree that monetary damages may not be adequate compensation for any loss incurred by reason of any breach of obligations described in the foregoing sentence and hereby agree to waive in any action for specific performance of any such obligation (other than in connection with any action for a temporary restraining order)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Adjustments in Share Numbers and Prices</w:t>
      </w:r>
      <w:r>
        <w:rPr>
          <w:rFonts w:ascii="Times New Roman;Times;Serif" w:hAnsi="Times New Roman;Times;Serif"/>
          <w:b w:val="false"/>
          <w:i w:val="false"/>
          <w:caps w:val="false"/>
          <w:smallCaps w:val="false"/>
          <w:sz w:val="20"/>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each reference in this Agreement to a number of shares or a price per share shall be amended to appropriately account for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Independent Nature of Investors’ Obligations and Rights</w:t>
      </w:r>
      <w:r>
        <w:rPr>
          <w:rFonts w:ascii="Times New Roman;Times;Serif" w:hAnsi="Times New Roman;Times;Serif"/>
          <w:b w:val="false"/>
          <w:i w:val="false"/>
          <w:caps w:val="false"/>
          <w:smallCaps w:val="false"/>
          <w:sz w:val="20"/>
        </w:rPr>
        <w:t>. The obligations of each Investor under this Agreement are several and not joint with the obligations of any other Investor, and no Investor shall be responsible in any way for the performance of the obligations of any other Investor under this Agreement. The decision of each Investor to purchase Shares pursuant to this Agreement has been made by such Investor independently of any other Investor and independently of any information, materials, statements or opinions as to the business, affairs, operations, assets, properties, liabilities, results of operations, condition (financial or otherwise) or prospects of the Company which may have been made or given by any other Investor or by any agent or employee of any other Investor, and no Investor or any of its agents or employees shall have any liability to any other Investor (or any other person) relating to or arising from any such information, materials, statements or opinions. Nothing contained herein,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this Agreement. Each Investor acknowledges that no other Investor has acted as agent for such Investor in connection with making its investment hereunder and that no other Investor will be acting as agent of such Investor in connection with monitoring its investment hereunder. Each Investor shall be entitled to independently protect and enforce its rights, including without limitation the rights arising out of this Agreement, and it shall not be necessary for any other Investor to be joined as an additional party in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75"/>
        <w:gridCol w:w="732"/>
        <w:gridCol w:w="2407"/>
      </w:tblGrid>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ARROWMARK FINANCIAL CORP.</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40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Blake Rice</w:t>
            </w:r>
          </w:p>
        </w:tc>
      </w:tr>
      <w:tr>
        <w:trPr/>
        <w:tc>
          <w:tcPr>
            <w:tcW w:w="75"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Blake Rice </w:t>
            </w:r>
          </w:p>
        </w:tc>
      </w:tr>
      <w:tr>
        <w:trPr/>
        <w:tc>
          <w:tcPr>
            <w:tcW w:w="75"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FINANCIAL CORP.</w:t>
              <w:br/>
              <w:t>100 Fillmore Street, Suite 325</w:t>
              <w:br/>
              <w:t>Denver, Colorado 80206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(212)-468-5441</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 a copy to</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Troutman Pepper Locke LLP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 Two Logan Square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and Arch Streets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(215) 981-4009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john.ford@troutman.com </w:t>
            </w:r>
          </w:p>
        </w:tc>
      </w:tr>
      <w:tr>
        <w:trPr/>
        <w:tc>
          <w:tcPr>
            <w:tcW w:w="75"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Attn</w:t>
            </w:r>
            <w:r>
              <w:rPr>
                <w:rFonts w:ascii="Times New Roman;Times;Serif" w:hAnsi="Times New Roman;Times;Serif"/>
                <w:b w:val="false"/>
                <w:i w:val="false"/>
                <w:caps w:val="false"/>
                <w:smallCaps w:val="false"/>
                <w:sz w:val="20"/>
              </w:rPr>
              <w:t>: John M. Ford, Esq.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investor 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Securities Purchase Agreement – BANX]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SIGNATURE PAGES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Investor: 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Investor</w:t>
      </w:r>
      <w:r>
        <w:rPr>
          <w:rFonts w:ascii="Times New Roman;Times;Serif" w:hAnsi="Times New Roman;Times;Serif"/>
          <w:b w:val="false"/>
          <w:i w:val="false"/>
          <w:caps w:val="false"/>
          <w:smallCaps w:val="false"/>
          <w:sz w:val="20"/>
        </w:rPr>
        <w:t>: 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Number of Authorized Signatory: 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Investor: 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DTC Details: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0"/>
        <w:gridCol w:w="3455"/>
      </w:tblGrid>
      <w:tr>
        <w:trPr/>
        <w:tc>
          <w:tcPr>
            <w:tcW w:w="6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DTC Participant (broker-dealer at which account(s) to be credited with Shares are maintained):</w:t>
            </w:r>
          </w:p>
        </w:tc>
        <w:tc>
          <w:tcPr>
            <w:tcW w:w="3455" w:type="dxa"/>
            <w:tcBorders/>
            <w:vAlign w:val="center"/>
          </w:tcPr>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 </w:t>
            </w:r>
          </w:p>
        </w:tc>
      </w:tr>
      <w:tr>
        <w:trPr/>
        <w:tc>
          <w:tcPr>
            <w:tcW w:w="6750" w:type="dxa"/>
            <w:tcBorders/>
            <w:vAlign w:val="center"/>
          </w:tcPr>
          <w:p>
            <w:pPr>
              <w:pStyle w:val="TableContents"/>
              <w:bidi w:val="0"/>
              <w:spacing w:before="0" w:after="283"/>
              <w:jc w:val="both"/>
              <w:rPr/>
            </w:pPr>
            <w:r>
              <w:rPr/>
              <w:t> </w:t>
            </w:r>
          </w:p>
        </w:tc>
        <w:tc>
          <w:tcPr>
            <w:tcW w:w="3455"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DTC Participant Number:</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_________________________________ </w:t>
            </w:r>
          </w:p>
        </w:tc>
      </w:tr>
      <w:tr>
        <w:trPr/>
        <w:tc>
          <w:tcPr>
            <w:tcW w:w="6750" w:type="dxa"/>
            <w:tcBorders/>
            <w:vAlign w:val="center"/>
          </w:tcPr>
          <w:p>
            <w:pPr>
              <w:pStyle w:val="TableContents"/>
              <w:bidi w:val="0"/>
              <w:spacing w:before="0" w:after="283"/>
              <w:ind w:left="0" w:right="0" w:firstLine="720"/>
              <w:jc w:val="both"/>
              <w:rPr/>
            </w:pPr>
            <w:r>
              <w:rPr/>
              <w:t> </w:t>
            </w:r>
          </w:p>
        </w:tc>
        <w:tc>
          <w:tcPr>
            <w:tcW w:w="3455" w:type="dxa"/>
            <w:tcBorders/>
            <w:vAlign w:val="center"/>
          </w:tcPr>
          <w:p>
            <w:pPr>
              <w:pStyle w:val="TableContents"/>
              <w:bidi w:val="0"/>
              <w:spacing w:before="0" w:after="283"/>
              <w:jc w:val="both"/>
              <w:rPr/>
            </w:pPr>
            <w:r>
              <w:rPr/>
              <w:t> </w:t>
            </w:r>
          </w:p>
        </w:tc>
      </w:tr>
      <w:tr>
        <w:trPr/>
        <w:tc>
          <w:tcPr>
            <w:tcW w:w="6750"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Name of Account(s) at DTC Participant being credited with Shares:</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___________________________ </w:t>
            </w:r>
          </w:p>
        </w:tc>
      </w:tr>
      <w:tr>
        <w:trPr/>
        <w:tc>
          <w:tcPr>
            <w:tcW w:w="6750" w:type="dxa"/>
            <w:tcBorders/>
            <w:vAlign w:val="center"/>
          </w:tcPr>
          <w:p>
            <w:pPr>
              <w:pStyle w:val="TableContents"/>
              <w:bidi w:val="0"/>
              <w:spacing w:before="0" w:after="283"/>
              <w:ind w:left="0" w:right="0" w:firstLine="720"/>
              <w:jc w:val="both"/>
              <w:rPr/>
            </w:pPr>
            <w:r>
              <w:rPr/>
              <w:t> </w:t>
            </w:r>
          </w:p>
        </w:tc>
        <w:tc>
          <w:tcPr>
            <w:tcW w:w="3455" w:type="dxa"/>
            <w:tcBorders/>
            <w:vAlign w:val="center"/>
          </w:tcPr>
          <w:p>
            <w:pPr>
              <w:pStyle w:val="TableContents"/>
              <w:bidi w:val="0"/>
              <w:spacing w:before="0" w:after="283"/>
              <w:jc w:val="both"/>
              <w:rPr/>
            </w:pPr>
            <w:r>
              <w:rPr/>
              <w:t> </w:t>
            </w:r>
          </w:p>
        </w:tc>
      </w:tr>
      <w:tr>
        <w:trPr/>
        <w:tc>
          <w:tcPr>
            <w:tcW w:w="6750"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Account Number(s) at DTC Participant being credited with Shares:</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___________________________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pPr>
      <w:bookmarkStart w:id="27" w:name="tm2533929d1_ex99-1.htm"/>
      <w:bookmarkStart w:id="28" w:name="kstm2533929d1_ex991"/>
      <w:bookmarkEnd w:id="27"/>
      <w:bookmarkEnd w:id="2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ArrowMark Financial Corp. Announces $14.9 Million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Financial Corp. (Nasdaq: BANX) (“ArrowMark” or the “Fund”) today announced that it has entered into a securities purchase agreement with investors to purchase 673,249 of its shares of common stock, in a registered direct offering. The purchase price for one share of common stock was $22.28. The Net Asset Value at the time of the transaction was $22.20. The registered direct offering is accretive to current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registered direct offering are expected to be $14,999,987.72, exclusive of legal and administrative expenses associated with the transaction. ArrowMark anticipates that the net proceeds will be invested in accordance with its investment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described above are being offered pursuant to a “shelf” registration statement (File No. 333-281004) originally filed with the Securities and Exchange Commission (SEC) on July 24, 2024 and declared effective on February 18, 2025. Such securities may be offered only by means of a prospectus, including a prospectus supplement, forming a part of the effective registration statement. A prospectus supplement and the accompanying prospectus relating to the offering of the securities will be filed with the SEC. Electronic copies of the prospectus supplement and the accompanying prospectus relating to the offering of the securities may be obtained, when available, on the SEC's website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xml:space="preserve"> or by contacting Investor Relations at (877) 855-3434 or 100 Fillmore Street, Suite 325, Denver, CO 80206.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nor are there any sales of these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ArrowMark Financial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ArrowMark Financial Corp. is an SEC registered non-diversified, closed-end fund listed on the NASDAQ Global Select Market under the symbol “BANX.” Its investment objective is to provide shareholders with current income. The Fund pursues its objective by investing primarily in regulatory capital securities of financial institutions. ArrowMark Financial is managed by ArrowMark Asset Management, LLC. To learn more, visit ir.arrowmarkfinancialcorp.com or contact the Fund’s secondary market service agent at 877-855-3434.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Disclaimer and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ArrowMark Financial will achieve its investment objective. ArrowMark Financial is subject to numerous risks, including investment and market risks, management risk, income and interest rate risks, banking industry risks, preferred stock risk, convertible securities risk, debt securities risk, liquidity risk, valuation risk, leverage risk, non-diversification risk, credit and counterparty risks, market at a discount from net asset value risk and market disruption risk. Shares of closed-end investment companies may trade above (a premium) or below (a discount) their net asset value. Shares of ArrowMark Financial may not be appropriate for all investors. Investors should review and consider carefully ArrowMark Financial's investment objective, risks, charges and expenses. Past performance does not guarantee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Semi-Annual Report and other regulatory filings of the Fund with the SEC are accessible on the SEC's website at www.sec.gov and on the Fund’s website at ir.arrowmarkfinancialcorp.com.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br/>
      </w:r>
      <w:r>
        <w:rPr>
          <w:rFonts w:ascii="Times New Roman;Times;Serif" w:hAnsi="Times New Roman;Times;Serif"/>
          <w:b w:val="false"/>
          <w:i w:val="false"/>
          <w:caps w:val="false"/>
          <w:smallCaps w:val="false"/>
          <w:sz w:val="20"/>
          <w:u w:val="single"/>
        </w:rPr>
        <w:t>BANX@destracapital.com</w:t>
      </w:r>
      <w:r>
        <w:rPr>
          <w:rFonts w:ascii="Times New Roman;Times;Serif" w:hAnsi="Times New Roman;Times;Serif"/>
          <w:b w:val="false"/>
          <w:i w:val="false"/>
          <w:caps w:val="false"/>
          <w:smallCaps w:val="false"/>
          <w:sz w:val="20"/>
        </w:rPr>
        <w:br/>
        <w:t>Destra Capital Advisors LLC </w:t>
        <w:br/>
        <w:t>(877) 855-3434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11371</Words>
  <Characters>60880</Characters>
  <CharactersWithSpaces>72968</CharactersWithSpaces>
  <Paragraphs>597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